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EB7" w:rsidRDefault="00590EB7" w:rsidP="00710FF6">
      <w:pPr>
        <w:pStyle w:val="Bodytext30"/>
        <w:shd w:val="clear" w:color="auto" w:fill="auto"/>
        <w:spacing w:before="0" w:after="0" w:line="312" w:lineRule="exact"/>
        <w:rPr>
          <w:b/>
          <w:sz w:val="28"/>
          <w:szCs w:val="28"/>
          <w:lang w:val="ro-RO"/>
        </w:rPr>
      </w:pPr>
    </w:p>
    <w:p w:rsidR="00902558" w:rsidRPr="00710FF6" w:rsidRDefault="00902558" w:rsidP="007D765F">
      <w:pPr>
        <w:pStyle w:val="Bodytext30"/>
        <w:shd w:val="clear" w:color="auto" w:fill="auto"/>
        <w:spacing w:before="0" w:after="0" w:line="312" w:lineRule="exact"/>
        <w:rPr>
          <w:b/>
          <w:sz w:val="28"/>
          <w:szCs w:val="28"/>
          <w:lang w:val="ro-RO"/>
        </w:rPr>
      </w:pPr>
      <w:r w:rsidRPr="00710FF6">
        <w:rPr>
          <w:b/>
          <w:sz w:val="28"/>
          <w:szCs w:val="28"/>
          <w:lang w:val="ro-RO"/>
        </w:rPr>
        <w:t>NOTĂ INFORMATIVĂ</w:t>
      </w:r>
    </w:p>
    <w:p w:rsidR="00362519" w:rsidRDefault="00902558" w:rsidP="007D765F">
      <w:pPr>
        <w:pStyle w:val="Bodytext30"/>
        <w:spacing w:before="0" w:after="0" w:line="312" w:lineRule="exact"/>
        <w:rPr>
          <w:b/>
          <w:bCs/>
          <w:i/>
          <w:sz w:val="28"/>
          <w:szCs w:val="28"/>
          <w:lang w:val="ro-RO"/>
        </w:rPr>
      </w:pPr>
      <w:r w:rsidRPr="00710FF6">
        <w:rPr>
          <w:b/>
          <w:i/>
          <w:sz w:val="28"/>
          <w:szCs w:val="28"/>
          <w:lang w:val="ro-RO"/>
        </w:rPr>
        <w:t xml:space="preserve">la proiectul hotărârii de Guvern </w:t>
      </w:r>
      <w:r w:rsidR="003F3CC3">
        <w:rPr>
          <w:b/>
          <w:i/>
          <w:sz w:val="28"/>
          <w:szCs w:val="28"/>
          <w:lang w:val="ro-RO"/>
        </w:rPr>
        <w:t>„</w:t>
      </w:r>
      <w:r w:rsidR="00BC54C5" w:rsidRPr="00BC54C5">
        <w:rPr>
          <w:b/>
          <w:bCs/>
          <w:i/>
          <w:sz w:val="28"/>
          <w:szCs w:val="28"/>
          <w:lang w:val="ro-RO"/>
        </w:rPr>
        <w:t>Cu privire la declararea utilității publice pentru lucrările de interes comun al</w:t>
      </w:r>
      <w:r w:rsidR="00BC54C5">
        <w:rPr>
          <w:b/>
          <w:bCs/>
          <w:i/>
          <w:sz w:val="28"/>
          <w:szCs w:val="28"/>
          <w:lang w:val="ro-RO"/>
        </w:rPr>
        <w:t xml:space="preserve"> </w:t>
      </w:r>
      <w:r w:rsidR="00BC54C5" w:rsidRPr="00BC54C5">
        <w:rPr>
          <w:b/>
          <w:bCs/>
          <w:i/>
          <w:sz w:val="28"/>
          <w:szCs w:val="28"/>
          <w:lang w:val="ro-RO"/>
        </w:rPr>
        <w:t>mai multor raioane și/sau municipii pentru amenajarea poligonului de acumulare și depozitare a deșeurilor</w:t>
      </w:r>
      <w:r w:rsidR="003F3CC3">
        <w:rPr>
          <w:b/>
          <w:bCs/>
          <w:i/>
          <w:sz w:val="28"/>
          <w:szCs w:val="28"/>
          <w:lang w:val="ro-RO"/>
        </w:rPr>
        <w:t>”</w:t>
      </w:r>
    </w:p>
    <w:p w:rsidR="00662C4F" w:rsidRPr="00286E38" w:rsidRDefault="00662C4F" w:rsidP="00662C4F">
      <w:pPr>
        <w:pStyle w:val="Bodytext30"/>
        <w:spacing w:before="0" w:after="0" w:line="312" w:lineRule="exact"/>
        <w:rPr>
          <w:b/>
          <w:i/>
          <w:sz w:val="28"/>
          <w:szCs w:val="28"/>
          <w:lang w:val="ro-RO"/>
        </w:rPr>
      </w:pPr>
    </w:p>
    <w:tbl>
      <w:tblPr>
        <w:tblStyle w:val="Tabelgril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362519" w:rsidRPr="00286E38" w:rsidTr="00662C4F">
        <w:trPr>
          <w:jc w:val="center"/>
        </w:trPr>
        <w:tc>
          <w:tcPr>
            <w:tcW w:w="9900" w:type="dxa"/>
            <w:shd w:val="clear" w:color="auto" w:fill="D9D9D9" w:themeFill="background1" w:themeFillShade="D9"/>
          </w:tcPr>
          <w:p w:rsidR="00362519" w:rsidRPr="00286E38" w:rsidRDefault="00362519" w:rsidP="00774F63">
            <w:pPr>
              <w:pStyle w:val="Listparagraf"/>
              <w:numPr>
                <w:ilvl w:val="0"/>
                <w:numId w:val="1"/>
              </w:numPr>
              <w:tabs>
                <w:tab w:val="left" w:pos="386"/>
              </w:tabs>
              <w:spacing w:line="276" w:lineRule="auto"/>
              <w:ind w:left="0" w:firstLine="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86E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Denumirea autorului și, după caz, a participanților la elaborarea proiectului</w:t>
            </w:r>
          </w:p>
        </w:tc>
      </w:tr>
      <w:tr w:rsidR="00362519" w:rsidRPr="00286E38" w:rsidTr="00662C4F">
        <w:trPr>
          <w:jc w:val="center"/>
        </w:trPr>
        <w:tc>
          <w:tcPr>
            <w:tcW w:w="9900" w:type="dxa"/>
          </w:tcPr>
          <w:p w:rsidR="0007020E" w:rsidRPr="00286E38" w:rsidRDefault="00362519" w:rsidP="00D900D7">
            <w:pPr>
              <w:pStyle w:val="Listparagraf"/>
              <w:spacing w:before="120" w:after="120"/>
              <w:ind w:left="-29" w:firstLine="72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2C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a fost elaborat de </w:t>
            </w:r>
            <w:r w:rsidR="005573ED" w:rsidRPr="003F3CC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Agriculturii, Dezvoltării Regionale și Mediului, în t</w:t>
            </w:r>
            <w:r w:rsidR="005573ED" w:rsidRPr="001D2C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emeiul </w:t>
            </w:r>
            <w:r w:rsidR="00BC54C5" w:rsidRPr="00BC54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art.5 alin. (1) lit. k) și alin (4)</w:t>
            </w:r>
            <w:r w:rsidR="003F3CC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BC54C5" w:rsidRPr="00BC54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art.6 alin.(1) </w:t>
            </w:r>
            <w:proofErr w:type="spellStart"/>
            <w:r w:rsidR="00BC54C5" w:rsidRPr="00BC54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</w:t>
            </w:r>
            <w:proofErr w:type="spellEnd"/>
            <w:r w:rsidR="00BC54C5" w:rsidRPr="00BC54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c)</w:t>
            </w:r>
            <w:r w:rsidR="00BC54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573ED" w:rsidRPr="001D2C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Legea exproprierii pentru cauză de utilitate publică nr. 488/1999, în scopul declar</w:t>
            </w:r>
            <w:r w:rsidR="003F3CC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ării</w:t>
            </w:r>
            <w:r w:rsidR="005573ED" w:rsidRPr="001D2C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utilității publice de interes comun al mai multor raioane </w:t>
            </w:r>
            <w:r w:rsidR="00973C93" w:rsidRPr="001D2C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</w:t>
            </w:r>
            <w:r w:rsidR="005573ED" w:rsidRPr="001D2C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/sau municipii pentru terenu</w:t>
            </w:r>
            <w:r w:rsidR="003F3CC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rile</w:t>
            </w:r>
            <w:r w:rsidR="003F3CC3" w:rsidRPr="00381E0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cu suprafața de 5,0207 ha din extravilanul comunei Bilicenii Noi și cu suprafața de 19,5454 ha din extravilanul comunei Țambula, raionul Sângerei</w:t>
            </w:r>
            <w:r w:rsidR="005573ED" w:rsidRPr="001D2C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pe care este amplasat poligonul pentru depozitarea deșeurilor menajere solide din municipiul Bălți.</w:t>
            </w:r>
            <w:r w:rsidR="00D92F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702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Obiectivul urmărit prin aprobarea proiectului este soluționarea problemei gestionării deșeurilor în municipiul Bălți în vederea evitării unor</w:t>
            </w:r>
            <w:r w:rsidR="00D92F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92F93" w:rsidRPr="00D92F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perico</w:t>
            </w:r>
            <w:r w:rsidR="00D92F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</w:t>
            </w:r>
            <w:r w:rsidR="00D92F93" w:rsidRPr="00D92F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poluare a componentelor de mediu</w:t>
            </w:r>
            <w:r w:rsidR="00D92F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a unor</w:t>
            </w:r>
            <w:r w:rsidR="00D92F93" w:rsidRPr="00D92F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702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situații epidemiologice</w:t>
            </w:r>
            <w:r w:rsidR="00D92F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0702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362519" w:rsidRPr="00286E38" w:rsidTr="00662C4F">
        <w:trPr>
          <w:jc w:val="center"/>
        </w:trPr>
        <w:tc>
          <w:tcPr>
            <w:tcW w:w="9900" w:type="dxa"/>
            <w:shd w:val="clear" w:color="auto" w:fill="D9D9D9" w:themeFill="background1" w:themeFillShade="D9"/>
          </w:tcPr>
          <w:p w:rsidR="00362519" w:rsidRPr="00286E38" w:rsidRDefault="00362519" w:rsidP="00362519">
            <w:pPr>
              <w:pStyle w:val="Listparagraf"/>
              <w:numPr>
                <w:ilvl w:val="0"/>
                <w:numId w:val="1"/>
              </w:numPr>
              <w:tabs>
                <w:tab w:val="left" w:pos="330"/>
              </w:tabs>
              <w:spacing w:line="276" w:lineRule="auto"/>
              <w:ind w:left="0" w:firstLine="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86E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Condițiile ce au impus elaborarea proiectului de act normativ și finalitățile urmărite</w:t>
            </w:r>
          </w:p>
        </w:tc>
      </w:tr>
      <w:tr w:rsidR="00362519" w:rsidRPr="00286E38" w:rsidTr="00662C4F">
        <w:trPr>
          <w:jc w:val="center"/>
        </w:trPr>
        <w:tc>
          <w:tcPr>
            <w:tcW w:w="9900" w:type="dxa"/>
          </w:tcPr>
          <w:p w:rsidR="00273756" w:rsidRPr="00F20167" w:rsidRDefault="00774F63" w:rsidP="00D900D7">
            <w:pPr>
              <w:spacing w:after="120"/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Necesitatea declar</w:t>
            </w:r>
            <w:r w:rsidR="007C35B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ării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381E09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utilității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publice pentru lucrările de interes comun al mai multor raioane </w:t>
            </w:r>
            <w:r w:rsidR="00381E09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/sau municipii </w:t>
            </w:r>
            <w:r w:rsidR="007C35B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</w:t>
            </w:r>
            <w:r w:rsidR="007C35B8" w:rsidRPr="007C35B8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amenajarea poligonului de acumulare și depozitare a deșeurilor</w:t>
            </w:r>
            <w:r w:rsidR="007C35B8" w:rsidRPr="007C35B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C35B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 </w:t>
            </w:r>
            <w:r w:rsidR="00381E09" w:rsidRPr="007C35B8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terenu</w:t>
            </w:r>
            <w:r w:rsidR="007C35B8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l</w:t>
            </w:r>
            <w:r w:rsidR="00381E09" w:rsidRPr="007C35B8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cu</w:t>
            </w:r>
            <w:r w:rsidR="00381E09" w:rsidRPr="00381E0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suprafața de 5,0207 ha din extravilanul comunei Bilicenii Noi și </w:t>
            </w:r>
            <w:r w:rsidR="007C35B8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pe terenul </w:t>
            </w:r>
            <w:r w:rsidR="00381E09" w:rsidRPr="00381E0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cu suprafața de 19,5454 ha din extravilanul comunei Țambula,  raionul Sângerei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reiese din </w:t>
            </w:r>
            <w:r w:rsidR="00381E09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situația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precară creată în domeniul gestionării </w:t>
            </w:r>
            <w:r w:rsidR="00381E09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deșeurilor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municipiul </w:t>
            </w:r>
            <w:r w:rsidR="00381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Bălți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381E09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raionul </w:t>
            </w:r>
            <w:r w:rsidR="00381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Sângerei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urmare </w:t>
            </w:r>
            <w:r w:rsidR="00381E09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imposibilității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exploatării poligonului pentru depozitarea </w:t>
            </w:r>
            <w:r w:rsidR="00381E09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deșeurilor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menajere solide</w:t>
            </w:r>
            <w:r w:rsidR="00283CA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amplasat pe teren</w:t>
            </w:r>
            <w:r w:rsidR="00381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urile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respectiv</w:t>
            </w:r>
            <w:r w:rsidR="00381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="00283CA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cauza </w:t>
            </w:r>
            <w:r w:rsidR="00381E09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divergențelor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apărute între </w:t>
            </w:r>
            <w:r w:rsidR="00381E09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autoritățile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locale din municipiul </w:t>
            </w:r>
            <w:r w:rsidR="00381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Bălți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381E09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comun</w:t>
            </w:r>
            <w:r w:rsidR="00381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 Bilicenii Noi și Țambula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precum </w:t>
            </w:r>
            <w:r w:rsidR="00381E09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cauza </w:t>
            </w:r>
            <w:r w:rsidR="00381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neînțelegerilor și blocajelor apărute între agentul economic concesionar și autoritățile locale respective în procesul </w:t>
            </w:r>
            <w:r w:rsidR="00381E09" w:rsidRPr="00F2016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colectare, evacuare, transport și depozitare a </w:t>
            </w:r>
            <w:r w:rsidR="00273756" w:rsidRPr="00F2016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deșeurile menajere solide colectate </w:t>
            </w:r>
            <w:r w:rsidR="00381E09" w:rsidRPr="00F2016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municipiul Bălți</w:t>
            </w:r>
            <w:r w:rsidR="00273756" w:rsidRPr="00F2016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381E09" w:rsidRPr="00F2016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20167" w:rsidRPr="00F20167" w:rsidRDefault="00450E08" w:rsidP="00106E98">
            <w:pPr>
              <w:pStyle w:val="cb"/>
              <w:shd w:val="clear" w:color="auto" w:fill="FFFFFF"/>
              <w:spacing w:before="0" w:beforeAutospacing="0" w:after="0" w:afterAutospacing="0"/>
              <w:ind w:firstLine="890"/>
              <w:jc w:val="both"/>
              <w:rPr>
                <w:bCs/>
                <w:color w:val="000000"/>
                <w:sz w:val="28"/>
                <w:szCs w:val="28"/>
                <w:lang w:val="ro-RO"/>
              </w:rPr>
            </w:pPr>
            <w:r w:rsidRPr="00F20167">
              <w:rPr>
                <w:sz w:val="28"/>
                <w:szCs w:val="28"/>
                <w:lang w:val="ro-RO"/>
              </w:rPr>
              <w:t xml:space="preserve">Urmând procedura stabilită de Legea exproprierii pentru cauză de utilitate publică nr. 488/1999, prin Hotărârea nr. </w:t>
            </w:r>
            <w:r w:rsidR="00F20167" w:rsidRPr="00F20167">
              <w:rPr>
                <w:sz w:val="28"/>
                <w:szCs w:val="28"/>
                <w:lang w:val="ro-RO"/>
              </w:rPr>
              <w:t>755 din 25 iulie 2018, Guvernul a constituit Comisia</w:t>
            </w:r>
            <w:r w:rsidR="00F20167">
              <w:rPr>
                <w:sz w:val="28"/>
                <w:szCs w:val="28"/>
                <w:lang w:val="ro-RO"/>
              </w:rPr>
              <w:t xml:space="preserve"> </w:t>
            </w:r>
            <w:r w:rsidR="00F20167" w:rsidRPr="00F20167">
              <w:rPr>
                <w:bCs/>
                <w:color w:val="000000"/>
                <w:sz w:val="28"/>
                <w:szCs w:val="28"/>
                <w:lang w:val="ro-RO"/>
              </w:rPr>
              <w:t>de cercetare prealabilă pentru</w:t>
            </w:r>
            <w:r w:rsidR="00F20167">
              <w:rPr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F20167" w:rsidRPr="00F20167">
              <w:rPr>
                <w:bCs/>
                <w:color w:val="000000"/>
                <w:sz w:val="28"/>
                <w:szCs w:val="28"/>
                <w:lang w:val="ro-RO"/>
              </w:rPr>
              <w:t>declararea utilității publice a lucrărilor de interes comun al mai multor raioane și/sau municipii</w:t>
            </w:r>
            <w:r w:rsidR="00F20167">
              <w:rPr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F20167" w:rsidRPr="00F20167">
              <w:rPr>
                <w:bCs/>
                <w:color w:val="000000"/>
                <w:sz w:val="28"/>
                <w:szCs w:val="28"/>
                <w:lang w:val="ro-RO"/>
              </w:rPr>
              <w:t>pentru terenurile cu suprafața de 5,0207 ha din extravilanul comunei Bilicenii Noi și cu suprafața de 19,5454 ha din extravilanul comunei Țambula, raionul Sângerei</w:t>
            </w:r>
            <w:r w:rsidR="00687324">
              <w:rPr>
                <w:bCs/>
                <w:color w:val="000000"/>
                <w:sz w:val="28"/>
                <w:szCs w:val="28"/>
                <w:lang w:val="ro-RO"/>
              </w:rPr>
              <w:t>.</w:t>
            </w:r>
          </w:p>
          <w:p w:rsidR="00774F63" w:rsidRDefault="00F20167" w:rsidP="00106E98">
            <w:pPr>
              <w:spacing w:after="120"/>
              <w:ind w:firstLine="89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Comisia a examinat situația </w:t>
            </w:r>
            <w:r w:rsidR="00D900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stabilind existența unor di</w:t>
            </w:r>
            <w:r w:rsidR="000818D0" w:rsidRPr="00F2016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sensiuni între autoritățile administrației publice locale și între acestea și agentul economic</w:t>
            </w:r>
            <w:r w:rsidR="000818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concesionar </w:t>
            </w:r>
            <w:r w:rsidR="00D900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care 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cre</w:t>
            </w:r>
            <w:r w:rsidR="000818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ează 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pericolul de poluare a componentelor de mediu </w:t>
            </w:r>
            <w:r w:rsidR="00973C9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900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poate afecta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73C9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viața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73C9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sănătatea </w:t>
            </w:r>
            <w:r w:rsidR="00973C9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populației</w:t>
            </w:r>
            <w:r w:rsidR="000818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regiunea respectivă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D900D7" w:rsidRPr="00774F63" w:rsidRDefault="00D900D7" w:rsidP="00106E98">
            <w:pPr>
              <w:spacing w:after="120"/>
              <w:ind w:firstLine="89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Hlk520817799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Situația s-a acutizat și pe fonul unor neînțelegeri de ordin politic care au creat artificial blocaje atât în activitatea serviciului de salubritate al mun. Bălți, cât și în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relațiile contractuale stabilite anterior între agentul economic care are în gestiune poligonul de depozitare a deșeurilor menajere solide, amplasat pe terenurile respective. </w:t>
            </w:r>
          </w:p>
          <w:p w:rsidR="00362519" w:rsidRDefault="00973C93" w:rsidP="00106E98">
            <w:pPr>
              <w:spacing w:after="120"/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1" w:name="_Hlk520817824"/>
            <w:bookmarkEnd w:id="0"/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Reieșind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necesitatea remedierii neîntârziate a 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situației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create, este iminentă declar</w:t>
            </w:r>
            <w:r w:rsidR="00106E9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area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utilității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publice</w:t>
            </w:r>
            <w:bookmarkEnd w:id="1"/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lucrările de interes comun al mai multor raioane </w:t>
            </w:r>
            <w:r w:rsidR="00543260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/sau municipii pentru </w:t>
            </w:r>
            <w:r w:rsidR="001F52EC" w:rsidRPr="001F52E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terenurile cu suprafața de 5,0207 ha din extravilanul comunei Bilicenii Noi și cu suprafața de 19,5454 ha din extravilanul comunei Țambula, raionul Sângerei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pe care este situat poligonul pentru depozitarea </w:t>
            </w:r>
            <w:r w:rsidR="001F52EC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deșeurilor</w:t>
            </w:r>
            <w:r w:rsidR="00774F63" w:rsidRPr="00774F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menajere solide.</w:t>
            </w:r>
          </w:p>
          <w:p w:rsidR="00106E98" w:rsidRDefault="00106E98" w:rsidP="00106E98">
            <w:pPr>
              <w:spacing w:after="120"/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continuare, în conformitate cu procedurile legale, </w:t>
            </w:r>
            <w:r w:rsidRPr="00863F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comun cu autoritățile administrației publice locale respective,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Ministerul Agriculturii, </w:t>
            </w:r>
            <w:r w:rsidR="00F308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ezvoltării </w:t>
            </w:r>
            <w:r w:rsidR="00F308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egionale și Mediului </w:t>
            </w:r>
            <w:r w:rsidRPr="00863F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 </w:t>
            </w:r>
            <w:r w:rsidR="00F308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reprezenta</w:t>
            </w:r>
            <w:r w:rsidRPr="00863F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 pentru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realizarea </w:t>
            </w:r>
            <w:r w:rsidR="00F308E5" w:rsidRPr="00863F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măsuril</w:t>
            </w:r>
            <w:r w:rsidR="00C214E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</w:t>
            </w:r>
            <w:r w:rsidR="00F308E5" w:rsidRPr="00863F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necesare </w:t>
            </w:r>
            <w:proofErr w:type="spellStart"/>
            <w:r w:rsidR="00C214E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implement</w:t>
            </w:r>
            <w:proofErr w:type="spellEnd"/>
            <w:r w:rsidR="00C214E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[</w:t>
            </w:r>
            <w:proofErr w:type="spellStart"/>
            <w:r w:rsidR="00C214E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rii</w:t>
            </w:r>
            <w:proofErr w:type="spellEnd"/>
            <w:r w:rsidR="00C214E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prevederilor hotărârii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inclusiv înaintând propunerea de expropriere expropriatului</w:t>
            </w:r>
            <w:r w:rsidR="001B06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1B0692" w:rsidRPr="00774F63" w:rsidRDefault="001B0692" w:rsidP="00C214ED">
            <w:pPr>
              <w:spacing w:after="120"/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asemenea, după epuizarea</w:t>
            </w:r>
            <w:r w:rsidR="003336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214E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căilor de soluționare</w:t>
            </w:r>
            <w:r w:rsidR="003336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prejudiciar</w:t>
            </w:r>
            <w:r w:rsidR="00C214E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="003336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cazul în care nu se va ajunge la un acord de expropriere, </w:t>
            </w:r>
            <w:r w:rsidR="00F308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Guvernul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asigura întreprinderea măsurilor necesare pentru declanșarea exproprierii pe ca</w:t>
            </w:r>
            <w:r w:rsidR="00F308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 judiciară</w:t>
            </w:r>
            <w:r w:rsidR="00F308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362519" w:rsidRPr="00286E38" w:rsidTr="00662C4F">
        <w:trPr>
          <w:jc w:val="center"/>
        </w:trPr>
        <w:tc>
          <w:tcPr>
            <w:tcW w:w="9900" w:type="dxa"/>
            <w:shd w:val="clear" w:color="auto" w:fill="D9D9D9" w:themeFill="background1" w:themeFillShade="D9"/>
          </w:tcPr>
          <w:p w:rsidR="00362519" w:rsidRPr="00286E38" w:rsidRDefault="00362519" w:rsidP="00362519">
            <w:pPr>
              <w:pStyle w:val="Listparagraf"/>
              <w:numPr>
                <w:ilvl w:val="0"/>
                <w:numId w:val="1"/>
              </w:numPr>
              <w:tabs>
                <w:tab w:val="left" w:pos="330"/>
              </w:tabs>
              <w:spacing w:line="276" w:lineRule="auto"/>
              <w:ind w:left="0" w:firstLine="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86E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lastRenderedPageBreak/>
              <w:t xml:space="preserve">Fundamentarea </w:t>
            </w:r>
            <w:proofErr w:type="spellStart"/>
            <w:r w:rsidRPr="00286E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economico</w:t>
            </w:r>
            <w:proofErr w:type="spellEnd"/>
            <w:r w:rsidRPr="00286E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-financiară</w:t>
            </w:r>
          </w:p>
        </w:tc>
      </w:tr>
      <w:tr w:rsidR="00362519" w:rsidRPr="00286E38" w:rsidTr="00662C4F">
        <w:trPr>
          <w:jc w:val="center"/>
        </w:trPr>
        <w:tc>
          <w:tcPr>
            <w:tcW w:w="9900" w:type="dxa"/>
          </w:tcPr>
          <w:p w:rsidR="00362519" w:rsidRPr="00362519" w:rsidRDefault="00241DDD" w:rsidP="00241DDD">
            <w:pPr>
              <w:pStyle w:val="Corptext1"/>
              <w:shd w:val="clear" w:color="auto" w:fill="auto"/>
              <w:spacing w:before="120" w:after="120" w:line="240" w:lineRule="auto"/>
              <w:ind w:right="14" w:firstLine="907"/>
              <w:rPr>
                <w:sz w:val="28"/>
                <w:szCs w:val="28"/>
                <w:lang w:val="ro-RO"/>
              </w:rPr>
            </w:pPr>
            <w:bookmarkStart w:id="2" w:name="_Hlk520819065"/>
            <w:bookmarkStart w:id="3" w:name="_GoBack"/>
            <w:r>
              <w:rPr>
                <w:sz w:val="28"/>
                <w:szCs w:val="28"/>
                <w:lang w:val="ro-RO"/>
              </w:rPr>
              <w:t>Implementarea proiectului va necesita mijloace financiare care conform prevederilor proiectului vor fi acoperite din sursele bugetului de stat. Mijloacele financiare respective rezidă în despăgubiri urmează a fi acordate expropriatului. Cuantumul acestor despăgubiri urmează a fi determinate ulterior în procesul de realizare a măsurilor necesare implementării proiectului hotărârii de Guvern propus spre examinare.</w:t>
            </w:r>
            <w:bookmarkEnd w:id="2"/>
            <w:bookmarkEnd w:id="3"/>
          </w:p>
        </w:tc>
      </w:tr>
      <w:tr w:rsidR="00362519" w:rsidRPr="00286E38" w:rsidTr="00662C4F">
        <w:trPr>
          <w:jc w:val="center"/>
        </w:trPr>
        <w:tc>
          <w:tcPr>
            <w:tcW w:w="9900" w:type="dxa"/>
            <w:shd w:val="clear" w:color="auto" w:fill="D9D9D9" w:themeFill="background1" w:themeFillShade="D9"/>
          </w:tcPr>
          <w:p w:rsidR="00362519" w:rsidRPr="00286E38" w:rsidRDefault="00362519" w:rsidP="00D856D7">
            <w:pPr>
              <w:pStyle w:val="Listparagraf"/>
              <w:numPr>
                <w:ilvl w:val="0"/>
                <w:numId w:val="1"/>
              </w:numPr>
              <w:tabs>
                <w:tab w:val="left" w:pos="330"/>
              </w:tabs>
              <w:ind w:left="0" w:firstLine="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86E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Avizarea și consultarea publică a proiectului</w:t>
            </w:r>
          </w:p>
        </w:tc>
      </w:tr>
      <w:tr w:rsidR="00362519" w:rsidRPr="00286E38" w:rsidTr="00662C4F">
        <w:trPr>
          <w:jc w:val="center"/>
        </w:trPr>
        <w:tc>
          <w:tcPr>
            <w:tcW w:w="9900" w:type="dxa"/>
          </w:tcPr>
          <w:p w:rsidR="00362519" w:rsidRPr="00286E38" w:rsidRDefault="00362519" w:rsidP="00F068EF">
            <w:pPr>
              <w:tabs>
                <w:tab w:val="left" w:pos="330"/>
              </w:tabs>
              <w:spacing w:before="120" w:after="120"/>
              <w:ind w:firstLine="691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86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contextul celor expuse și în conformitate cu prevederile art.</w:t>
            </w:r>
            <w:r w:rsidR="00167C5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32 și 34</w:t>
            </w:r>
            <w:r w:rsidRPr="00286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Legea nr.</w:t>
            </w:r>
            <w:r w:rsidR="00167C5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100</w:t>
            </w:r>
            <w:r w:rsidRPr="00286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167C5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Pr="00286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privind actele </w:t>
            </w:r>
            <w:r w:rsidR="00167C5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normative</w:t>
            </w:r>
            <w:r w:rsidRPr="00286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172E60" w:rsidRPr="00286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</w:t>
            </w:r>
            <w:r w:rsidR="00172E6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67C5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 </w:t>
            </w:r>
            <w:r w:rsidRPr="00286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prez</w:t>
            </w:r>
            <w:r w:rsidR="00167C5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Pr="00286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ntă pentru </w:t>
            </w:r>
            <w:r w:rsidR="00167C5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consultare publică, avizare și expertiză</w:t>
            </w:r>
            <w:r w:rsidRPr="00286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</w:tbl>
    <w:p w:rsidR="00362519" w:rsidRDefault="00362519" w:rsidP="00973C93">
      <w:pPr>
        <w:pStyle w:val="Bodytext30"/>
        <w:shd w:val="clear" w:color="auto" w:fill="auto"/>
        <w:spacing w:before="0" w:after="0" w:line="312" w:lineRule="exact"/>
        <w:ind w:firstLine="900"/>
        <w:jc w:val="both"/>
        <w:rPr>
          <w:sz w:val="28"/>
          <w:szCs w:val="28"/>
          <w:lang w:val="ro-RO"/>
        </w:rPr>
      </w:pPr>
    </w:p>
    <w:p w:rsidR="00772417" w:rsidRPr="00D856D7" w:rsidRDefault="00772417" w:rsidP="00772417">
      <w:pPr>
        <w:pStyle w:val="Bodytext30"/>
        <w:shd w:val="clear" w:color="auto" w:fill="auto"/>
        <w:spacing w:before="0" w:after="0" w:line="312" w:lineRule="exact"/>
        <w:ind w:firstLine="5670"/>
        <w:jc w:val="both"/>
        <w:rPr>
          <w:b/>
          <w:sz w:val="28"/>
          <w:szCs w:val="28"/>
          <w:lang w:val="ro-RO"/>
        </w:rPr>
      </w:pPr>
      <w:r w:rsidRPr="00D856D7">
        <w:rPr>
          <w:b/>
          <w:sz w:val="28"/>
          <w:szCs w:val="28"/>
          <w:lang w:val="ro-RO"/>
        </w:rPr>
        <w:t xml:space="preserve">Liviu </w:t>
      </w:r>
      <w:proofErr w:type="spellStart"/>
      <w:r w:rsidRPr="00D856D7">
        <w:rPr>
          <w:b/>
          <w:sz w:val="28"/>
          <w:szCs w:val="28"/>
          <w:lang w:val="ro-RO"/>
        </w:rPr>
        <w:t>Volconovici</w:t>
      </w:r>
      <w:proofErr w:type="spellEnd"/>
      <w:r w:rsidRPr="00D856D7">
        <w:rPr>
          <w:b/>
          <w:sz w:val="28"/>
          <w:szCs w:val="28"/>
          <w:lang w:val="ro-RO"/>
        </w:rPr>
        <w:t>,</w:t>
      </w:r>
    </w:p>
    <w:p w:rsidR="00772417" w:rsidRPr="00D856D7" w:rsidRDefault="00772417" w:rsidP="00772417">
      <w:pPr>
        <w:pStyle w:val="Bodytext30"/>
        <w:shd w:val="clear" w:color="auto" w:fill="auto"/>
        <w:spacing w:before="0" w:after="0" w:line="312" w:lineRule="exact"/>
        <w:ind w:firstLine="5670"/>
        <w:jc w:val="both"/>
        <w:rPr>
          <w:sz w:val="28"/>
          <w:szCs w:val="28"/>
          <w:lang w:val="ro-RO"/>
        </w:rPr>
      </w:pPr>
      <w:r w:rsidRPr="00D856D7">
        <w:rPr>
          <w:sz w:val="28"/>
          <w:szCs w:val="28"/>
          <w:lang w:val="ro-RO"/>
        </w:rPr>
        <w:t xml:space="preserve">ministru al agriculturii, </w:t>
      </w:r>
    </w:p>
    <w:p w:rsidR="00772417" w:rsidRPr="00D856D7" w:rsidRDefault="00772417" w:rsidP="00772417">
      <w:pPr>
        <w:pStyle w:val="Bodytext30"/>
        <w:shd w:val="clear" w:color="auto" w:fill="auto"/>
        <w:spacing w:before="0" w:after="0" w:line="312" w:lineRule="exact"/>
        <w:ind w:firstLine="5670"/>
        <w:jc w:val="both"/>
        <w:rPr>
          <w:sz w:val="28"/>
          <w:szCs w:val="28"/>
          <w:lang w:val="ro-RO"/>
        </w:rPr>
      </w:pPr>
      <w:r w:rsidRPr="00D856D7">
        <w:rPr>
          <w:sz w:val="28"/>
          <w:szCs w:val="28"/>
          <w:lang w:val="ro-RO"/>
        </w:rPr>
        <w:t>dezvoltării regionale și mediului</w:t>
      </w:r>
    </w:p>
    <w:sectPr w:rsidR="00772417" w:rsidRPr="00D8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661CA"/>
    <w:multiLevelType w:val="hybridMultilevel"/>
    <w:tmpl w:val="AE4ACFA6"/>
    <w:lvl w:ilvl="0" w:tplc="AE9ABB1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/>
        <w:i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1915"/>
    <w:multiLevelType w:val="hybridMultilevel"/>
    <w:tmpl w:val="D6BA4F24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58"/>
    <w:rsid w:val="0007020E"/>
    <w:rsid w:val="000818D0"/>
    <w:rsid w:val="000A1C23"/>
    <w:rsid w:val="00106E98"/>
    <w:rsid w:val="001411D1"/>
    <w:rsid w:val="00144C7B"/>
    <w:rsid w:val="00167C54"/>
    <w:rsid w:val="00172E60"/>
    <w:rsid w:val="001B0692"/>
    <w:rsid w:val="001D2CF3"/>
    <w:rsid w:val="001F52EC"/>
    <w:rsid w:val="00241DDD"/>
    <w:rsid w:val="00273756"/>
    <w:rsid w:val="00283CAB"/>
    <w:rsid w:val="00292898"/>
    <w:rsid w:val="002F1B00"/>
    <w:rsid w:val="003336D8"/>
    <w:rsid w:val="00362519"/>
    <w:rsid w:val="00381E09"/>
    <w:rsid w:val="003F3CC3"/>
    <w:rsid w:val="003F5A1F"/>
    <w:rsid w:val="00450E08"/>
    <w:rsid w:val="00455EF5"/>
    <w:rsid w:val="00510909"/>
    <w:rsid w:val="00543260"/>
    <w:rsid w:val="005573ED"/>
    <w:rsid w:val="00590EB7"/>
    <w:rsid w:val="005A52DD"/>
    <w:rsid w:val="00662C4F"/>
    <w:rsid w:val="00687324"/>
    <w:rsid w:val="006E613E"/>
    <w:rsid w:val="00710FF6"/>
    <w:rsid w:val="00772417"/>
    <w:rsid w:val="00774F63"/>
    <w:rsid w:val="007A3DD0"/>
    <w:rsid w:val="007C35B8"/>
    <w:rsid w:val="007D765F"/>
    <w:rsid w:val="008276E5"/>
    <w:rsid w:val="00902558"/>
    <w:rsid w:val="009125F6"/>
    <w:rsid w:val="00973C93"/>
    <w:rsid w:val="009D6C6B"/>
    <w:rsid w:val="00A0102A"/>
    <w:rsid w:val="00AF2569"/>
    <w:rsid w:val="00BC390F"/>
    <w:rsid w:val="00BC54C5"/>
    <w:rsid w:val="00C214ED"/>
    <w:rsid w:val="00C850A9"/>
    <w:rsid w:val="00CA516A"/>
    <w:rsid w:val="00CD74EC"/>
    <w:rsid w:val="00D33C89"/>
    <w:rsid w:val="00D4071D"/>
    <w:rsid w:val="00D62243"/>
    <w:rsid w:val="00D8135F"/>
    <w:rsid w:val="00D856D7"/>
    <w:rsid w:val="00D900D7"/>
    <w:rsid w:val="00D92F93"/>
    <w:rsid w:val="00D9550B"/>
    <w:rsid w:val="00F068EF"/>
    <w:rsid w:val="00F20167"/>
    <w:rsid w:val="00F308E5"/>
    <w:rsid w:val="00FC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FFB1"/>
  <w15:chartTrackingRefBased/>
  <w15:docId w15:val="{ED806920-5249-4FA7-8A8D-58B5CB6F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">
    <w:name w:val="Body text (3)_"/>
    <w:basedOn w:val="Fontdeparagrafimplicit"/>
    <w:link w:val="Bodytext30"/>
    <w:rsid w:val="009025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02558"/>
    <w:pPr>
      <w:shd w:val="clear" w:color="auto" w:fill="FFFFFF"/>
      <w:spacing w:before="540" w:after="54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">
    <w:name w:val="Body text_"/>
    <w:basedOn w:val="Fontdeparagrafimplicit"/>
    <w:link w:val="Corptext1"/>
    <w:rsid w:val="0090255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Corptext1">
    <w:name w:val="Corp text1"/>
    <w:basedOn w:val="Normal"/>
    <w:link w:val="Bodytext"/>
    <w:rsid w:val="00902558"/>
    <w:pPr>
      <w:shd w:val="clear" w:color="auto" w:fill="FFFFFF"/>
      <w:spacing w:before="540" w:after="30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Listparagraf">
    <w:name w:val="List Paragraph"/>
    <w:basedOn w:val="Normal"/>
    <w:uiPriority w:val="34"/>
    <w:qFormat/>
    <w:rsid w:val="00362519"/>
    <w:pPr>
      <w:ind w:left="720"/>
      <w:contextualSpacing/>
    </w:pPr>
  </w:style>
  <w:style w:type="table" w:styleId="Tabelgril">
    <w:name w:val="Table Grid"/>
    <w:basedOn w:val="TabelNormal"/>
    <w:uiPriority w:val="59"/>
    <w:rsid w:val="0036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BC54C5"/>
    <w:rPr>
      <w:color w:val="605E5C"/>
      <w:shd w:val="clear" w:color="auto" w:fill="E1DFDD"/>
    </w:rPr>
  </w:style>
  <w:style w:type="paragraph" w:customStyle="1" w:styleId="cb">
    <w:name w:val="cb"/>
    <w:basedOn w:val="Normal"/>
    <w:rsid w:val="00F2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Varanita</dc:creator>
  <cp:keywords/>
  <dc:description/>
  <cp:lastModifiedBy>Vitalie Varanita</cp:lastModifiedBy>
  <cp:revision>30</cp:revision>
  <dcterms:created xsi:type="dcterms:W3CDTF">2018-07-31T05:13:00Z</dcterms:created>
  <dcterms:modified xsi:type="dcterms:W3CDTF">2018-07-31T13:49:00Z</dcterms:modified>
</cp:coreProperties>
</file>