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DE" w:rsidRDefault="002B0BDE" w:rsidP="002C07E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GoBack"/>
      <w:bookmarkEnd w:id="0"/>
    </w:p>
    <w:p w:rsidR="002B0BDE" w:rsidRDefault="002B0BDE" w:rsidP="002C07E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622A52" w:rsidRPr="00E45DAC" w:rsidRDefault="00622A52" w:rsidP="002C07E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622A52" w:rsidRPr="00E45DAC" w:rsidRDefault="00622A52" w:rsidP="002C07E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HOTĂRÂRE nr.__________</w:t>
      </w:r>
    </w:p>
    <w:p w:rsidR="00622A52" w:rsidRPr="00E45DAC" w:rsidRDefault="00622A52" w:rsidP="002C07E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>din______________________</w:t>
      </w:r>
    </w:p>
    <w:p w:rsidR="002542A8" w:rsidRPr="00E45DAC" w:rsidRDefault="002542A8" w:rsidP="002C07E8">
      <w:pPr>
        <w:spacing w:after="120" w:line="276" w:lineRule="auto"/>
        <w:ind w:firstLine="90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622A52" w:rsidRPr="00E45DAC" w:rsidRDefault="002542A8" w:rsidP="002B0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1" w:name="_Hlk520788549"/>
      <w:r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622A52"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u privire la </w:t>
      </w:r>
      <w:r w:rsidR="009935C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declararea utilității publice pentru lucrările de </w:t>
      </w:r>
      <w:r w:rsidR="00622A52"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>interes comun al</w:t>
      </w:r>
    </w:p>
    <w:p w:rsidR="00622A52" w:rsidRDefault="00622A52" w:rsidP="002B0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 multor raioane și/sau municipii pentru </w:t>
      </w:r>
      <w:r w:rsidR="002C07E8">
        <w:rPr>
          <w:rFonts w:ascii="Times New Roman" w:hAnsi="Times New Roman" w:cs="Times New Roman"/>
          <w:b/>
          <w:bCs/>
          <w:sz w:val="28"/>
          <w:szCs w:val="28"/>
          <w:lang w:val="ro-RO"/>
        </w:rPr>
        <w:t>amenajarea poligonului de acumulare și depozitare a deșeurilor</w:t>
      </w:r>
      <w:bookmarkEnd w:id="1"/>
      <w:r w:rsidR="000A755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localitățile raionului Sângerei și municipiul Bălți</w:t>
      </w:r>
    </w:p>
    <w:p w:rsidR="002C07E8" w:rsidRPr="002B0BDE" w:rsidRDefault="002C07E8" w:rsidP="002C07E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22A52" w:rsidRDefault="00622A52" w:rsidP="002C07E8">
      <w:pPr>
        <w:spacing w:after="120" w:line="276" w:lineRule="auto"/>
        <w:ind w:firstLine="90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45DAC">
        <w:rPr>
          <w:rFonts w:ascii="Times New Roman" w:hAnsi="Times New Roman" w:cs="Times New Roman"/>
          <w:sz w:val="28"/>
          <w:szCs w:val="28"/>
          <w:lang w:val="ro-RO"/>
        </w:rPr>
        <w:t xml:space="preserve"> În temeiul </w:t>
      </w:r>
      <w:r w:rsidR="00494AFE">
        <w:rPr>
          <w:rFonts w:ascii="Times New Roman" w:hAnsi="Times New Roman" w:cs="Times New Roman"/>
          <w:sz w:val="28"/>
          <w:szCs w:val="28"/>
          <w:lang w:val="ro-RO"/>
        </w:rPr>
        <w:t>art.5 alin. (1) lit. k) și alin</w:t>
      </w:r>
      <w:r w:rsidR="003A3BB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94AFE">
        <w:rPr>
          <w:rFonts w:ascii="Times New Roman" w:hAnsi="Times New Roman" w:cs="Times New Roman"/>
          <w:sz w:val="28"/>
          <w:szCs w:val="28"/>
          <w:lang w:val="ro-RO"/>
        </w:rPr>
        <w:t xml:space="preserve"> (4)</w:t>
      </w:r>
      <w:r w:rsidR="003151D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94AF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45DAC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2470EE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E45DAC">
        <w:rPr>
          <w:rFonts w:ascii="Times New Roman" w:hAnsi="Times New Roman" w:cs="Times New Roman"/>
          <w:sz w:val="28"/>
          <w:szCs w:val="28"/>
          <w:lang w:val="ro-RO"/>
        </w:rPr>
        <w:t xml:space="preserve"> alin.</w:t>
      </w:r>
      <w:r w:rsidR="0048220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45DAC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2470EE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E45DAC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2470EE">
        <w:rPr>
          <w:rFonts w:ascii="Times New Roman" w:hAnsi="Times New Roman" w:cs="Times New Roman"/>
          <w:sz w:val="28"/>
          <w:szCs w:val="28"/>
          <w:lang w:val="ro-RO"/>
        </w:rPr>
        <w:t>lit</w:t>
      </w:r>
      <w:r w:rsidR="00F3176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470EE">
        <w:rPr>
          <w:rFonts w:ascii="Times New Roman" w:hAnsi="Times New Roman" w:cs="Times New Roman"/>
          <w:sz w:val="28"/>
          <w:szCs w:val="28"/>
          <w:lang w:val="ro-RO"/>
        </w:rPr>
        <w:t xml:space="preserve"> c) </w:t>
      </w:r>
      <w:r w:rsidRPr="00E45DAC">
        <w:rPr>
          <w:rFonts w:ascii="Times New Roman" w:hAnsi="Times New Roman" w:cs="Times New Roman"/>
          <w:sz w:val="28"/>
          <w:szCs w:val="28"/>
          <w:lang w:val="ro-RO"/>
        </w:rPr>
        <w:t>din </w:t>
      </w:r>
      <w:hyperlink r:id="rId5" w:tgtFrame="_blank" w:history="1">
        <w:r w:rsidRPr="00E45D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Legea exproprierii pentru cauză de utilitate publică nr.488-XIV din 8 iulie 1999</w:t>
        </w:r>
      </w:hyperlink>
      <w:r w:rsidRPr="00E45DAC">
        <w:rPr>
          <w:rFonts w:ascii="Times New Roman" w:hAnsi="Times New Roman" w:cs="Times New Roman"/>
          <w:sz w:val="28"/>
          <w:szCs w:val="28"/>
          <w:lang w:val="ro-RO"/>
        </w:rPr>
        <w:t> (Monitorul Oficial al Republicii Moldova, 2000, nr.42-44, art.311), cu modificările ulterioare, Guvernul</w:t>
      </w:r>
      <w:r w:rsidR="002542A8" w:rsidRPr="00E45DA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863F99" w:rsidRPr="00863F99" w:rsidRDefault="00622A52" w:rsidP="002C07E8">
      <w:pPr>
        <w:pStyle w:val="a4"/>
        <w:numPr>
          <w:ilvl w:val="0"/>
          <w:numId w:val="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863F99"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declară de utilitate publică lucrările de interes comun de amenajare a poligonului de acumulare și depozitare a deșeurilor </w:t>
      </w:r>
      <w:r w:rsidR="005569D8">
        <w:rPr>
          <w:rFonts w:ascii="Times New Roman" w:hAnsi="Times New Roman" w:cs="Times New Roman"/>
          <w:sz w:val="28"/>
          <w:szCs w:val="28"/>
          <w:lang w:val="ro-RO"/>
        </w:rPr>
        <w:t xml:space="preserve">menajere solide din </w:t>
      </w:r>
      <w:r w:rsidR="003D555E">
        <w:rPr>
          <w:rFonts w:ascii="Times New Roman" w:hAnsi="Times New Roman" w:cs="Times New Roman"/>
          <w:sz w:val="28"/>
          <w:szCs w:val="28"/>
          <w:lang w:val="ro-RO"/>
        </w:rPr>
        <w:t xml:space="preserve">localitățile </w:t>
      </w:r>
      <w:r w:rsidR="005569D8">
        <w:rPr>
          <w:rFonts w:ascii="Times New Roman" w:hAnsi="Times New Roman" w:cs="Times New Roman"/>
          <w:sz w:val="28"/>
          <w:szCs w:val="28"/>
          <w:lang w:val="ro-RO"/>
        </w:rPr>
        <w:t>raionul</w:t>
      </w:r>
      <w:r w:rsidR="003D555E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5569D8">
        <w:rPr>
          <w:rFonts w:ascii="Times New Roman" w:hAnsi="Times New Roman" w:cs="Times New Roman"/>
          <w:sz w:val="28"/>
          <w:szCs w:val="28"/>
          <w:lang w:val="ro-RO"/>
        </w:rPr>
        <w:t xml:space="preserve"> Sângerei și municipiul Bălți, </w:t>
      </w:r>
      <w:r w:rsidR="00863F99"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pe terenul cu suprafața de 5,0207 ha 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0D6E13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EC63F9">
        <w:rPr>
          <w:rFonts w:ascii="Times New Roman" w:hAnsi="Times New Roman" w:cs="Times New Roman"/>
          <w:sz w:val="28"/>
          <w:szCs w:val="28"/>
          <w:lang w:val="ro-RO"/>
        </w:rPr>
        <w:t>umărul</w:t>
      </w:r>
      <w:r w:rsidR="000D6E13">
        <w:rPr>
          <w:rFonts w:ascii="Times New Roman" w:hAnsi="Times New Roman" w:cs="Times New Roman"/>
          <w:sz w:val="28"/>
          <w:szCs w:val="28"/>
          <w:lang w:val="ro-RO"/>
        </w:rPr>
        <w:t xml:space="preserve"> cadastral</w:t>
      </w:r>
      <w:r w:rsidR="00EC63F9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6426FE">
        <w:rPr>
          <w:rFonts w:ascii="Times New Roman" w:hAnsi="Times New Roman" w:cs="Times New Roman"/>
          <w:sz w:val="28"/>
          <w:szCs w:val="28"/>
          <w:lang w:val="ro-RO"/>
        </w:rPr>
        <w:t xml:space="preserve"> 7417102.445 </w:t>
      </w:r>
      <w:r w:rsidR="00863F99" w:rsidRPr="00863F99">
        <w:rPr>
          <w:rFonts w:ascii="Times New Roman" w:hAnsi="Times New Roman" w:cs="Times New Roman"/>
          <w:sz w:val="28"/>
          <w:szCs w:val="28"/>
          <w:lang w:val="ro-RO"/>
        </w:rPr>
        <w:t>din extravilanul comunei Bilicenii Noi și</w:t>
      </w:r>
      <w:r w:rsidR="00815DDB">
        <w:rPr>
          <w:rFonts w:ascii="Times New Roman" w:hAnsi="Times New Roman" w:cs="Times New Roman"/>
          <w:sz w:val="28"/>
          <w:szCs w:val="28"/>
          <w:lang w:val="ro-RO"/>
        </w:rPr>
        <w:t xml:space="preserve"> pe terenul</w:t>
      </w:r>
      <w:r w:rsidR="00863F99"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 cu suprafața de 19,5454 ha </w:t>
      </w:r>
      <w:r w:rsidR="00815DDB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0D6E13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EC63F9">
        <w:rPr>
          <w:rFonts w:ascii="Times New Roman" w:hAnsi="Times New Roman" w:cs="Times New Roman"/>
          <w:sz w:val="28"/>
          <w:szCs w:val="28"/>
          <w:lang w:val="ro-RO"/>
        </w:rPr>
        <w:t>umărul</w:t>
      </w:r>
      <w:r w:rsidR="000D6E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D6E13">
        <w:rPr>
          <w:rFonts w:ascii="Times New Roman" w:hAnsi="Times New Roman" w:cs="Times New Roman"/>
          <w:sz w:val="28"/>
          <w:szCs w:val="28"/>
          <w:lang w:val="ro-RO"/>
        </w:rPr>
        <w:lastRenderedPageBreak/>
        <w:t>cadastral</w:t>
      </w:r>
      <w:r w:rsidR="00EC63F9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636C80">
        <w:rPr>
          <w:rFonts w:ascii="Times New Roman" w:hAnsi="Times New Roman" w:cs="Times New Roman"/>
          <w:sz w:val="28"/>
          <w:szCs w:val="28"/>
          <w:lang w:val="ro-RO"/>
        </w:rPr>
        <w:t xml:space="preserve"> 7473107.089</w:t>
      </w:r>
      <w:r w:rsidR="000D6E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3F99" w:rsidRPr="00863F99">
        <w:rPr>
          <w:rFonts w:ascii="Times New Roman" w:hAnsi="Times New Roman" w:cs="Times New Roman"/>
          <w:sz w:val="28"/>
          <w:szCs w:val="28"/>
          <w:lang w:val="ro-RO"/>
        </w:rPr>
        <w:t>din extravilanul comunei Țambula,  raionul Sângerei.</w:t>
      </w:r>
    </w:p>
    <w:p w:rsidR="00863F99" w:rsidRPr="00863F99" w:rsidRDefault="000D6E13" w:rsidP="002C07E8">
      <w:pPr>
        <w:pStyle w:val="a4"/>
        <w:numPr>
          <w:ilvl w:val="0"/>
          <w:numId w:val="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expropriază</w:t>
      </w:r>
      <w:r w:rsidR="00863F99"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 dreptul de folosință asupra terenurilor menționate în pct. 1</w:t>
      </w:r>
      <w:r w:rsidR="00863F99" w:rsidRPr="00863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ce urmează a fi utilizate în lucrările de amenajare a poligonului menționat la pct. 1.</w:t>
      </w:r>
    </w:p>
    <w:p w:rsidR="00863F99" w:rsidRPr="00863F99" w:rsidRDefault="00863F99" w:rsidP="002C07E8">
      <w:pPr>
        <w:pStyle w:val="a4"/>
        <w:numPr>
          <w:ilvl w:val="0"/>
          <w:numId w:val="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Ministerul Agriculturii, Dezvoltării Regionale și Mediului în comun cu autoritățile administrației publice locale respective, va întreprinde, în numele Guvernului, măsurile necesare pentru </w:t>
      </w:r>
      <w:r w:rsidR="007D59E6">
        <w:rPr>
          <w:rFonts w:ascii="Times New Roman" w:hAnsi="Times New Roman" w:cs="Times New Roman"/>
          <w:sz w:val="28"/>
          <w:szCs w:val="28"/>
          <w:lang w:val="ro-RO"/>
        </w:rPr>
        <w:t xml:space="preserve">realizarea </w:t>
      </w:r>
      <w:r w:rsidRPr="00863F99">
        <w:rPr>
          <w:rFonts w:ascii="Times New Roman" w:hAnsi="Times New Roman" w:cs="Times New Roman"/>
          <w:sz w:val="28"/>
          <w:szCs w:val="28"/>
          <w:lang w:val="ro-RO"/>
        </w:rPr>
        <w:t>exproprier</w:t>
      </w:r>
      <w:r w:rsidR="007D59E6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 dreptului de folosință asupra terenurilor prevăzute la pct. 1.</w:t>
      </w:r>
    </w:p>
    <w:p w:rsidR="00863F99" w:rsidRPr="008F70E3" w:rsidRDefault="00863F99" w:rsidP="002C07E8">
      <w:pPr>
        <w:pStyle w:val="a4"/>
        <w:numPr>
          <w:ilvl w:val="0"/>
          <w:numId w:val="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Plata despăgubirilor pentru exproprierea dreptului de </w:t>
      </w:r>
      <w:r w:rsidR="007D59E6">
        <w:rPr>
          <w:rFonts w:ascii="Times New Roman" w:hAnsi="Times New Roman" w:cs="Times New Roman"/>
          <w:sz w:val="28"/>
          <w:szCs w:val="28"/>
          <w:lang w:val="ro-RO"/>
        </w:rPr>
        <w:t>folosință</w:t>
      </w:r>
      <w:r w:rsidR="007D59E6"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3F99">
        <w:rPr>
          <w:rFonts w:ascii="Times New Roman" w:hAnsi="Times New Roman" w:cs="Times New Roman"/>
          <w:sz w:val="28"/>
          <w:szCs w:val="28"/>
          <w:lang w:val="ro-RO"/>
        </w:rPr>
        <w:t>asupra terenurilor</w:t>
      </w:r>
      <w:r w:rsidR="007D59E6">
        <w:rPr>
          <w:rFonts w:ascii="Times New Roman" w:hAnsi="Times New Roman" w:cs="Times New Roman"/>
          <w:sz w:val="28"/>
          <w:szCs w:val="28"/>
          <w:lang w:val="ro-RO"/>
        </w:rPr>
        <w:t xml:space="preserve"> menționate la pct. 1</w:t>
      </w:r>
      <w:r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 se va efectua de către </w:t>
      </w:r>
      <w:r w:rsidR="007D59E6">
        <w:rPr>
          <w:rFonts w:ascii="Times New Roman" w:hAnsi="Times New Roman" w:cs="Times New Roman"/>
          <w:sz w:val="28"/>
          <w:szCs w:val="28"/>
          <w:lang w:val="ro-RO"/>
        </w:rPr>
        <w:t>autoritățile administrației publice locale vizate</w:t>
      </w:r>
      <w:r w:rsidR="007D59E6"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63F99">
        <w:rPr>
          <w:rFonts w:ascii="Times New Roman" w:hAnsi="Times New Roman" w:cs="Times New Roman"/>
          <w:sz w:val="28"/>
          <w:szCs w:val="28"/>
          <w:lang w:val="ro-RO"/>
        </w:rPr>
        <w:t xml:space="preserve">din mijloacele </w:t>
      </w:r>
      <w:r w:rsidRPr="008F70E3">
        <w:rPr>
          <w:rFonts w:ascii="Times New Roman" w:hAnsi="Times New Roman" w:cs="Times New Roman"/>
          <w:sz w:val="28"/>
          <w:szCs w:val="28"/>
          <w:lang w:val="ro-RO"/>
        </w:rPr>
        <w:t>bugetul</w:t>
      </w:r>
      <w:r w:rsidR="00707619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8F70E3">
        <w:rPr>
          <w:rFonts w:ascii="Times New Roman" w:hAnsi="Times New Roman" w:cs="Times New Roman"/>
          <w:sz w:val="28"/>
          <w:szCs w:val="28"/>
          <w:lang w:val="ro-RO"/>
        </w:rPr>
        <w:t xml:space="preserve"> de stat. </w:t>
      </w:r>
    </w:p>
    <w:p w:rsidR="00705002" w:rsidRPr="00705002" w:rsidRDefault="008F70E3" w:rsidP="002C07E8">
      <w:pPr>
        <w:pStyle w:val="a4"/>
        <w:numPr>
          <w:ilvl w:val="0"/>
          <w:numId w:val="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La data intrării în vigoare a prezentei hotărâri se instituie interdicția de transmitere a dreptului de folosință asupra terenurilor prevăzute la pct. 1, exceptând transmiterea respectivelor terenuri în proprietatea sau în folosința statului. </w:t>
      </w:r>
    </w:p>
    <w:p w:rsidR="00863F99" w:rsidRPr="006101A4" w:rsidRDefault="008F70E3" w:rsidP="002C07E8">
      <w:pPr>
        <w:pStyle w:val="a4"/>
        <w:numPr>
          <w:ilvl w:val="0"/>
          <w:numId w:val="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Ministerul Agriculturii, Dezvoltării Regionale și Mediului </w:t>
      </w:r>
      <w:r w:rsidR="00705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în comun cu autoritățile administrației publice locale respective </w:t>
      </w:r>
      <w:r w:rsidRPr="008F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va asigura notarea interdicției de înstrăinare a obiect</w:t>
      </w:r>
      <w:r w:rsidR="00B51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>ului</w:t>
      </w:r>
      <w:r w:rsidRPr="008F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 exproprierii în Registrul bunurilor imobile.</w:t>
      </w:r>
    </w:p>
    <w:p w:rsidR="00622A52" w:rsidRDefault="00622A52" w:rsidP="002C07E8">
      <w:pPr>
        <w:pStyle w:val="a4"/>
        <w:numPr>
          <w:ilvl w:val="0"/>
          <w:numId w:val="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7FEF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Controlul asupra executării prezentei </w:t>
      </w:r>
      <w:r w:rsidR="00C12F6A" w:rsidRPr="00E47FEF">
        <w:rPr>
          <w:rFonts w:ascii="Times New Roman" w:hAnsi="Times New Roman" w:cs="Times New Roman"/>
          <w:sz w:val="28"/>
          <w:szCs w:val="28"/>
          <w:lang w:val="ro-RO"/>
        </w:rPr>
        <w:t>hotărâri</w:t>
      </w:r>
      <w:r w:rsidRPr="00E47FEF">
        <w:rPr>
          <w:rFonts w:ascii="Times New Roman" w:hAnsi="Times New Roman" w:cs="Times New Roman"/>
          <w:sz w:val="28"/>
          <w:szCs w:val="28"/>
          <w:lang w:val="ro-RO"/>
        </w:rPr>
        <w:t xml:space="preserve"> se pune în sarcina Ministerului </w:t>
      </w:r>
      <w:r w:rsidR="00F901BC" w:rsidRPr="00E47FEF">
        <w:rPr>
          <w:rFonts w:ascii="Times New Roman" w:hAnsi="Times New Roman" w:cs="Times New Roman"/>
          <w:sz w:val="28"/>
          <w:szCs w:val="28"/>
          <w:lang w:val="ro-RO"/>
        </w:rPr>
        <w:t xml:space="preserve">Agriculturii, Dezvoltării Regionale și </w:t>
      </w:r>
      <w:r w:rsidRPr="00E47FEF">
        <w:rPr>
          <w:rFonts w:ascii="Times New Roman" w:hAnsi="Times New Roman" w:cs="Times New Roman"/>
          <w:sz w:val="28"/>
          <w:szCs w:val="28"/>
          <w:lang w:val="ro-RO"/>
        </w:rPr>
        <w:t>Mediului.</w:t>
      </w:r>
    </w:p>
    <w:p w:rsidR="00DE169A" w:rsidRPr="00E47FEF" w:rsidRDefault="003D555E" w:rsidP="002C07E8">
      <w:pPr>
        <w:pStyle w:val="a4"/>
        <w:numPr>
          <w:ilvl w:val="0"/>
          <w:numId w:val="3"/>
        </w:numPr>
        <w:spacing w:after="120" w:line="276" w:lineRule="auto"/>
        <w:ind w:left="0" w:firstLine="1080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>utoritățil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 administrației publice locale din municipiul Bălți</w:t>
      </w:r>
      <w:r w:rsidR="00F61E36">
        <w:rPr>
          <w:rFonts w:ascii="Times New Roman" w:hAnsi="Times New Roman" w:cs="Times New Roman"/>
          <w:sz w:val="28"/>
          <w:szCs w:val="28"/>
          <w:lang w:val="ro-RO"/>
        </w:rPr>
        <w:t>, din raionul Sângerei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1E36">
        <w:rPr>
          <w:rFonts w:ascii="Times New Roman" w:hAnsi="Times New Roman" w:cs="Times New Roman"/>
          <w:sz w:val="28"/>
          <w:szCs w:val="28"/>
          <w:lang w:val="ro-RO"/>
        </w:rPr>
        <w:t>și din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 comunel</w:t>
      </w:r>
      <w:r w:rsidR="00F61E36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 Țambula și Bilicenii </w:t>
      </w:r>
      <w:r w:rsidR="00F61E36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oi </w:t>
      </w:r>
      <w:r>
        <w:rPr>
          <w:rFonts w:ascii="Times New Roman" w:hAnsi="Times New Roman" w:cs="Times New Roman"/>
          <w:sz w:val="28"/>
          <w:szCs w:val="28"/>
          <w:lang w:val="ro-RO"/>
        </w:rPr>
        <w:t>vor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 întreprind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 măsuri</w:t>
      </w:r>
      <w:r>
        <w:rPr>
          <w:rFonts w:ascii="Times New Roman" w:hAnsi="Times New Roman" w:cs="Times New Roman"/>
          <w:sz w:val="28"/>
          <w:szCs w:val="28"/>
          <w:lang w:val="ro-RO"/>
        </w:rPr>
        <w:t>le necesare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 în vederea stabilirii unor relații contractuale în procesul de acumulare, evacuare</w:t>
      </w:r>
      <w:r w:rsidR="004E39F8">
        <w:rPr>
          <w:rFonts w:ascii="Times New Roman" w:hAnsi="Times New Roman" w:cs="Times New Roman"/>
          <w:sz w:val="28"/>
          <w:szCs w:val="28"/>
          <w:lang w:val="ro-RO"/>
        </w:rPr>
        <w:t>, transport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 și depozitare a deșeurilor </w:t>
      </w:r>
      <w:r w:rsidR="004E39F8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 municipiul Bălți</w:t>
      </w:r>
      <w:r w:rsidR="00534DE6">
        <w:rPr>
          <w:rFonts w:ascii="Times New Roman" w:hAnsi="Times New Roman" w:cs="Times New Roman"/>
          <w:sz w:val="28"/>
          <w:szCs w:val="28"/>
          <w:lang w:val="ro-RO"/>
        </w:rPr>
        <w:t xml:space="preserve"> și din raionul Sângerei</w:t>
      </w:r>
      <w:r w:rsidR="00DE169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8C336D" w:rsidRPr="003229A9" w:rsidRDefault="008C336D" w:rsidP="002C07E8">
      <w:pPr>
        <w:spacing w:after="120" w:line="276" w:lineRule="auto"/>
        <w:ind w:firstLine="90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8C336D" w:rsidRPr="00E45DAC" w:rsidRDefault="008C336D" w:rsidP="002C07E8">
      <w:pPr>
        <w:spacing w:after="12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PRIM-MINISTRU </w:t>
      </w:r>
      <w:r w:rsidR="00BF0921"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</w:t>
      </w:r>
      <w:r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>Pavel FILIP</w:t>
      </w:r>
    </w:p>
    <w:p w:rsidR="00D51BB1" w:rsidRPr="003229A9" w:rsidRDefault="00D51BB1" w:rsidP="002C07E8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:rsidR="008C336D" w:rsidRPr="00E45DAC" w:rsidRDefault="008C336D" w:rsidP="002C07E8">
      <w:pPr>
        <w:spacing w:after="12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5DAC"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Contrasemnează:</w:t>
      </w:r>
    </w:p>
    <w:p w:rsidR="00EB70D3" w:rsidRPr="00A725BC" w:rsidRDefault="008C336D" w:rsidP="002C07E8">
      <w:pPr>
        <w:spacing w:after="120" w:line="276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725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Ministrul economiei </w:t>
      </w:r>
    </w:p>
    <w:p w:rsidR="008C336D" w:rsidRPr="00A725BC" w:rsidRDefault="00BF0921" w:rsidP="002C07E8">
      <w:pPr>
        <w:spacing w:after="120" w:line="276" w:lineRule="auto"/>
        <w:ind w:firstLine="90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725BC">
        <w:rPr>
          <w:rFonts w:ascii="Times New Roman" w:hAnsi="Times New Roman" w:cs="Times New Roman"/>
          <w:bCs/>
          <w:sz w:val="28"/>
          <w:szCs w:val="28"/>
          <w:lang w:val="ro-RO"/>
        </w:rPr>
        <w:t>și infrastructurii</w:t>
      </w:r>
      <w:r w:rsidR="00EB70D3" w:rsidRPr="00A725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                                    Chiril </w:t>
      </w:r>
      <w:proofErr w:type="spellStart"/>
      <w:r w:rsidR="00EB70D3" w:rsidRPr="00A725BC">
        <w:rPr>
          <w:rFonts w:ascii="Times New Roman" w:hAnsi="Times New Roman" w:cs="Times New Roman"/>
          <w:bCs/>
          <w:sz w:val="28"/>
          <w:szCs w:val="28"/>
          <w:lang w:val="ro-RO"/>
        </w:rPr>
        <w:t>Gaburici</w:t>
      </w:r>
      <w:proofErr w:type="spellEnd"/>
    </w:p>
    <w:p w:rsidR="00EB70D3" w:rsidRPr="00A725BC" w:rsidRDefault="008C336D" w:rsidP="002C07E8">
      <w:pPr>
        <w:spacing w:after="120" w:line="276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725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Ministrul </w:t>
      </w:r>
      <w:r w:rsidR="00BF0921" w:rsidRPr="00A725BC">
        <w:rPr>
          <w:rFonts w:ascii="Times New Roman" w:hAnsi="Times New Roman" w:cs="Times New Roman"/>
          <w:bCs/>
          <w:sz w:val="28"/>
          <w:szCs w:val="28"/>
          <w:lang w:val="ro-RO"/>
        </w:rPr>
        <w:t>agriculturii</w:t>
      </w:r>
      <w:r w:rsidR="00EB70D3" w:rsidRPr="00A725BC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BF0921" w:rsidRPr="00A725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8C336D" w:rsidRPr="00A725BC" w:rsidRDefault="00BF0921" w:rsidP="002C07E8">
      <w:pPr>
        <w:spacing w:after="120" w:line="276" w:lineRule="auto"/>
        <w:ind w:firstLine="90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A725BC">
        <w:rPr>
          <w:rFonts w:ascii="Times New Roman" w:hAnsi="Times New Roman" w:cs="Times New Roman"/>
          <w:bCs/>
          <w:sz w:val="28"/>
          <w:szCs w:val="28"/>
          <w:lang w:val="ro-RO"/>
        </w:rPr>
        <w:t>dezvoltării regionale și mediului</w:t>
      </w:r>
      <w:r w:rsidR="00EB70D3" w:rsidRPr="00A725B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          Liviu </w:t>
      </w:r>
      <w:proofErr w:type="spellStart"/>
      <w:r w:rsidR="00EB70D3" w:rsidRPr="00A725BC">
        <w:rPr>
          <w:rFonts w:ascii="Times New Roman" w:hAnsi="Times New Roman" w:cs="Times New Roman"/>
          <w:bCs/>
          <w:sz w:val="28"/>
          <w:szCs w:val="28"/>
          <w:lang w:val="ro-RO"/>
        </w:rPr>
        <w:t>Volconovici</w:t>
      </w:r>
      <w:proofErr w:type="spellEnd"/>
    </w:p>
    <w:p w:rsidR="006101A4" w:rsidRPr="002C07E8" w:rsidRDefault="00A725BC" w:rsidP="002C07E8">
      <w:pPr>
        <w:spacing w:after="120" w:line="276" w:lineRule="auto"/>
        <w:ind w:firstLine="90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725BC">
        <w:rPr>
          <w:rFonts w:ascii="Times New Roman" w:hAnsi="Times New Roman" w:cs="Times New Roman"/>
          <w:sz w:val="28"/>
          <w:szCs w:val="28"/>
          <w:lang w:val="ro-RO"/>
        </w:rPr>
        <w:t xml:space="preserve">Ministrul finanțelor                                                      Octavian </w:t>
      </w:r>
      <w:proofErr w:type="spellStart"/>
      <w:r w:rsidRPr="00A725BC">
        <w:rPr>
          <w:rFonts w:ascii="Times New Roman" w:hAnsi="Times New Roman" w:cs="Times New Roman"/>
          <w:sz w:val="28"/>
          <w:szCs w:val="28"/>
          <w:lang w:val="ro-RO"/>
        </w:rPr>
        <w:t>Armaș</w:t>
      </w:r>
      <w:r w:rsidR="002C07E8">
        <w:rPr>
          <w:rFonts w:ascii="Times New Roman" w:hAnsi="Times New Roman" w:cs="Times New Roman"/>
          <w:sz w:val="28"/>
          <w:szCs w:val="28"/>
          <w:lang w:val="ro-RO"/>
        </w:rPr>
        <w:t>u</w:t>
      </w:r>
      <w:proofErr w:type="spellEnd"/>
    </w:p>
    <w:sectPr w:rsidR="006101A4" w:rsidRPr="002C07E8" w:rsidSect="003229A9">
      <w:pgSz w:w="11906" w:h="16838"/>
      <w:pgMar w:top="1134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52FCA"/>
    <w:multiLevelType w:val="hybridMultilevel"/>
    <w:tmpl w:val="2FD0C26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5FAE2F0A">
      <w:start w:val="1"/>
      <w:numFmt w:val="decimal"/>
      <w:lvlText w:val="%2)"/>
      <w:lvlJc w:val="left"/>
      <w:pPr>
        <w:ind w:left="23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322A33DA"/>
    <w:multiLevelType w:val="hybridMultilevel"/>
    <w:tmpl w:val="C532B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87EEE"/>
    <w:multiLevelType w:val="hybridMultilevel"/>
    <w:tmpl w:val="8C7AC05E"/>
    <w:lvl w:ilvl="0" w:tplc="768C6218">
      <w:start w:val="1"/>
      <w:numFmt w:val="decimal"/>
      <w:lvlText w:val="%1)"/>
      <w:lvlJc w:val="left"/>
      <w:pPr>
        <w:ind w:left="171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06900"/>
    <w:multiLevelType w:val="hybridMultilevel"/>
    <w:tmpl w:val="E52417D0"/>
    <w:lvl w:ilvl="0" w:tplc="46F488D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CEDC6B10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BEF1957"/>
    <w:multiLevelType w:val="hybridMultilevel"/>
    <w:tmpl w:val="72941B12"/>
    <w:lvl w:ilvl="0" w:tplc="D472A060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52"/>
    <w:rsid w:val="00003430"/>
    <w:rsid w:val="000A694B"/>
    <w:rsid w:val="000A755E"/>
    <w:rsid w:val="000B4D6D"/>
    <w:rsid w:val="000D60B5"/>
    <w:rsid w:val="000D6E13"/>
    <w:rsid w:val="000E5672"/>
    <w:rsid w:val="00111902"/>
    <w:rsid w:val="00113C9E"/>
    <w:rsid w:val="00115706"/>
    <w:rsid w:val="00157ED8"/>
    <w:rsid w:val="00177C45"/>
    <w:rsid w:val="001B0F1D"/>
    <w:rsid w:val="001B1A19"/>
    <w:rsid w:val="001B21FB"/>
    <w:rsid w:val="001E65B5"/>
    <w:rsid w:val="001F1C17"/>
    <w:rsid w:val="001F295A"/>
    <w:rsid w:val="00210A74"/>
    <w:rsid w:val="00227B49"/>
    <w:rsid w:val="0023735A"/>
    <w:rsid w:val="002470EE"/>
    <w:rsid w:val="002542A8"/>
    <w:rsid w:val="002B0BDE"/>
    <w:rsid w:val="002C07E8"/>
    <w:rsid w:val="002D7377"/>
    <w:rsid w:val="003151D6"/>
    <w:rsid w:val="003229A9"/>
    <w:rsid w:val="00341051"/>
    <w:rsid w:val="00375ED8"/>
    <w:rsid w:val="00392256"/>
    <w:rsid w:val="003A3BBA"/>
    <w:rsid w:val="003D555E"/>
    <w:rsid w:val="003D577C"/>
    <w:rsid w:val="004506F2"/>
    <w:rsid w:val="0048220C"/>
    <w:rsid w:val="00494AFE"/>
    <w:rsid w:val="004B54E1"/>
    <w:rsid w:val="004E39F8"/>
    <w:rsid w:val="004F17EE"/>
    <w:rsid w:val="004F2384"/>
    <w:rsid w:val="00534DE6"/>
    <w:rsid w:val="005569D8"/>
    <w:rsid w:val="0059785B"/>
    <w:rsid w:val="005C7865"/>
    <w:rsid w:val="005E665D"/>
    <w:rsid w:val="005F5F60"/>
    <w:rsid w:val="006101A4"/>
    <w:rsid w:val="00622A52"/>
    <w:rsid w:val="00635674"/>
    <w:rsid w:val="00636C80"/>
    <w:rsid w:val="006426FE"/>
    <w:rsid w:val="006C63BE"/>
    <w:rsid w:val="006C7EC7"/>
    <w:rsid w:val="00705002"/>
    <w:rsid w:val="007072F5"/>
    <w:rsid w:val="00707619"/>
    <w:rsid w:val="00765398"/>
    <w:rsid w:val="00781845"/>
    <w:rsid w:val="00784DA2"/>
    <w:rsid w:val="007C5BDC"/>
    <w:rsid w:val="007D59E6"/>
    <w:rsid w:val="00815DDB"/>
    <w:rsid w:val="00817106"/>
    <w:rsid w:val="00843D92"/>
    <w:rsid w:val="00863F99"/>
    <w:rsid w:val="008A1A8B"/>
    <w:rsid w:val="008C336D"/>
    <w:rsid w:val="008F70E3"/>
    <w:rsid w:val="00921550"/>
    <w:rsid w:val="00930514"/>
    <w:rsid w:val="00950995"/>
    <w:rsid w:val="00952DD9"/>
    <w:rsid w:val="00954A36"/>
    <w:rsid w:val="009935C3"/>
    <w:rsid w:val="009D3995"/>
    <w:rsid w:val="009D4F51"/>
    <w:rsid w:val="009E0599"/>
    <w:rsid w:val="009F57BF"/>
    <w:rsid w:val="00A00A1C"/>
    <w:rsid w:val="00A05C54"/>
    <w:rsid w:val="00A40A76"/>
    <w:rsid w:val="00A47670"/>
    <w:rsid w:val="00A50ADF"/>
    <w:rsid w:val="00A50D6D"/>
    <w:rsid w:val="00A648D0"/>
    <w:rsid w:val="00A725BC"/>
    <w:rsid w:val="00A85F00"/>
    <w:rsid w:val="00AA5DED"/>
    <w:rsid w:val="00AB6E19"/>
    <w:rsid w:val="00B4019C"/>
    <w:rsid w:val="00B51790"/>
    <w:rsid w:val="00B72636"/>
    <w:rsid w:val="00BE5BE8"/>
    <w:rsid w:val="00BF0921"/>
    <w:rsid w:val="00C02306"/>
    <w:rsid w:val="00C12F6A"/>
    <w:rsid w:val="00C409FA"/>
    <w:rsid w:val="00C71030"/>
    <w:rsid w:val="00CB3F2C"/>
    <w:rsid w:val="00CF18C5"/>
    <w:rsid w:val="00D51BB1"/>
    <w:rsid w:val="00D73D15"/>
    <w:rsid w:val="00D92186"/>
    <w:rsid w:val="00DB3978"/>
    <w:rsid w:val="00DE169A"/>
    <w:rsid w:val="00E05D2F"/>
    <w:rsid w:val="00E06BE6"/>
    <w:rsid w:val="00E22CF0"/>
    <w:rsid w:val="00E45DAC"/>
    <w:rsid w:val="00E47FEF"/>
    <w:rsid w:val="00E84A7E"/>
    <w:rsid w:val="00EA6FC9"/>
    <w:rsid w:val="00EB70D3"/>
    <w:rsid w:val="00EC63F9"/>
    <w:rsid w:val="00F1343D"/>
    <w:rsid w:val="00F31767"/>
    <w:rsid w:val="00F43516"/>
    <w:rsid w:val="00F508ED"/>
    <w:rsid w:val="00F61E36"/>
    <w:rsid w:val="00F7374D"/>
    <w:rsid w:val="00F80F8A"/>
    <w:rsid w:val="00F85DD0"/>
    <w:rsid w:val="00F901BC"/>
    <w:rsid w:val="00FA3EDA"/>
    <w:rsid w:val="00FB4FDA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25C14-2962-47B6-92C6-BD3EAA46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A5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2A5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30514"/>
    <w:pPr>
      <w:ind w:left="720"/>
      <w:contextualSpacing/>
    </w:pPr>
  </w:style>
  <w:style w:type="table" w:styleId="a5">
    <w:name w:val="Table Grid"/>
    <w:basedOn w:val="a1"/>
    <w:uiPriority w:val="39"/>
    <w:rsid w:val="00AB6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6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6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blex.md/item/view/id/54780867719f43a78b092bd28c8861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Varanita</dc:creator>
  <cp:keywords/>
  <dc:description/>
  <cp:lastModifiedBy>Svetlana Bolocan</cp:lastModifiedBy>
  <cp:revision>2</cp:revision>
  <cp:lastPrinted>2018-08-01T12:08:00Z</cp:lastPrinted>
  <dcterms:created xsi:type="dcterms:W3CDTF">2018-08-01T12:38:00Z</dcterms:created>
  <dcterms:modified xsi:type="dcterms:W3CDTF">2018-08-01T12:38:00Z</dcterms:modified>
</cp:coreProperties>
</file>