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9571"/>
      </w:tblGrid>
      <w:tr w:rsidR="00BF6AA3" w:rsidTr="00F92AF7">
        <w:tc>
          <w:tcPr>
            <w:tcW w:w="9571" w:type="dxa"/>
            <w:shd w:val="clear" w:color="auto" w:fill="D9D9D9" w:themeFill="background1" w:themeFillShade="D9"/>
          </w:tcPr>
          <w:p w:rsidR="00F92AF7" w:rsidRPr="00F92AF7" w:rsidRDefault="00F92AF7" w:rsidP="00F92AF7">
            <w:pPr>
              <w:jc w:val="center"/>
              <w:rPr>
                <w:rFonts w:ascii="Times New Roman" w:hAnsi="Times New Roman" w:cs="Times New Roman"/>
                <w:b/>
                <w:sz w:val="28"/>
                <w:szCs w:val="28"/>
                <w:lang w:val="ro-RO"/>
              </w:rPr>
            </w:pPr>
            <w:bookmarkStart w:id="0" w:name="_GoBack"/>
            <w:bookmarkEnd w:id="0"/>
            <w:r w:rsidRPr="00F92AF7">
              <w:rPr>
                <w:rFonts w:ascii="Times New Roman" w:hAnsi="Times New Roman" w:cs="Times New Roman"/>
                <w:b/>
                <w:sz w:val="28"/>
                <w:szCs w:val="28"/>
                <w:lang w:val="ro-RO"/>
              </w:rPr>
              <w:t>NOTĂ INFORMATIVĂ</w:t>
            </w:r>
          </w:p>
          <w:p w:rsidR="00F92AF7" w:rsidRPr="00F92AF7" w:rsidRDefault="00F92AF7" w:rsidP="00F92AF7">
            <w:pPr>
              <w:jc w:val="center"/>
              <w:rPr>
                <w:rFonts w:ascii="Times New Roman" w:hAnsi="Times New Roman" w:cs="Times New Roman"/>
                <w:b/>
                <w:i/>
                <w:sz w:val="28"/>
                <w:szCs w:val="28"/>
                <w:lang w:val="ro-RO"/>
              </w:rPr>
            </w:pPr>
            <w:r w:rsidRPr="00F92AF7">
              <w:rPr>
                <w:rFonts w:ascii="Times New Roman" w:hAnsi="Times New Roman" w:cs="Times New Roman"/>
                <w:b/>
                <w:i/>
                <w:sz w:val="28"/>
                <w:szCs w:val="28"/>
                <w:lang w:val="ro-RO"/>
              </w:rPr>
              <w:t xml:space="preserve">la proiectul de lege privind scutirea de taxa pe valoarea adăugată, taxa vamală și de taxa pentru efectuarea procedurilor vamale a mărfurilor și serviciilor importate și/sau livrate pentru construcția Centrului cultural-educațional în mun. </w:t>
            </w:r>
            <w:proofErr w:type="spellStart"/>
            <w:r w:rsidRPr="00F92AF7">
              <w:rPr>
                <w:rFonts w:ascii="Times New Roman" w:hAnsi="Times New Roman" w:cs="Times New Roman"/>
                <w:b/>
                <w:i/>
                <w:sz w:val="28"/>
                <w:szCs w:val="28"/>
                <w:lang w:val="ro-RO"/>
              </w:rPr>
              <w:t>Ceadîr-Lunga</w:t>
            </w:r>
            <w:proofErr w:type="spellEnd"/>
            <w:r w:rsidRPr="00F92AF7">
              <w:rPr>
                <w:rFonts w:ascii="Times New Roman" w:hAnsi="Times New Roman" w:cs="Times New Roman"/>
                <w:b/>
                <w:i/>
                <w:sz w:val="28"/>
                <w:szCs w:val="28"/>
                <w:lang w:val="ro-RO"/>
              </w:rPr>
              <w:t>, UTA Găgăuzia</w:t>
            </w:r>
          </w:p>
          <w:p w:rsidR="00BF6AA3" w:rsidRDefault="00BF6AA3">
            <w:pPr>
              <w:rPr>
                <w:rFonts w:ascii="Times New Roman" w:hAnsi="Times New Roman" w:cs="Times New Roman"/>
                <w:sz w:val="28"/>
                <w:szCs w:val="28"/>
              </w:rPr>
            </w:pPr>
          </w:p>
        </w:tc>
      </w:tr>
    </w:tbl>
    <w:p w:rsidR="00975A03" w:rsidRDefault="00975A03" w:rsidP="000B64DF">
      <w:pPr>
        <w:spacing w:after="0"/>
        <w:rPr>
          <w:rFonts w:ascii="Times New Roman" w:hAnsi="Times New Roman" w:cs="Times New Roman"/>
          <w:sz w:val="28"/>
          <w:szCs w:val="28"/>
          <w:lang w:val="en-US"/>
        </w:rPr>
      </w:pPr>
    </w:p>
    <w:tbl>
      <w:tblPr>
        <w:tblStyle w:val="a3"/>
        <w:tblW w:w="0" w:type="auto"/>
        <w:tblLook w:val="04A0" w:firstRow="1" w:lastRow="0" w:firstColumn="1" w:lastColumn="0" w:noHBand="0" w:noVBand="1"/>
      </w:tblPr>
      <w:tblGrid>
        <w:gridCol w:w="9571"/>
      </w:tblGrid>
      <w:tr w:rsidR="00F92AF7" w:rsidRPr="00F01299" w:rsidTr="00F92AF7">
        <w:tc>
          <w:tcPr>
            <w:tcW w:w="9571" w:type="dxa"/>
            <w:shd w:val="clear" w:color="auto" w:fill="D9D9D9" w:themeFill="background1" w:themeFillShade="D9"/>
          </w:tcPr>
          <w:tbl>
            <w:tblPr>
              <w:tblW w:w="9498" w:type="dxa"/>
              <w:tblBorders>
                <w:top w:val="nil"/>
                <w:left w:val="nil"/>
                <w:bottom w:val="nil"/>
                <w:right w:val="nil"/>
              </w:tblBorders>
              <w:shd w:val="clear" w:color="auto" w:fill="F2F2F2" w:themeFill="background1" w:themeFillShade="F2"/>
              <w:tblLook w:val="0000" w:firstRow="0" w:lastRow="0" w:firstColumn="0" w:lastColumn="0" w:noHBand="0" w:noVBand="0"/>
            </w:tblPr>
            <w:tblGrid>
              <w:gridCol w:w="9498"/>
            </w:tblGrid>
            <w:tr w:rsidR="00F92AF7" w:rsidRPr="00F01299" w:rsidTr="00F92AF7">
              <w:trPr>
                <w:trHeight w:val="115"/>
              </w:trPr>
              <w:tc>
                <w:tcPr>
                  <w:tcW w:w="9498" w:type="dxa"/>
                  <w:shd w:val="clear" w:color="auto" w:fill="D9D9D9" w:themeFill="background1" w:themeFillShade="D9"/>
                </w:tcPr>
                <w:p w:rsidR="00F92AF7" w:rsidRDefault="00F92AF7" w:rsidP="00F92AF7">
                  <w:pPr>
                    <w:spacing w:after="0" w:line="240" w:lineRule="auto"/>
                    <w:jc w:val="both"/>
                    <w:rPr>
                      <w:rFonts w:ascii="Times New Roman" w:hAnsi="Times New Roman" w:cs="Times New Roman"/>
                      <w:sz w:val="28"/>
                      <w:szCs w:val="28"/>
                      <w:lang w:val="en-US"/>
                    </w:rPr>
                  </w:pPr>
                </w:p>
                <w:p w:rsidR="00F92AF7" w:rsidRPr="00F92AF7" w:rsidRDefault="00F92AF7" w:rsidP="00F92AF7">
                  <w:pPr>
                    <w:spacing w:after="0" w:line="240" w:lineRule="auto"/>
                    <w:jc w:val="both"/>
                    <w:rPr>
                      <w:rFonts w:ascii="Times New Roman" w:hAnsi="Times New Roman" w:cs="Times New Roman"/>
                      <w:sz w:val="28"/>
                      <w:szCs w:val="28"/>
                      <w:lang w:val="ro-RO"/>
                    </w:rPr>
                  </w:pPr>
                  <w:r w:rsidRPr="00F92AF7">
                    <w:rPr>
                      <w:rFonts w:ascii="Times New Roman" w:hAnsi="Times New Roman" w:cs="Times New Roman"/>
                      <w:b/>
                      <w:bCs/>
                      <w:sz w:val="28"/>
                      <w:szCs w:val="28"/>
                      <w:lang w:val="ro-RO"/>
                    </w:rPr>
                    <w:t xml:space="preserve">1. Condițiile ce au impus elaborarea proiectului și finalitățile urmărite </w:t>
                  </w:r>
                </w:p>
              </w:tc>
            </w:tr>
            <w:tr w:rsidR="00F92AF7" w:rsidRPr="00F01299" w:rsidTr="00F92AF7">
              <w:trPr>
                <w:trHeight w:val="115"/>
              </w:trPr>
              <w:tc>
                <w:tcPr>
                  <w:tcW w:w="9498" w:type="dxa"/>
                  <w:shd w:val="clear" w:color="auto" w:fill="D9D9D9" w:themeFill="background1" w:themeFillShade="D9"/>
                </w:tcPr>
                <w:p w:rsidR="00F92AF7" w:rsidRPr="00F92AF7" w:rsidRDefault="00F92AF7" w:rsidP="00F92AF7">
                  <w:pPr>
                    <w:spacing w:after="0" w:line="240" w:lineRule="auto"/>
                    <w:jc w:val="both"/>
                    <w:rPr>
                      <w:rFonts w:ascii="Times New Roman" w:hAnsi="Times New Roman" w:cs="Times New Roman"/>
                      <w:sz w:val="28"/>
                      <w:szCs w:val="28"/>
                      <w:lang w:val="en-US"/>
                    </w:rPr>
                  </w:pPr>
                </w:p>
              </w:tc>
            </w:tr>
          </w:tbl>
          <w:p w:rsidR="00F92AF7" w:rsidRDefault="00F92AF7">
            <w:pPr>
              <w:rPr>
                <w:rFonts w:ascii="Times New Roman" w:hAnsi="Times New Roman" w:cs="Times New Roman"/>
                <w:sz w:val="28"/>
                <w:szCs w:val="28"/>
                <w:lang w:val="en-US"/>
              </w:rPr>
            </w:pPr>
          </w:p>
        </w:tc>
      </w:tr>
      <w:tr w:rsidR="00F92AF7" w:rsidRPr="00F01299" w:rsidTr="00F92AF7">
        <w:trPr>
          <w:trHeight w:val="7473"/>
        </w:trPr>
        <w:tc>
          <w:tcPr>
            <w:tcW w:w="9571" w:type="dxa"/>
          </w:tcPr>
          <w:p w:rsidR="00F92AF7" w:rsidRPr="00F92AF7" w:rsidRDefault="00F92AF7" w:rsidP="00F92AF7">
            <w:p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92AF7">
              <w:rPr>
                <w:rFonts w:ascii="Times New Roman" w:hAnsi="Times New Roman" w:cs="Times New Roman"/>
                <w:sz w:val="28"/>
                <w:szCs w:val="28"/>
                <w:lang w:val="ro-RO"/>
              </w:rPr>
              <w:t xml:space="preserve">Proiectul de lege este prezentat cu titlu de inițiativă legislativă în baza adresării Bașcanului UTA Găgăuzia, dna Irina VLAH către Guvernul Republicii Moldova, referitor la scutirea de taxa pe valoarea adăugată, taxa vamală și de taxa pentru efectuarea procedurilor vamale a mărfurilor și serviciilor importate și/sau livrate pentru construcția Centrului cultural-educațional în mun. </w:t>
            </w:r>
            <w:proofErr w:type="spellStart"/>
            <w:r w:rsidRPr="00F92AF7">
              <w:rPr>
                <w:rFonts w:ascii="Times New Roman" w:hAnsi="Times New Roman" w:cs="Times New Roman"/>
                <w:sz w:val="28"/>
                <w:szCs w:val="28"/>
                <w:lang w:val="ro-RO"/>
              </w:rPr>
              <w:t>Ceadîr-Lunga</w:t>
            </w:r>
            <w:proofErr w:type="spellEnd"/>
            <w:r w:rsidRPr="00F92AF7">
              <w:rPr>
                <w:rFonts w:ascii="Times New Roman" w:hAnsi="Times New Roman" w:cs="Times New Roman"/>
                <w:sz w:val="28"/>
                <w:szCs w:val="28"/>
                <w:lang w:val="ro-RO"/>
              </w:rPr>
              <w:t xml:space="preserve">, UTA Găgăuzia. </w:t>
            </w:r>
          </w:p>
          <w:p w:rsidR="00F92AF7" w:rsidRPr="00F92AF7" w:rsidRDefault="00F92AF7" w:rsidP="00F92AF7">
            <w:p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92AF7">
              <w:rPr>
                <w:rFonts w:ascii="Times New Roman" w:hAnsi="Times New Roman" w:cs="Times New Roman"/>
                <w:sz w:val="28"/>
                <w:szCs w:val="28"/>
                <w:lang w:val="ro-RO"/>
              </w:rPr>
              <w:t xml:space="preserve">Necesitatea și oportunitatea implementării acestui proiect rezidă din faptul că, în ultimii ani, se constată o continuă degradare a instituțiilor de cultură pe fondul reducerii susținerii financiare acordate acestora. Menționăm că, proiectul urmează a fi finanțat în totalitate de către Fondul </w:t>
            </w:r>
            <w:proofErr w:type="spellStart"/>
            <w:r w:rsidRPr="00F92AF7">
              <w:rPr>
                <w:rFonts w:ascii="Times New Roman" w:hAnsi="Times New Roman" w:cs="Times New Roman"/>
                <w:sz w:val="28"/>
                <w:szCs w:val="28"/>
                <w:lang w:val="ro-RO"/>
              </w:rPr>
              <w:t>Heydar</w:t>
            </w:r>
            <w:proofErr w:type="spellEnd"/>
            <w:r w:rsidRPr="00F92AF7">
              <w:rPr>
                <w:rFonts w:ascii="Times New Roman" w:hAnsi="Times New Roman" w:cs="Times New Roman"/>
                <w:sz w:val="28"/>
                <w:szCs w:val="28"/>
                <w:lang w:val="ro-RO"/>
              </w:rPr>
              <w:t xml:space="preserve"> </w:t>
            </w:r>
            <w:proofErr w:type="spellStart"/>
            <w:r w:rsidRPr="00F92AF7">
              <w:rPr>
                <w:rFonts w:ascii="Times New Roman" w:hAnsi="Times New Roman" w:cs="Times New Roman"/>
                <w:sz w:val="28"/>
                <w:szCs w:val="28"/>
                <w:lang w:val="ro-RO"/>
              </w:rPr>
              <w:t>Aliyev</w:t>
            </w:r>
            <w:proofErr w:type="spellEnd"/>
            <w:r w:rsidRPr="00F92AF7">
              <w:rPr>
                <w:rFonts w:ascii="Times New Roman" w:hAnsi="Times New Roman" w:cs="Times New Roman"/>
                <w:sz w:val="28"/>
                <w:szCs w:val="28"/>
                <w:lang w:val="ro-RO"/>
              </w:rPr>
              <w:t>, Republica Azerbaidjan, inclusiv dotarea cu echipamentele necesare pentru amenajarea spațiului din interiorul Centrului.</w:t>
            </w:r>
          </w:p>
          <w:p w:rsidR="00F92AF7" w:rsidRDefault="00F92AF7" w:rsidP="00F92AF7">
            <w:p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92AF7">
              <w:rPr>
                <w:rFonts w:ascii="Times New Roman" w:hAnsi="Times New Roman" w:cs="Times New Roman"/>
                <w:sz w:val="28"/>
                <w:szCs w:val="28"/>
                <w:lang w:val="ro-RO"/>
              </w:rPr>
              <w:t xml:space="preserve">Construirea unui Centrului cultural-educațional în mun. </w:t>
            </w:r>
            <w:proofErr w:type="spellStart"/>
            <w:r w:rsidRPr="00F92AF7">
              <w:rPr>
                <w:rFonts w:ascii="Times New Roman" w:hAnsi="Times New Roman" w:cs="Times New Roman"/>
                <w:sz w:val="28"/>
                <w:szCs w:val="28"/>
                <w:lang w:val="ro-RO"/>
              </w:rPr>
              <w:t>Ceadîr-Lunga</w:t>
            </w:r>
            <w:proofErr w:type="spellEnd"/>
            <w:r w:rsidRPr="00F92AF7">
              <w:rPr>
                <w:rFonts w:ascii="Times New Roman" w:hAnsi="Times New Roman" w:cs="Times New Roman"/>
                <w:sz w:val="28"/>
                <w:szCs w:val="28"/>
                <w:lang w:val="ro-RO"/>
              </w:rPr>
              <w:t xml:space="preserve">, UTA Găgăuzia, va contribui esențial la îmbunătăţirea serviciilor culturale; la creșterea nivelului cultural </w:t>
            </w:r>
            <w:proofErr w:type="spellStart"/>
            <w:r w:rsidRPr="00F92AF7">
              <w:rPr>
                <w:rFonts w:ascii="Times New Roman" w:hAnsi="Times New Roman" w:cs="Times New Roman"/>
                <w:sz w:val="28"/>
                <w:szCs w:val="28"/>
                <w:lang w:val="ro-RO"/>
              </w:rPr>
              <w:t>-educațional</w:t>
            </w:r>
            <w:proofErr w:type="spellEnd"/>
            <w:r w:rsidRPr="00F92AF7">
              <w:rPr>
                <w:rFonts w:ascii="Times New Roman" w:hAnsi="Times New Roman" w:cs="Times New Roman"/>
                <w:sz w:val="28"/>
                <w:szCs w:val="28"/>
                <w:lang w:val="ro-RO"/>
              </w:rPr>
              <w:t xml:space="preserve"> și </w:t>
            </w:r>
            <w:r w:rsidRPr="00F92AF7">
              <w:rPr>
                <w:rFonts w:ascii="Times New Roman" w:hAnsi="Times New Roman" w:cs="Times New Roman"/>
                <w:sz w:val="28"/>
                <w:szCs w:val="28"/>
                <w:lang w:val="en-US"/>
              </w:rPr>
              <w:t xml:space="preserve">socio-economic al </w:t>
            </w:r>
            <w:r w:rsidRPr="00F92AF7">
              <w:rPr>
                <w:rFonts w:ascii="Times New Roman" w:hAnsi="Times New Roman" w:cs="Times New Roman"/>
                <w:sz w:val="28"/>
                <w:szCs w:val="28"/>
                <w:lang w:val="ro-RO"/>
              </w:rPr>
              <w:t>localității; la stimularea înființării de formații artistice, grupuri de muzică și dans; la stimularea desfășurării activităților de divertisment sau cu caracter educațional, cultural și social; precum și la creşterea nivelului de educaţie, de socializare şi de cultură a tuturor cetăţenilor (copii, tineri, adulţi, vârstnici). Astfel, constatăm că construirea acestui obiectiv se impune cu necesitate.</w:t>
            </w:r>
          </w:p>
          <w:p w:rsidR="00384DB7" w:rsidRPr="00F92AF7" w:rsidRDefault="00384DB7" w:rsidP="00F92AF7">
            <w:p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84DB7">
              <w:rPr>
                <w:rFonts w:ascii="Times New Roman" w:hAnsi="Times New Roman" w:cs="Times New Roman"/>
                <w:sz w:val="28"/>
                <w:szCs w:val="28"/>
                <w:lang w:val="ro-RO"/>
              </w:rPr>
              <w:t xml:space="preserve">Terenul pe care urmează a se construi Centrului cultural-educațional este situat în mun. </w:t>
            </w:r>
            <w:proofErr w:type="spellStart"/>
            <w:r w:rsidRPr="00384DB7">
              <w:rPr>
                <w:rFonts w:ascii="Times New Roman" w:hAnsi="Times New Roman" w:cs="Times New Roman"/>
                <w:sz w:val="28"/>
                <w:szCs w:val="28"/>
                <w:lang w:val="ro-RO"/>
              </w:rPr>
              <w:t>Ceadîr-Lunga</w:t>
            </w:r>
            <w:proofErr w:type="spellEnd"/>
            <w:r w:rsidRPr="00384DB7">
              <w:rPr>
                <w:rFonts w:ascii="Times New Roman" w:hAnsi="Times New Roman" w:cs="Times New Roman"/>
                <w:sz w:val="28"/>
                <w:szCs w:val="28"/>
                <w:lang w:val="ro-RO"/>
              </w:rPr>
              <w:t>, UTA Găgăuzia, str. Lenin 115, și este identificat cu nr. cadastral 9602210.314.</w:t>
            </w:r>
          </w:p>
        </w:tc>
      </w:tr>
      <w:tr w:rsidR="00F92AF7" w:rsidRPr="00F01299" w:rsidTr="00F92AF7">
        <w:trPr>
          <w:trHeight w:val="503"/>
        </w:trPr>
        <w:tc>
          <w:tcPr>
            <w:tcW w:w="9571" w:type="dxa"/>
            <w:shd w:val="clear" w:color="auto" w:fill="D9D9D9" w:themeFill="background1" w:themeFillShade="D9"/>
          </w:tcPr>
          <w:tbl>
            <w:tblPr>
              <w:tblW w:w="0" w:type="auto"/>
              <w:jc w:val="center"/>
              <w:tblBorders>
                <w:top w:val="nil"/>
                <w:left w:val="nil"/>
                <w:bottom w:val="nil"/>
                <w:right w:val="nil"/>
              </w:tblBorders>
              <w:shd w:val="clear" w:color="auto" w:fill="F2F2F2" w:themeFill="background1" w:themeFillShade="F2"/>
              <w:tblLook w:val="0000" w:firstRow="0" w:lastRow="0" w:firstColumn="0" w:lastColumn="0" w:noHBand="0" w:noVBand="0"/>
            </w:tblPr>
            <w:tblGrid>
              <w:gridCol w:w="8638"/>
            </w:tblGrid>
            <w:tr w:rsidR="00F92AF7" w:rsidRPr="00F01299" w:rsidTr="00F92AF7">
              <w:trPr>
                <w:trHeight w:val="115"/>
                <w:jc w:val="center"/>
              </w:trPr>
              <w:tc>
                <w:tcPr>
                  <w:tcW w:w="0" w:type="auto"/>
                  <w:shd w:val="clear" w:color="auto" w:fill="D9D9D9" w:themeFill="background1" w:themeFillShade="D9"/>
                </w:tcPr>
                <w:p w:rsidR="00F92AF7" w:rsidRPr="00F92AF7" w:rsidRDefault="00F92AF7" w:rsidP="00F92AF7">
                  <w:pPr>
                    <w:spacing w:after="0" w:line="240" w:lineRule="auto"/>
                    <w:jc w:val="both"/>
                    <w:rPr>
                      <w:rFonts w:ascii="Times New Roman" w:hAnsi="Times New Roman" w:cs="Times New Roman"/>
                      <w:sz w:val="28"/>
                      <w:szCs w:val="28"/>
                      <w:lang w:val="ro-RO"/>
                    </w:rPr>
                  </w:pPr>
                  <w:r w:rsidRPr="00F92AF7">
                    <w:rPr>
                      <w:rFonts w:ascii="Times New Roman" w:hAnsi="Times New Roman" w:cs="Times New Roman"/>
                      <w:b/>
                      <w:bCs/>
                      <w:sz w:val="28"/>
                      <w:szCs w:val="28"/>
                      <w:lang w:val="ro-RO"/>
                    </w:rPr>
                    <w:t xml:space="preserve">2. Principalele prevederi ale proiectului şi evidențierea elementelor noi </w:t>
                  </w:r>
                </w:p>
              </w:tc>
            </w:tr>
          </w:tbl>
          <w:p w:rsidR="00F92AF7" w:rsidRPr="00F92AF7" w:rsidRDefault="00F92AF7" w:rsidP="00F92AF7">
            <w:pPr>
              <w:jc w:val="both"/>
              <w:rPr>
                <w:rFonts w:ascii="Times New Roman" w:hAnsi="Times New Roman" w:cs="Times New Roman"/>
                <w:sz w:val="28"/>
                <w:szCs w:val="28"/>
                <w:lang w:val="ro-RO"/>
              </w:rPr>
            </w:pPr>
          </w:p>
        </w:tc>
      </w:tr>
      <w:tr w:rsidR="00F92AF7" w:rsidRPr="00F01299" w:rsidTr="00F92AF7">
        <w:trPr>
          <w:trHeight w:val="543"/>
        </w:trPr>
        <w:tc>
          <w:tcPr>
            <w:tcW w:w="9571" w:type="dxa"/>
          </w:tcPr>
          <w:p w:rsidR="00F92AF7" w:rsidRPr="00F92AF7" w:rsidRDefault="000B64DF" w:rsidP="00F92AF7">
            <w:p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92AF7">
              <w:rPr>
                <w:rFonts w:ascii="Times New Roman" w:hAnsi="Times New Roman" w:cs="Times New Roman"/>
                <w:sz w:val="28"/>
                <w:szCs w:val="28"/>
                <w:lang w:val="ro-RO"/>
              </w:rPr>
              <w:t>M</w:t>
            </w:r>
            <w:r w:rsidR="00F92AF7" w:rsidRPr="00F92AF7">
              <w:rPr>
                <w:rFonts w:ascii="Times New Roman" w:hAnsi="Times New Roman" w:cs="Times New Roman"/>
                <w:sz w:val="28"/>
                <w:szCs w:val="28"/>
                <w:lang w:val="ro-RO"/>
              </w:rPr>
              <w:t xml:space="preserve">inisterul solicită a permite, cu titlu de excepție, filialei din Republica Moldova a Întreprinderii cu Capital Străin „ACCESS POINT” S.R.L. (IDNO 1012600031181) și Întreprinderii cu Capital Străin „VEZIR CONSTRUCT” S.R.L. (IDNO 1011600037371), importul și/sau livrarea mărfurilor și serviciilor pentru construcția Centrului cultural-educațional în mun. </w:t>
            </w:r>
            <w:proofErr w:type="spellStart"/>
            <w:r w:rsidR="00F92AF7" w:rsidRPr="00F92AF7">
              <w:rPr>
                <w:rFonts w:ascii="Times New Roman" w:hAnsi="Times New Roman" w:cs="Times New Roman"/>
                <w:sz w:val="28"/>
                <w:szCs w:val="28"/>
                <w:lang w:val="ro-RO"/>
              </w:rPr>
              <w:t>Ceadîr-Lunga</w:t>
            </w:r>
            <w:proofErr w:type="spellEnd"/>
            <w:r w:rsidR="00F92AF7" w:rsidRPr="00F92AF7">
              <w:rPr>
                <w:rFonts w:ascii="Times New Roman" w:hAnsi="Times New Roman" w:cs="Times New Roman"/>
                <w:sz w:val="28"/>
                <w:szCs w:val="28"/>
                <w:lang w:val="ro-RO"/>
              </w:rPr>
              <w:t xml:space="preserve">, UTA </w:t>
            </w:r>
            <w:r w:rsidR="00F92AF7" w:rsidRPr="00F92AF7">
              <w:rPr>
                <w:rFonts w:ascii="Times New Roman" w:hAnsi="Times New Roman" w:cs="Times New Roman"/>
                <w:sz w:val="28"/>
                <w:szCs w:val="28"/>
                <w:lang w:val="ro-RO"/>
              </w:rPr>
              <w:lastRenderedPageBreak/>
              <w:t>Găgăuzia, cu scutirea de taxa pe valoarea adăugată, taxa vamală și de taxa pentru efectuarea procedurilor vamale, fără drept de înstrăinare.</w:t>
            </w:r>
          </w:p>
        </w:tc>
      </w:tr>
      <w:tr w:rsidR="00F92AF7" w:rsidTr="00F92AF7">
        <w:trPr>
          <w:trHeight w:val="394"/>
        </w:trPr>
        <w:tc>
          <w:tcPr>
            <w:tcW w:w="9571" w:type="dxa"/>
            <w:shd w:val="clear" w:color="auto" w:fill="D9D9D9" w:themeFill="background1" w:themeFillShade="D9"/>
          </w:tcPr>
          <w:tbl>
            <w:tblPr>
              <w:tblW w:w="0" w:type="auto"/>
              <w:jc w:val="center"/>
              <w:tblBorders>
                <w:top w:val="nil"/>
                <w:left w:val="nil"/>
                <w:bottom w:val="nil"/>
                <w:right w:val="nil"/>
              </w:tblBorders>
              <w:shd w:val="clear" w:color="auto" w:fill="F2F2F2" w:themeFill="background1" w:themeFillShade="F2"/>
              <w:tblLook w:val="0000" w:firstRow="0" w:lastRow="0" w:firstColumn="0" w:lastColumn="0" w:noHBand="0" w:noVBand="0"/>
            </w:tblPr>
            <w:tblGrid>
              <w:gridCol w:w="5061"/>
            </w:tblGrid>
            <w:tr w:rsidR="00F92AF7" w:rsidRPr="000B64DF" w:rsidTr="00F92AF7">
              <w:trPr>
                <w:trHeight w:val="115"/>
                <w:jc w:val="center"/>
              </w:trPr>
              <w:tc>
                <w:tcPr>
                  <w:tcW w:w="0" w:type="auto"/>
                  <w:shd w:val="clear" w:color="auto" w:fill="D9D9D9" w:themeFill="background1" w:themeFillShade="D9"/>
                </w:tcPr>
                <w:p w:rsidR="00F92AF7" w:rsidRPr="000B64DF" w:rsidRDefault="00F92AF7" w:rsidP="00F92AF7">
                  <w:pPr>
                    <w:spacing w:after="0" w:line="240" w:lineRule="auto"/>
                    <w:jc w:val="both"/>
                    <w:rPr>
                      <w:rFonts w:ascii="Times New Roman" w:hAnsi="Times New Roman" w:cs="Times New Roman"/>
                      <w:sz w:val="28"/>
                      <w:szCs w:val="28"/>
                      <w:lang w:val="ro-RO"/>
                    </w:rPr>
                  </w:pPr>
                  <w:r w:rsidRPr="000B64DF">
                    <w:rPr>
                      <w:rFonts w:ascii="Times New Roman" w:hAnsi="Times New Roman" w:cs="Times New Roman"/>
                      <w:b/>
                      <w:bCs/>
                      <w:sz w:val="28"/>
                      <w:szCs w:val="28"/>
                      <w:lang w:val="ro-RO"/>
                    </w:rPr>
                    <w:lastRenderedPageBreak/>
                    <w:t xml:space="preserve">3. Fundamentarea economică-financiară </w:t>
                  </w:r>
                </w:p>
              </w:tc>
            </w:tr>
          </w:tbl>
          <w:p w:rsidR="00F92AF7" w:rsidRPr="00F92AF7" w:rsidRDefault="00F92AF7" w:rsidP="00F92AF7">
            <w:pPr>
              <w:jc w:val="both"/>
              <w:rPr>
                <w:rFonts w:ascii="Times New Roman" w:hAnsi="Times New Roman" w:cs="Times New Roman"/>
                <w:sz w:val="28"/>
                <w:szCs w:val="28"/>
                <w:lang w:val="en-US"/>
              </w:rPr>
            </w:pPr>
          </w:p>
        </w:tc>
      </w:tr>
      <w:tr w:rsidR="00F92AF7" w:rsidRPr="00F01299" w:rsidTr="00E7429C">
        <w:trPr>
          <w:trHeight w:val="475"/>
        </w:trPr>
        <w:tc>
          <w:tcPr>
            <w:tcW w:w="9571" w:type="dxa"/>
          </w:tcPr>
          <w:p w:rsidR="00F92AF7" w:rsidRDefault="000B64DF" w:rsidP="00C07DF0">
            <w:p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B64DF">
              <w:rPr>
                <w:rFonts w:ascii="Times New Roman" w:hAnsi="Times New Roman" w:cs="Times New Roman"/>
                <w:sz w:val="28"/>
                <w:szCs w:val="28"/>
                <w:lang w:val="ro-RO"/>
              </w:rPr>
              <w:t>Implementarea prezentului proiect de lege nu necesită cheltuieli financiare suplimentare din bugetul de stat.</w:t>
            </w:r>
          </w:p>
        </w:tc>
      </w:tr>
      <w:tr w:rsidR="000B64DF" w:rsidRPr="00F01299" w:rsidTr="000B64DF">
        <w:trPr>
          <w:trHeight w:val="475"/>
        </w:trPr>
        <w:tc>
          <w:tcPr>
            <w:tcW w:w="9571" w:type="dxa"/>
            <w:shd w:val="clear" w:color="auto" w:fill="D9D9D9" w:themeFill="background1" w:themeFillShade="D9"/>
          </w:tcPr>
          <w:p w:rsidR="000B64DF" w:rsidRPr="000B64DF" w:rsidRDefault="000B64DF" w:rsidP="000B64DF">
            <w:pPr>
              <w:jc w:val="center"/>
              <w:rPr>
                <w:rFonts w:ascii="Times New Roman" w:hAnsi="Times New Roman" w:cs="Times New Roman"/>
                <w:b/>
                <w:sz w:val="28"/>
                <w:szCs w:val="28"/>
                <w:lang w:val="ro-RO"/>
              </w:rPr>
            </w:pPr>
            <w:r w:rsidRPr="000B64DF">
              <w:rPr>
                <w:rFonts w:ascii="Times New Roman" w:hAnsi="Times New Roman" w:cs="Times New Roman"/>
                <w:b/>
                <w:sz w:val="28"/>
                <w:szCs w:val="28"/>
                <w:lang w:val="ro-RO"/>
              </w:rPr>
              <w:t>4. Modul de încorporare a proiectului în sistemul actelor normative</w:t>
            </w:r>
          </w:p>
        </w:tc>
      </w:tr>
      <w:tr w:rsidR="000B64DF" w:rsidRPr="00F01299" w:rsidTr="00E7429C">
        <w:trPr>
          <w:trHeight w:val="475"/>
        </w:trPr>
        <w:tc>
          <w:tcPr>
            <w:tcW w:w="9571" w:type="dxa"/>
          </w:tcPr>
          <w:p w:rsidR="000B64DF" w:rsidRPr="000B64DF" w:rsidRDefault="000B64DF" w:rsidP="00C07DF0">
            <w:p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B64DF">
              <w:rPr>
                <w:rFonts w:ascii="Times New Roman" w:hAnsi="Times New Roman" w:cs="Times New Roman"/>
                <w:sz w:val="28"/>
                <w:szCs w:val="28"/>
                <w:lang w:val="ro-RO"/>
              </w:rPr>
              <w:t>Pentru implementarea prevederilor prezentului proiect de lege nu va fi necesară modificarea altor acte normative.</w:t>
            </w:r>
          </w:p>
        </w:tc>
      </w:tr>
      <w:tr w:rsidR="000B64DF" w:rsidRPr="00F01299" w:rsidTr="000B64DF">
        <w:trPr>
          <w:trHeight w:val="475"/>
        </w:trPr>
        <w:tc>
          <w:tcPr>
            <w:tcW w:w="9571" w:type="dxa"/>
            <w:shd w:val="clear" w:color="auto" w:fill="D9D9D9" w:themeFill="background1" w:themeFillShade="D9"/>
          </w:tcPr>
          <w:p w:rsidR="000B64DF" w:rsidRPr="000B64DF" w:rsidRDefault="000B64DF" w:rsidP="000B64DF">
            <w:pPr>
              <w:jc w:val="center"/>
              <w:rPr>
                <w:rFonts w:ascii="Times New Roman" w:hAnsi="Times New Roman" w:cs="Times New Roman"/>
                <w:b/>
                <w:sz w:val="28"/>
                <w:szCs w:val="28"/>
                <w:lang w:val="ro-RO"/>
              </w:rPr>
            </w:pPr>
            <w:r w:rsidRPr="000B64DF">
              <w:rPr>
                <w:rFonts w:ascii="Times New Roman" w:hAnsi="Times New Roman" w:cs="Times New Roman"/>
                <w:b/>
                <w:sz w:val="28"/>
                <w:szCs w:val="28"/>
                <w:lang w:val="ro-RO"/>
              </w:rPr>
              <w:t>5. Avizarea şi consultarea publică a proiectului</w:t>
            </w:r>
          </w:p>
        </w:tc>
      </w:tr>
      <w:tr w:rsidR="000B64DF" w:rsidRPr="00F01299" w:rsidTr="00E7429C">
        <w:trPr>
          <w:trHeight w:val="475"/>
        </w:trPr>
        <w:tc>
          <w:tcPr>
            <w:tcW w:w="9571" w:type="dxa"/>
          </w:tcPr>
          <w:p w:rsidR="000B64DF" w:rsidRPr="000B64DF" w:rsidRDefault="000B64DF" w:rsidP="00C07DF0">
            <w:pPr>
              <w:spacing w:line="276"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B64DF">
              <w:rPr>
                <w:rFonts w:ascii="Times New Roman" w:hAnsi="Times New Roman" w:cs="Times New Roman"/>
                <w:sz w:val="28"/>
                <w:szCs w:val="28"/>
                <w:lang w:val="ro-RO"/>
              </w:rPr>
              <w:t xml:space="preserve">În scopul respectării prevederilor Legii nr. 239 din 13 noiembrie 2008 privind transparenţa în procesul decizional, proiectul de lege este plasat pe pagina web oficială a </w:t>
            </w:r>
            <w:r>
              <w:rPr>
                <w:rFonts w:ascii="Times New Roman" w:hAnsi="Times New Roman" w:cs="Times New Roman"/>
                <w:sz w:val="28"/>
                <w:szCs w:val="28"/>
                <w:lang w:val="ro-RO"/>
              </w:rPr>
              <w:t xml:space="preserve">Ministerului Educației, Culturii și Cercetării </w:t>
            </w:r>
            <w:proofErr w:type="spellStart"/>
            <w:r>
              <w:rPr>
                <w:rFonts w:ascii="Times New Roman" w:hAnsi="Times New Roman" w:cs="Times New Roman"/>
                <w:sz w:val="28"/>
                <w:szCs w:val="28"/>
                <w:lang w:val="ro-RO"/>
              </w:rPr>
              <w:t>www.mecc</w:t>
            </w:r>
            <w:r w:rsidRPr="000B64DF">
              <w:rPr>
                <w:rFonts w:ascii="Times New Roman" w:hAnsi="Times New Roman" w:cs="Times New Roman"/>
                <w:sz w:val="28"/>
                <w:szCs w:val="28"/>
                <w:lang w:val="ro-RO"/>
              </w:rPr>
              <w:t>.gov.md</w:t>
            </w:r>
            <w:proofErr w:type="spellEnd"/>
            <w:r w:rsidRPr="000B64DF">
              <w:rPr>
                <w:rFonts w:ascii="Times New Roman" w:hAnsi="Times New Roman" w:cs="Times New Roman"/>
                <w:sz w:val="28"/>
                <w:szCs w:val="28"/>
                <w:lang w:val="ro-RO"/>
              </w:rPr>
              <w:t>, compar</w:t>
            </w:r>
            <w:r>
              <w:rPr>
                <w:rFonts w:ascii="Times New Roman" w:hAnsi="Times New Roman" w:cs="Times New Roman"/>
                <w:sz w:val="28"/>
                <w:szCs w:val="28"/>
                <w:lang w:val="ro-RO"/>
              </w:rPr>
              <w:t xml:space="preserve">timentul </w:t>
            </w:r>
            <w:r w:rsidRPr="000B64DF">
              <w:rPr>
                <w:rFonts w:ascii="Times New Roman" w:hAnsi="Times New Roman" w:cs="Times New Roman"/>
                <w:i/>
                <w:sz w:val="28"/>
                <w:szCs w:val="28"/>
                <w:lang w:val="ro-RO"/>
              </w:rPr>
              <w:t>Transparenţă</w:t>
            </w:r>
            <w:r w:rsidRPr="000B64DF">
              <w:rPr>
                <w:rFonts w:ascii="Times New Roman" w:hAnsi="Times New Roman" w:cs="Times New Roman"/>
                <w:sz w:val="28"/>
                <w:szCs w:val="28"/>
                <w:lang w:val="ro-RO"/>
              </w:rPr>
              <w:t xml:space="preserve">, directoriul </w:t>
            </w:r>
            <w:r w:rsidR="00C07DF0" w:rsidRPr="00C07DF0">
              <w:rPr>
                <w:rFonts w:ascii="Times New Roman" w:hAnsi="Times New Roman" w:cs="Times New Roman"/>
                <w:i/>
                <w:sz w:val="28"/>
                <w:szCs w:val="28"/>
                <w:lang w:val="ro-RO"/>
              </w:rPr>
              <w:t>Transparența</w:t>
            </w:r>
            <w:r w:rsidR="00C07DF0">
              <w:rPr>
                <w:rFonts w:ascii="Times New Roman" w:hAnsi="Times New Roman" w:cs="Times New Roman"/>
                <w:sz w:val="28"/>
                <w:szCs w:val="28"/>
                <w:lang w:val="ro-RO"/>
              </w:rPr>
              <w:t xml:space="preserve"> </w:t>
            </w:r>
            <w:r w:rsidR="00C07DF0" w:rsidRPr="00C07DF0">
              <w:rPr>
                <w:rFonts w:ascii="Times New Roman" w:hAnsi="Times New Roman" w:cs="Times New Roman"/>
                <w:i/>
                <w:sz w:val="28"/>
                <w:szCs w:val="28"/>
                <w:lang w:val="ro-RO"/>
              </w:rPr>
              <w:t>decizional</w:t>
            </w:r>
            <w:r w:rsidR="00C07DF0">
              <w:rPr>
                <w:rFonts w:ascii="Times New Roman" w:hAnsi="Times New Roman" w:cs="Times New Roman"/>
                <w:i/>
                <w:sz w:val="28"/>
                <w:szCs w:val="28"/>
                <w:lang w:val="ro-RO"/>
              </w:rPr>
              <w:t>ă</w:t>
            </w:r>
            <w:r w:rsidRPr="000B64DF">
              <w:rPr>
                <w:rFonts w:ascii="Times New Roman" w:hAnsi="Times New Roman" w:cs="Times New Roman"/>
                <w:sz w:val="28"/>
                <w:szCs w:val="28"/>
                <w:lang w:val="ro-RO"/>
              </w:rPr>
              <w:t>.</w:t>
            </w:r>
          </w:p>
        </w:tc>
      </w:tr>
    </w:tbl>
    <w:p w:rsidR="00F92AF7" w:rsidRPr="00F92AF7" w:rsidRDefault="00F92AF7">
      <w:pPr>
        <w:rPr>
          <w:rFonts w:ascii="Times New Roman" w:hAnsi="Times New Roman" w:cs="Times New Roman"/>
          <w:sz w:val="28"/>
          <w:szCs w:val="28"/>
          <w:lang w:val="en-US"/>
        </w:rPr>
      </w:pPr>
    </w:p>
    <w:sectPr w:rsidR="00F92AF7" w:rsidRPr="00F92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1B"/>
    <w:rsid w:val="000B64DF"/>
    <w:rsid w:val="00384DB7"/>
    <w:rsid w:val="004B55D2"/>
    <w:rsid w:val="00616EBA"/>
    <w:rsid w:val="006D231B"/>
    <w:rsid w:val="00975A03"/>
    <w:rsid w:val="00BF6AA3"/>
    <w:rsid w:val="00C07DF0"/>
    <w:rsid w:val="00F01299"/>
    <w:rsid w:val="00F92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498</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2018-08-21T05:26:00Z</dcterms:created>
  <dcterms:modified xsi:type="dcterms:W3CDTF">2018-08-21T06:17:00Z</dcterms:modified>
</cp:coreProperties>
</file>