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063" w:rsidRDefault="00536063">
      <w:pPr>
        <w:spacing w:line="133" w:lineRule="exact"/>
        <w:rPr>
          <w:sz w:val="11"/>
          <w:szCs w:val="11"/>
        </w:rPr>
      </w:pPr>
    </w:p>
    <w:p w:rsidR="00536063" w:rsidRDefault="00A51695" w:rsidP="00116458">
      <w:pPr>
        <w:pStyle w:val="30"/>
        <w:keepNext/>
        <w:keepLines/>
        <w:shd w:val="clear" w:color="auto" w:fill="auto"/>
        <w:spacing w:after="162" w:line="276" w:lineRule="auto"/>
        <w:ind w:left="3600"/>
      </w:pPr>
      <w:bookmarkStart w:id="0" w:name="bookmark0"/>
      <w:r>
        <w:t>Argumentarea</w:t>
      </w:r>
      <w:bookmarkEnd w:id="0"/>
    </w:p>
    <w:p w:rsidR="00536063" w:rsidRDefault="00A51695" w:rsidP="00116458">
      <w:pPr>
        <w:pStyle w:val="32"/>
        <w:shd w:val="clear" w:color="auto" w:fill="auto"/>
        <w:spacing w:before="0" w:after="538" w:line="276" w:lineRule="auto"/>
        <w:ind w:right="200"/>
      </w:pPr>
      <w:r>
        <w:t>necesităţii ratificării Convenţiei Organizaţiei Internaţionale a Muncii nr.,161</w:t>
      </w:r>
      <w:r>
        <w:br/>
        <w:t>privind serviciile de sănătate ocupaţională, adoptată Ia Geneva la 26 iunie 1985</w:t>
      </w:r>
    </w:p>
    <w:p w:rsidR="00536063" w:rsidRDefault="00A51695" w:rsidP="00116458">
      <w:pPr>
        <w:pStyle w:val="30"/>
        <w:keepNext/>
        <w:keepLines/>
        <w:shd w:val="clear" w:color="auto" w:fill="auto"/>
        <w:spacing w:line="276" w:lineRule="auto"/>
        <w:ind w:left="4180"/>
      </w:pPr>
      <w:bookmarkStart w:id="1" w:name="bookmark1"/>
      <w:r>
        <w:t>Descrierea tratatului</w:t>
      </w:r>
      <w:bookmarkEnd w:id="1"/>
    </w:p>
    <w:p w:rsidR="00536063" w:rsidRDefault="00A51695" w:rsidP="00116458">
      <w:pPr>
        <w:pStyle w:val="30"/>
        <w:keepNext/>
        <w:keepLines/>
        <w:shd w:val="clear" w:color="auto" w:fill="auto"/>
        <w:spacing w:after="159" w:line="276" w:lineRule="auto"/>
        <w:ind w:firstLine="1060"/>
        <w:jc w:val="both"/>
      </w:pPr>
      <w:bookmarkStart w:id="2" w:name="bookmark2"/>
      <w:r>
        <w:t>Informaţii generale.</w:t>
      </w:r>
      <w:bookmarkEnd w:id="2"/>
    </w:p>
    <w:p w:rsidR="00536063" w:rsidRDefault="00A51695" w:rsidP="00116458">
      <w:pPr>
        <w:pStyle w:val="20"/>
        <w:shd w:val="clear" w:color="auto" w:fill="auto"/>
        <w:spacing w:before="0" w:line="276" w:lineRule="auto"/>
        <w:ind w:left="360" w:firstLine="700"/>
      </w:pPr>
      <w:r>
        <w:t>Ratificarea de către Republica Moldova a Convenţiei Organizaţiei Internaţionale a Muncii nr.</w:t>
      </w:r>
      <w:r w:rsidR="00AC648D">
        <w:t xml:space="preserve"> </w:t>
      </w:r>
      <w:r>
        <w:t>l61din 26 iunie 1985 privind serviciile de sănătate ocupaţională, cu Recomandarea nr.171 (în continuare - Convenţia nr. 161), va facilita acordarea serviciilor de sănătate în muncă</w:t>
      </w:r>
      <w:r w:rsidR="00AC648D">
        <w:t xml:space="preserve"> </w:t>
      </w:r>
      <w:r w:rsidR="009F6D2C">
        <w:t>în cadrul i</w:t>
      </w:r>
      <w:r>
        <w:t>nstituţiilor şi</w:t>
      </w:r>
      <w:r w:rsidR="009F6D2C">
        <w:t xml:space="preserve"> a  întreprinderilor, </w:t>
      </w:r>
      <w:r>
        <w:t>în scopul protecţiei sănătăţii angajaţilor.</w:t>
      </w:r>
    </w:p>
    <w:p w:rsidR="00536063" w:rsidRDefault="00A51695" w:rsidP="00116458">
      <w:pPr>
        <w:pStyle w:val="20"/>
        <w:shd w:val="clear" w:color="auto" w:fill="auto"/>
        <w:spacing w:before="0" w:line="276" w:lineRule="auto"/>
        <w:ind w:left="360" w:firstLine="700"/>
      </w:pPr>
      <w:r>
        <w:t xml:space="preserve">Convenţia a intrat în vigoare la data de 17 februarie 1988. </w:t>
      </w:r>
      <w:proofErr w:type="spellStart"/>
      <w:r>
        <w:t>Pînă</w:t>
      </w:r>
      <w:proofErr w:type="spellEnd"/>
      <w:r>
        <w:t xml:space="preserve"> în prezent Convenţia a fost ratificată de 33 de state cum ar fi: Antigua şi Barbuda, Belgia, Benin, Bosnia şi Herţegovina, Brazilia, Bulgaria, Burkina Faso, Chile, Columbia, Croaţia, Republica Cehă, Cote d’</w:t>
      </w:r>
      <w:proofErr w:type="spellStart"/>
      <w:r>
        <w:t>Ivoire</w:t>
      </w:r>
      <w:proofErr w:type="spellEnd"/>
      <w:r>
        <w:t>, Finlanda, Gabon, Germania, Guatemala, Ungaria, Luxemburg, Mexic, Muntenegru, Niger, Polonia, San Marino, Serbia, Seychelles, Slovacia, Slovenia, Suedia, Fosta Republică Iugoslavă a Macedoniei, Curcan, Ucraina, Uruguay, Zimbabwe.</w:t>
      </w:r>
    </w:p>
    <w:p w:rsidR="00536063" w:rsidRDefault="00A51695" w:rsidP="00116458">
      <w:pPr>
        <w:pStyle w:val="20"/>
        <w:shd w:val="clear" w:color="auto" w:fill="auto"/>
        <w:spacing w:before="0" w:after="202" w:line="276" w:lineRule="auto"/>
        <w:ind w:left="360" w:firstLine="700"/>
      </w:pPr>
      <w:r>
        <w:t>Convenţia privind serviciile de sănătate ocupaţională reprezintă un tratat interstatal, structura căruia este compusă din titlu, preambul, dispozitiv şi clauze finale.</w:t>
      </w:r>
    </w:p>
    <w:p w:rsidR="00536063" w:rsidRDefault="00A51695" w:rsidP="00116458">
      <w:pPr>
        <w:pStyle w:val="32"/>
        <w:shd w:val="clear" w:color="auto" w:fill="auto"/>
        <w:spacing w:before="0" w:after="155" w:line="276" w:lineRule="auto"/>
        <w:ind w:firstLine="1060"/>
        <w:jc w:val="both"/>
      </w:pPr>
      <w:r>
        <w:t>Informaţii privind conţinutul tratatului.</w:t>
      </w:r>
    </w:p>
    <w:p w:rsidR="00536063" w:rsidRDefault="009F6D2C" w:rsidP="00116458">
      <w:pPr>
        <w:pStyle w:val="20"/>
        <w:shd w:val="clear" w:color="auto" w:fill="auto"/>
        <w:spacing w:before="0" w:after="184" w:line="276" w:lineRule="auto"/>
        <w:ind w:left="360" w:firstLine="700"/>
      </w:pPr>
      <w:r>
        <w:rPr>
          <w:rStyle w:val="21"/>
        </w:rPr>
        <w:t>Scopul:</w:t>
      </w:r>
      <w:r w:rsidR="00A51695">
        <w:t xml:space="preserve"> protecţia sănătăţii salariaţilor (lucrătorilor) în caz de boală, boli profesionale şi accidente de muncă.</w:t>
      </w:r>
    </w:p>
    <w:p w:rsidR="00536063" w:rsidRDefault="00A51695" w:rsidP="00116458">
      <w:pPr>
        <w:pStyle w:val="20"/>
        <w:shd w:val="clear" w:color="auto" w:fill="auto"/>
        <w:spacing w:before="0" w:after="184" w:line="276" w:lineRule="auto"/>
        <w:ind w:firstLine="1060"/>
      </w:pPr>
      <w:r>
        <w:rPr>
          <w:rStyle w:val="21"/>
        </w:rPr>
        <w:t>Termenul de valabilitate:</w:t>
      </w:r>
      <w:r>
        <w:t xml:space="preserve"> conform art. 19 al Convenţiei, fiecare membru care a ratificat prezenta convenţie poate să o denunţe după expirarea unui termen de zece ani de la data intrării în vigoare a convenţiei, printr-un act comunicat directorului general al Biroului Internaţional al Muncii pentru înregistrare. Denunţarea nu va intra în vigoare decât după un an de la data înregistrării.</w:t>
      </w:r>
    </w:p>
    <w:p w:rsidR="00536063" w:rsidRDefault="00A51695" w:rsidP="00116458">
      <w:pPr>
        <w:pStyle w:val="20"/>
        <w:shd w:val="clear" w:color="auto" w:fill="auto"/>
        <w:spacing w:before="0" w:after="0" w:line="276" w:lineRule="auto"/>
        <w:ind w:firstLine="1060"/>
      </w:pPr>
      <w:r>
        <w:t>Fiecare membru care a ratificat prezenta convenţie şi care, în decursul anului care urmează expirării perioadei de zece ani menţionate în paragraful precedent, nu exercită dreptul de denunţare prevăzut de prezentul articol, va fi obligat pentru o altă perioadă de zece ani şi, ulterior, poate denunţa prezenta convenţie la expirarea fiecărei perioade de zece ani, în condiţiile prevăzute în prezentul articol.</w:t>
      </w:r>
    </w:p>
    <w:p w:rsidR="00536063" w:rsidRDefault="00A51695" w:rsidP="00116458">
      <w:pPr>
        <w:pStyle w:val="20"/>
        <w:shd w:val="clear" w:color="auto" w:fill="auto"/>
        <w:spacing w:before="0" w:after="144" w:line="276" w:lineRule="auto"/>
        <w:ind w:firstLine="1080"/>
      </w:pPr>
      <w:r>
        <w:rPr>
          <w:rStyle w:val="21"/>
        </w:rPr>
        <w:t>Modul de amendare</w:t>
      </w:r>
      <w:r>
        <w:t xml:space="preserve"> este reflectat în art.23, care prevede că în cazul în care Conferinţa va adopta o nouă Convenţie care va revizui integral sau parţial această </w:t>
      </w:r>
      <w:r>
        <w:lastRenderedPageBreak/>
        <w:t>Convenţie, atunci, dacă noua convenţie nu prevede altfel -</w:t>
      </w:r>
    </w:p>
    <w:p w:rsidR="00536063" w:rsidRDefault="00A51695" w:rsidP="00116458">
      <w:pPr>
        <w:pStyle w:val="20"/>
        <w:numPr>
          <w:ilvl w:val="0"/>
          <w:numId w:val="1"/>
        </w:numPr>
        <w:shd w:val="clear" w:color="auto" w:fill="auto"/>
        <w:tabs>
          <w:tab w:val="left" w:pos="758"/>
        </w:tabs>
        <w:spacing w:before="0" w:after="133" w:line="276" w:lineRule="auto"/>
        <w:ind w:left="400"/>
      </w:pPr>
      <w:r>
        <w:t>ratificarea de către un membru a noii convenţii de revizuire implică, ipso jure, denunţarea imediată a prezentei convenţii, indiferent de prevederile articolului 19 de mai sus, în cazul în care noua Convenţie de revizuire va intra în vigoare;</w:t>
      </w:r>
    </w:p>
    <w:p w:rsidR="00536063" w:rsidRDefault="00A51695" w:rsidP="00116458">
      <w:pPr>
        <w:pStyle w:val="20"/>
        <w:numPr>
          <w:ilvl w:val="0"/>
          <w:numId w:val="1"/>
        </w:numPr>
        <w:shd w:val="clear" w:color="auto" w:fill="auto"/>
        <w:tabs>
          <w:tab w:val="left" w:pos="777"/>
        </w:tabs>
        <w:spacing w:before="0" w:after="144" w:line="276" w:lineRule="auto"/>
        <w:ind w:left="400"/>
      </w:pPr>
      <w:r>
        <w:t>de la data intrării în vigoare a noii convenţii de revizuire, prezenta convenţie încetează să mai fie deschisă spre ratificare de către membri.</w:t>
      </w:r>
    </w:p>
    <w:p w:rsidR="00536063" w:rsidRDefault="00A51695" w:rsidP="00116458">
      <w:pPr>
        <w:pStyle w:val="20"/>
        <w:shd w:val="clear" w:color="auto" w:fill="auto"/>
        <w:spacing w:before="0" w:after="144" w:line="276" w:lineRule="auto"/>
        <w:ind w:left="400"/>
      </w:pPr>
      <w:r>
        <w:t>Prezenta convenţie rămâne în orice caz în vigoare, în forma şi conţinutul ei real, pentru acei membri care au ratificat-o, dar care nu au ratificat Convenţia de revizuire.</w:t>
      </w:r>
    </w:p>
    <w:p w:rsidR="00536063" w:rsidRDefault="00A51695" w:rsidP="00116458">
      <w:pPr>
        <w:pStyle w:val="20"/>
        <w:shd w:val="clear" w:color="auto" w:fill="auto"/>
        <w:spacing w:before="0" w:after="0" w:line="276" w:lineRule="auto"/>
        <w:ind w:left="400" w:firstLine="680"/>
      </w:pPr>
      <w:r>
        <w:t>Serviciile de sănătate ocupaţională, care pot fi definite drept un sistem de supraveghere şi asigurare a sănătăţii salariaţilor la locul de muncă, au următoarele funcţii:</w:t>
      </w:r>
    </w:p>
    <w:p w:rsidR="00536063" w:rsidRDefault="00A51695" w:rsidP="00116458">
      <w:pPr>
        <w:pStyle w:val="20"/>
        <w:numPr>
          <w:ilvl w:val="0"/>
          <w:numId w:val="2"/>
        </w:numPr>
        <w:shd w:val="clear" w:color="auto" w:fill="auto"/>
        <w:tabs>
          <w:tab w:val="left" w:pos="1313"/>
        </w:tabs>
        <w:spacing w:before="0" w:after="0" w:line="276" w:lineRule="auto"/>
        <w:ind w:left="400" w:firstLine="680"/>
      </w:pPr>
      <w:r>
        <w:t>identificarea, evaluarea şi monitorizarea factorilor mediului ocupaţional care pot influenţa negativ asupra sănătăţii lucrătorilor;</w:t>
      </w:r>
    </w:p>
    <w:p w:rsidR="00536063" w:rsidRDefault="00A51695" w:rsidP="00116458">
      <w:pPr>
        <w:pStyle w:val="20"/>
        <w:numPr>
          <w:ilvl w:val="0"/>
          <w:numId w:val="2"/>
        </w:numPr>
        <w:shd w:val="clear" w:color="auto" w:fill="auto"/>
        <w:tabs>
          <w:tab w:val="left" w:pos="1308"/>
        </w:tabs>
        <w:spacing w:before="0" w:after="0" w:line="276" w:lineRule="auto"/>
        <w:ind w:left="400" w:firstLine="680"/>
      </w:pPr>
      <w:r>
        <w:t>consultarea angajatorilor privind organizarea locurilor de muncă şi ajustarea lor la necesităţile lucrătorilor;</w:t>
      </w:r>
    </w:p>
    <w:p w:rsidR="00536063" w:rsidRDefault="00A51695" w:rsidP="00116458">
      <w:pPr>
        <w:pStyle w:val="20"/>
        <w:numPr>
          <w:ilvl w:val="0"/>
          <w:numId w:val="2"/>
        </w:numPr>
        <w:shd w:val="clear" w:color="auto" w:fill="auto"/>
        <w:tabs>
          <w:tab w:val="left" w:pos="1308"/>
        </w:tabs>
        <w:spacing w:before="0" w:after="0" w:line="276" w:lineRule="auto"/>
        <w:ind w:left="400" w:firstLine="680"/>
      </w:pPr>
      <w:r>
        <w:t>consultarea lucrătorilor în problemele de protecţie a sănătăţii, securitate şi igienă a muncii, de asemenea în ergonomie şi utilizarea echipamentelor de protecţie;</w:t>
      </w:r>
    </w:p>
    <w:p w:rsidR="00536063" w:rsidRDefault="00A51695" w:rsidP="00116458">
      <w:pPr>
        <w:pStyle w:val="20"/>
        <w:numPr>
          <w:ilvl w:val="0"/>
          <w:numId w:val="2"/>
        </w:numPr>
        <w:shd w:val="clear" w:color="auto" w:fill="auto"/>
        <w:tabs>
          <w:tab w:val="left" w:pos="1308"/>
        </w:tabs>
        <w:spacing w:before="0" w:after="0" w:line="276" w:lineRule="auto"/>
        <w:ind w:left="400" w:firstLine="680"/>
      </w:pPr>
      <w:r>
        <w:t>supravegherea stării de sănătate a lucrătorilor în raport cu factorii profesionali de risc la locul de muncă;</w:t>
      </w:r>
    </w:p>
    <w:p w:rsidR="00536063" w:rsidRDefault="00A51695" w:rsidP="00116458">
      <w:pPr>
        <w:pStyle w:val="20"/>
        <w:numPr>
          <w:ilvl w:val="0"/>
          <w:numId w:val="2"/>
        </w:numPr>
        <w:shd w:val="clear" w:color="auto" w:fill="auto"/>
        <w:tabs>
          <w:tab w:val="left" w:pos="1315"/>
        </w:tabs>
        <w:spacing w:before="0" w:after="0" w:line="276" w:lineRule="auto"/>
        <w:ind w:left="400" w:firstLine="680"/>
      </w:pPr>
      <w:r>
        <w:t>diagnosticul, tratamentul şi reabilitarea bolnavilor cu patologii profesionale;</w:t>
      </w:r>
    </w:p>
    <w:p w:rsidR="00536063" w:rsidRDefault="00A51695" w:rsidP="00116458">
      <w:pPr>
        <w:pStyle w:val="20"/>
        <w:numPr>
          <w:ilvl w:val="0"/>
          <w:numId w:val="2"/>
        </w:numPr>
        <w:shd w:val="clear" w:color="auto" w:fill="auto"/>
        <w:tabs>
          <w:tab w:val="left" w:pos="1332"/>
        </w:tabs>
        <w:spacing w:before="0" w:after="0" w:line="276" w:lineRule="auto"/>
        <w:ind w:left="400" w:firstLine="680"/>
      </w:pPr>
      <w:r>
        <w:t>organizarea informării, instruirii şi educaţiei lucrătorilor cu referire la protecţia sănătăţii în cadrul procesului de muncă;</w:t>
      </w:r>
    </w:p>
    <w:p w:rsidR="00536063" w:rsidRDefault="00A51695" w:rsidP="00116458">
      <w:pPr>
        <w:pStyle w:val="20"/>
        <w:numPr>
          <w:ilvl w:val="0"/>
          <w:numId w:val="2"/>
        </w:numPr>
        <w:shd w:val="clear" w:color="auto" w:fill="auto"/>
        <w:tabs>
          <w:tab w:val="left" w:pos="1313"/>
        </w:tabs>
        <w:spacing w:before="0" w:after="0" w:line="276" w:lineRule="auto"/>
        <w:ind w:left="400" w:firstLine="680"/>
      </w:pPr>
      <w:r>
        <w:t>analiza cazurilor de boli profesionale, şi în caz de necesitate, participarea la analiza cazurilor de accidente la locul de muncă.</w:t>
      </w:r>
    </w:p>
    <w:p w:rsidR="00536063" w:rsidRDefault="00A51695" w:rsidP="00116458">
      <w:pPr>
        <w:pStyle w:val="20"/>
        <w:shd w:val="clear" w:color="auto" w:fill="auto"/>
        <w:spacing w:before="0" w:after="536" w:line="276" w:lineRule="auto"/>
        <w:ind w:left="400" w:firstLine="680"/>
      </w:pPr>
      <w:r>
        <w:t>Funcţiile menţionate mai sus urmează a fi îndeplinite de către medicii igienişti, medicii în patologii profesionale, specialiştii în securitate şi sănătate la locul de muncă, care la necesitate vor fi consultaţi de către ergonomişti sau psihologi.</w:t>
      </w:r>
    </w:p>
    <w:p w:rsidR="00536063" w:rsidRDefault="00A51695" w:rsidP="00116458">
      <w:pPr>
        <w:pStyle w:val="30"/>
        <w:keepNext/>
        <w:keepLines/>
        <w:shd w:val="clear" w:color="auto" w:fill="auto"/>
        <w:spacing w:after="220" w:line="276" w:lineRule="auto"/>
        <w:ind w:left="4380"/>
      </w:pPr>
      <w:bookmarkStart w:id="3" w:name="bookmark3"/>
      <w:r>
        <w:t>Analiza de impact</w:t>
      </w:r>
      <w:bookmarkEnd w:id="3"/>
    </w:p>
    <w:p w:rsidR="00536063" w:rsidRDefault="00A51695" w:rsidP="00116458">
      <w:pPr>
        <w:pStyle w:val="30"/>
        <w:keepNext/>
        <w:keepLines/>
        <w:shd w:val="clear" w:color="auto" w:fill="auto"/>
        <w:spacing w:after="200" w:line="276" w:lineRule="auto"/>
        <w:ind w:left="400" w:firstLine="680"/>
        <w:jc w:val="both"/>
      </w:pPr>
      <w:bookmarkStart w:id="4" w:name="bookmark4"/>
      <w:r>
        <w:t>Informaţii generale.</w:t>
      </w:r>
      <w:bookmarkEnd w:id="4"/>
    </w:p>
    <w:p w:rsidR="00536063" w:rsidRDefault="00A51695" w:rsidP="00116458">
      <w:pPr>
        <w:pStyle w:val="20"/>
        <w:shd w:val="clear" w:color="auto" w:fill="auto"/>
        <w:spacing w:before="0" w:after="0" w:line="276" w:lineRule="auto"/>
        <w:ind w:left="400" w:firstLine="680"/>
      </w:pPr>
      <w:r>
        <w:t xml:space="preserve">Ratificarea şi implementarea de către Republica Moldova a Convenţiei va contribui la perfecţionarea legislaţiei în domeniu şi prin urmare la soluţionarea mai multor probleme cu care se confruntă actualmente salariaţii şi anume: identificarea şi evaluarea riscurilor de expunere a lucrătorilor la locul de muncă; monitorizarea </w:t>
      </w:r>
      <w:r>
        <w:lastRenderedPageBreak/>
        <w:t>factorilor de mediu şi a operaţiunilor de producţie care le-ar putea afecta sănătatea; participarea în procesul de examinare şi analiză a accidentelor de muncă şi a bolilor profesionale; organizarea de prim ajutor şi de asistenţă medicală de urgenţă, etc.</w:t>
      </w:r>
      <w:r w:rsidR="009F6D2C">
        <w:t xml:space="preserve"> </w:t>
      </w:r>
      <w:r>
        <w:t>Convenţia nr. 161 obligă statele membre să dezvolte treptat serviciile de sănătate ocupaţională pentru toţi lucrătorii, atât pentru cei angajaţi în sectorul privat, cât şi pentru cei angajaţi în sectorul public, în toate ramurile economiei. Măsurile întreprinse trebuie să fie adecvate riscurilor specifice ale întreprinderilor.</w:t>
      </w:r>
    </w:p>
    <w:p w:rsidR="00536063" w:rsidRDefault="00A51695" w:rsidP="00116458">
      <w:pPr>
        <w:pStyle w:val="20"/>
        <w:shd w:val="clear" w:color="auto" w:fill="auto"/>
        <w:spacing w:before="0" w:after="280" w:line="276" w:lineRule="auto"/>
        <w:ind w:firstLine="800"/>
      </w:pPr>
      <w:r>
        <w:t>Furnizarea serviciilor calitative de sănătate ocupaţională constituie una din preocupările de bază ale Organizaţiei Internaţionale a Muncii (OIM). Pentru a asigura punerea în aplicare a acestor practici la nivel naţional şi de întreprindere, statele membre ale OIM sunt încurajate să adopte politici naţionale cuprinzătoare privind serviciile de sănătate ocupaţională, în conformitate cu prevederile Convenţiei nr. 161.</w:t>
      </w:r>
    </w:p>
    <w:p w:rsidR="00536063" w:rsidRDefault="00A51695" w:rsidP="00116458">
      <w:pPr>
        <w:pStyle w:val="20"/>
        <w:shd w:val="clear" w:color="auto" w:fill="auto"/>
        <w:tabs>
          <w:tab w:val="left" w:pos="8931"/>
        </w:tabs>
        <w:spacing w:before="0" w:after="277" w:line="276" w:lineRule="auto"/>
        <w:ind w:firstLine="800"/>
      </w:pPr>
      <w:r>
        <w:t>Prin ratificarea Convenţiei, fiecare parte recunoaşte relevanţa standardelor internaţionale în domeniul serviciilor de sănătate ocupaţională şi îşi asumă obligaţia de a formula, implementa şi revizui periodic o politică naţională coerentă în această direcţie.</w:t>
      </w:r>
    </w:p>
    <w:p w:rsidR="00536063" w:rsidRDefault="00A51695" w:rsidP="00116458">
      <w:pPr>
        <w:pStyle w:val="20"/>
        <w:shd w:val="clear" w:color="auto" w:fill="auto"/>
        <w:spacing w:before="0" w:after="0" w:line="276" w:lineRule="auto"/>
        <w:ind w:firstLine="800"/>
      </w:pPr>
      <w:r>
        <w:t>Cadrul instituit de Convenţie şi elaborat în detalii prin Recomandarea Conferinţei Internaţionale a Muncii nr. 171 din 26 iunie 1985, solicită guvernelor să contribuie la construcţia unei infrastructuri de servicii de sănătate cu funcţii esenţial</w:t>
      </w:r>
    </w:p>
    <w:p w:rsidR="00536063" w:rsidRDefault="00A51695" w:rsidP="00116458">
      <w:pPr>
        <w:pStyle w:val="40"/>
        <w:shd w:val="clear" w:color="auto" w:fill="auto"/>
        <w:tabs>
          <w:tab w:val="left" w:pos="8189"/>
          <w:tab w:val="left" w:pos="8969"/>
        </w:tabs>
        <w:spacing w:after="0" w:line="276" w:lineRule="auto"/>
        <w:ind w:left="2480"/>
      </w:pPr>
      <w:r>
        <w:t>9</w:t>
      </w:r>
      <w:r>
        <w:tab/>
      </w:r>
      <w:proofErr w:type="spellStart"/>
      <w:r>
        <w:t>9</w:t>
      </w:r>
      <w:proofErr w:type="spellEnd"/>
      <w:r>
        <w:tab/>
      </w:r>
      <w:proofErr w:type="spellStart"/>
      <w:r>
        <w:t>9</w:t>
      </w:r>
      <w:proofErr w:type="spellEnd"/>
    </w:p>
    <w:p w:rsidR="00536063" w:rsidRDefault="00A51695" w:rsidP="00116458">
      <w:pPr>
        <w:pStyle w:val="20"/>
        <w:shd w:val="clear" w:color="auto" w:fill="auto"/>
        <w:spacing w:before="0" w:after="0" w:line="276" w:lineRule="auto"/>
      </w:pPr>
      <w:r>
        <w:t>preventive şi responsabile pentru consultarea angajatorilor, salariaţilor şi reprezentanţilor acestora pe marginea solicitărilor de instituire şi menţinere a unui loc de muncă sigur şi sănătos, şi adaptarea muncii la capacităţile determinate de starea fizică si sănătatea mintală a salariaţilor.</w:t>
      </w:r>
    </w:p>
    <w:p w:rsidR="00536063" w:rsidRDefault="00A51695" w:rsidP="00116458">
      <w:pPr>
        <w:pStyle w:val="40"/>
        <w:shd w:val="clear" w:color="auto" w:fill="auto"/>
        <w:tabs>
          <w:tab w:val="left" w:pos="3816"/>
        </w:tabs>
        <w:spacing w:after="265" w:line="276" w:lineRule="auto"/>
        <w:ind w:left="800"/>
      </w:pPr>
      <w:r>
        <w:t>9</w:t>
      </w:r>
      <w:r>
        <w:tab/>
      </w:r>
      <w:proofErr w:type="spellStart"/>
      <w:r>
        <w:t>9</w:t>
      </w:r>
      <w:proofErr w:type="spellEnd"/>
    </w:p>
    <w:p w:rsidR="00536063" w:rsidRDefault="00A51695" w:rsidP="00116458">
      <w:pPr>
        <w:pStyle w:val="20"/>
        <w:shd w:val="clear" w:color="auto" w:fill="auto"/>
        <w:spacing w:before="0" w:after="0" w:line="276" w:lineRule="auto"/>
        <w:ind w:firstLine="800"/>
      </w:pPr>
      <w:r>
        <w:t>Importanţa Convenţiei rezidă în mecanismul de:</w:t>
      </w:r>
    </w:p>
    <w:p w:rsidR="00536063" w:rsidRDefault="00A51695" w:rsidP="00116458">
      <w:pPr>
        <w:pStyle w:val="20"/>
        <w:numPr>
          <w:ilvl w:val="0"/>
          <w:numId w:val="2"/>
        </w:numPr>
        <w:shd w:val="clear" w:color="auto" w:fill="auto"/>
        <w:tabs>
          <w:tab w:val="left" w:pos="1074"/>
        </w:tabs>
        <w:spacing w:before="0" w:after="0" w:line="276" w:lineRule="auto"/>
        <w:ind w:firstLine="800"/>
      </w:pPr>
      <w:r>
        <w:t>identificare şi evaluare a riscurilor pentru sănătate la locul de muncă;</w:t>
      </w:r>
    </w:p>
    <w:p w:rsidR="00536063" w:rsidRDefault="00A51695" w:rsidP="00116458">
      <w:pPr>
        <w:pStyle w:val="20"/>
        <w:numPr>
          <w:ilvl w:val="0"/>
          <w:numId w:val="2"/>
        </w:numPr>
        <w:shd w:val="clear" w:color="auto" w:fill="auto"/>
        <w:tabs>
          <w:tab w:val="left" w:pos="924"/>
        </w:tabs>
        <w:spacing w:before="0" w:after="0" w:line="276" w:lineRule="auto"/>
        <w:ind w:firstLine="800"/>
      </w:pPr>
      <w:r>
        <w:t>supraveghere a factorilor din mediul de muncă, care ar putea afecta sănătatea salariaţilor;</w:t>
      </w:r>
    </w:p>
    <w:p w:rsidR="00536063" w:rsidRDefault="00A51695" w:rsidP="00116458">
      <w:pPr>
        <w:pStyle w:val="20"/>
        <w:numPr>
          <w:ilvl w:val="0"/>
          <w:numId w:val="2"/>
        </w:numPr>
        <w:shd w:val="clear" w:color="auto" w:fill="auto"/>
        <w:tabs>
          <w:tab w:val="left" w:pos="924"/>
        </w:tabs>
        <w:spacing w:before="0" w:after="0" w:line="276" w:lineRule="auto"/>
        <w:ind w:firstLine="800"/>
      </w:pPr>
      <w:r>
        <w:t>participare la dezvoltarea programelor de îmbunătăţire a practicilor şi schimbul de informaţii în domeniu;</w:t>
      </w:r>
    </w:p>
    <w:p w:rsidR="00536063" w:rsidRDefault="00A51695" w:rsidP="00116458">
      <w:pPr>
        <w:pStyle w:val="50"/>
        <w:shd w:val="clear" w:color="auto" w:fill="auto"/>
        <w:tabs>
          <w:tab w:val="left" w:pos="3816"/>
        </w:tabs>
        <w:spacing w:after="0" w:line="276" w:lineRule="auto"/>
        <w:ind w:left="2340"/>
      </w:pPr>
      <w:r>
        <w:rPr>
          <w:rStyle w:val="51"/>
        </w:rPr>
        <w:t>9</w:t>
      </w:r>
      <w:r>
        <w:tab/>
      </w:r>
      <w:r>
        <w:rPr>
          <w:vertAlign w:val="superscript"/>
        </w:rPr>
        <w:t>7</w:t>
      </w:r>
    </w:p>
    <w:p w:rsidR="00536063" w:rsidRDefault="00A51695" w:rsidP="00116458">
      <w:pPr>
        <w:pStyle w:val="20"/>
        <w:numPr>
          <w:ilvl w:val="0"/>
          <w:numId w:val="2"/>
        </w:numPr>
        <w:shd w:val="clear" w:color="auto" w:fill="auto"/>
        <w:tabs>
          <w:tab w:val="left" w:pos="1074"/>
        </w:tabs>
        <w:spacing w:before="0" w:after="265" w:line="276" w:lineRule="auto"/>
        <w:ind w:firstLine="800"/>
      </w:pPr>
      <w:r>
        <w:t>supraveghere a sănătăţii salariaţilor, etc.</w:t>
      </w:r>
    </w:p>
    <w:p w:rsidR="00536063" w:rsidRDefault="00A51695" w:rsidP="00116458">
      <w:pPr>
        <w:pStyle w:val="20"/>
        <w:shd w:val="clear" w:color="auto" w:fill="auto"/>
        <w:tabs>
          <w:tab w:val="left" w:pos="9072"/>
        </w:tabs>
        <w:spacing w:before="0" w:after="0" w:line="276" w:lineRule="auto"/>
        <w:ind w:firstLine="800"/>
      </w:pPr>
      <w:r>
        <w:t xml:space="preserve">Conform art. 6 din Convenţie, instituirea unor servicii de sănătate ocupaţională corespunzătoare prevederilor enumerate </w:t>
      </w:r>
      <w:r>
        <w:rPr>
          <w:rStyle w:val="21"/>
        </w:rPr>
        <w:t>supra</w:t>
      </w:r>
      <w:r>
        <w:t xml:space="preserve"> implică din punct de vedere organizaţion</w:t>
      </w:r>
      <w:r w:rsidR="009F6D2C">
        <w:t>al adoptarea actelor normative ș</w:t>
      </w:r>
      <w:r>
        <w:t>i/</w:t>
      </w:r>
      <w:r>
        <w:rPr>
          <w:rStyle w:val="22"/>
        </w:rPr>
        <w:t>sau a contracte</w:t>
      </w:r>
      <w:r>
        <w:t xml:space="preserve">lor colective de muncă, sau a altor documente de oricare formă, aprobate de autoritatea competentă după consultarea cu organizaţiile patronale şi sindicale relevante. De asemenea, serviciile respective reclamă existenţa specialiştilor pregătiţi, dar şi a capacităţilor de diagnosticare, consultare, tratament şi dispensarizare a bolilor profesionale şi cronice, </w:t>
      </w:r>
      <w:r>
        <w:lastRenderedPageBreak/>
        <w:t>iar participarea echitabilă a partenerilor sociali la implementarea acestora este unul din principiile de bază ale Convenţiei.</w:t>
      </w:r>
    </w:p>
    <w:p w:rsidR="00536063" w:rsidRDefault="00A51695" w:rsidP="00116458">
      <w:pPr>
        <w:pStyle w:val="20"/>
        <w:shd w:val="clear" w:color="auto" w:fill="auto"/>
        <w:spacing w:before="0" w:after="280" w:line="276" w:lineRule="auto"/>
        <w:ind w:firstLine="740"/>
      </w:pPr>
      <w:r>
        <w:t>Mecanismul de raportare în baza Convenţiei a fost adoptat de Consiliul de Administraţie al OIM în concordanţă cu prevederile art. 22 din Constituţia Organizaţiei şi impune guvernelor statelor-părţi respectarea prevederilor Recomandării nr.171 privind serviciile de sănătate ocupaţională. Prin urmare se anexează Recomandarea respectivă la textul Convenţiei.</w:t>
      </w:r>
    </w:p>
    <w:p w:rsidR="00536063" w:rsidRDefault="00A51695" w:rsidP="00116458">
      <w:pPr>
        <w:pStyle w:val="20"/>
        <w:shd w:val="clear" w:color="auto" w:fill="auto"/>
        <w:spacing w:before="0" w:after="280" w:line="276" w:lineRule="auto"/>
        <w:ind w:firstLine="740"/>
      </w:pPr>
      <w:r>
        <w:rPr>
          <w:rStyle w:val="23"/>
        </w:rPr>
        <w:t xml:space="preserve">Aspectul politic, cultural şi social. </w:t>
      </w:r>
      <w:r>
        <w:t xml:space="preserve">Ratificarea Convenţiei OIM nr,161va contribui la promovarea imaginii Republicii Moldova în calitate de stat democratic, care garantează tuturor persoanelor angajate în </w:t>
      </w:r>
      <w:proofErr w:type="spellStart"/>
      <w:r>
        <w:t>cîmpul</w:t>
      </w:r>
      <w:proofErr w:type="spellEnd"/>
      <w:r>
        <w:t xml:space="preserve"> muncii, accesul la servicii calitative de sănătate.</w:t>
      </w:r>
    </w:p>
    <w:p w:rsidR="00536063" w:rsidRDefault="00A51695" w:rsidP="00116458">
      <w:pPr>
        <w:pStyle w:val="20"/>
        <w:shd w:val="clear" w:color="auto" w:fill="auto"/>
        <w:spacing w:before="0" w:after="280" w:line="276" w:lineRule="auto"/>
        <w:ind w:firstLine="740"/>
      </w:pPr>
      <w:r>
        <w:rPr>
          <w:rStyle w:val="23"/>
        </w:rPr>
        <w:t xml:space="preserve">Aspectul economic şi de mediu. </w:t>
      </w:r>
      <w:r>
        <w:t>Ratificarea Convenţiei privind serviciile de sănătate ocupaţională va facilita îmbunătăţirea indicatorilor de sănătate a angajaţilor prin depistarea precoce a maladiilor, legate de mediul ocupaţional şi tratamentul acestora . Veniturile aşteptate în urma implementării Convenţiei nu pot fi calculate în cifre concrete, însă sunt evidente (sănătatea angajaţilor, păstrarea capacităţii de muncă, sporirea productivităţii muncii, diminuarea dezabilităţii şi mortalităţii populaţiei apte de muncă). Consecinţe negative în rezultatul ratificării de către Republica Moldova a Convenţiei menţionate supra nu au fost identificate.</w:t>
      </w:r>
    </w:p>
    <w:p w:rsidR="00536063" w:rsidRDefault="00A51695" w:rsidP="008C1AF9">
      <w:pPr>
        <w:pStyle w:val="20"/>
        <w:shd w:val="clear" w:color="auto" w:fill="auto"/>
        <w:tabs>
          <w:tab w:val="left" w:pos="9072"/>
        </w:tabs>
        <w:spacing w:before="0" w:after="0" w:line="276" w:lineRule="auto"/>
        <w:ind w:firstLine="740"/>
        <w:jc w:val="left"/>
      </w:pPr>
      <w:r>
        <w:rPr>
          <w:rStyle w:val="23"/>
        </w:rPr>
        <w:t xml:space="preserve">Aspectul normativ. </w:t>
      </w:r>
      <w:r>
        <w:t>Prevederile Convenţiei OIM nr.161 privind serviciile de sănătate ocupaţională sunt compatibile cu prevederile Constituţiei Republicii Moldova (articolul 43 alineatul (2)), legislaţiei Uniunii Europene, precum şi cu instrumentele juridice internaţionale ratificate. Ast</w:t>
      </w:r>
      <w:r w:rsidR="009F6D2C">
        <w:t xml:space="preserve">fel, </w:t>
      </w:r>
      <w:proofErr w:type="spellStart"/>
      <w:r w:rsidR="009F6D2C">
        <w:t>pînă</w:t>
      </w:r>
      <w:proofErr w:type="spellEnd"/>
      <w:r w:rsidR="009F6D2C">
        <w:t xml:space="preserve"> în prezent, de către Parlamentul </w:t>
      </w:r>
      <w:r>
        <w:t>Republicii Moldova au fost ratificate mai multe Convenţii ale Organizaţiei Internaţionale a Muncii: nr. 155 privind securitatea şi igiena muncii şi mediul de muncă (ratificată prin Legea nr. 755-XIV din 24.12.1999), nr. 187 privind cadrul de promovare a securităţii şi sănătăţii în muncă (ratificată prin Legea nr. 72-XVIII din 26.11.2008).</w:t>
      </w:r>
    </w:p>
    <w:p w:rsidR="00536063" w:rsidRDefault="00536063" w:rsidP="00116458">
      <w:pPr>
        <w:pStyle w:val="60"/>
        <w:shd w:val="clear" w:color="auto" w:fill="auto"/>
        <w:spacing w:line="276" w:lineRule="auto"/>
      </w:pPr>
    </w:p>
    <w:p w:rsidR="00536063" w:rsidRDefault="00A51695" w:rsidP="00116458">
      <w:pPr>
        <w:pStyle w:val="20"/>
        <w:shd w:val="clear" w:color="auto" w:fill="auto"/>
        <w:tabs>
          <w:tab w:val="left" w:pos="9072"/>
        </w:tabs>
        <w:spacing w:before="0" w:after="276" w:line="276" w:lineRule="auto"/>
        <w:ind w:firstLine="740"/>
      </w:pPr>
      <w:r>
        <w:t>Sănătatea şi securitatea în muncă reprezintă unul dintre cele mai importante domenii ale politicii Organizaţiei Internaţionale a Muncii şi a UE referitoare la ocuparea forţei de muncă şi afaceri sociale. Scopul final al activităţii de sănătate şi securitate în muncă este protejarea vieţii, integrităţii şi sănătăţii angajaţilor împotriva riscurilor de accidentare şi îmbolnăvire profesională care pot apărea la locul de muncă şi crearea unor condiţii de muncă care să la asigure acestora confortul fizic, psihic şi social.</w:t>
      </w:r>
    </w:p>
    <w:p w:rsidR="00536063" w:rsidRDefault="0005259B" w:rsidP="00116458">
      <w:pPr>
        <w:pStyle w:val="20"/>
        <w:shd w:val="clear" w:color="auto" w:fill="auto"/>
        <w:spacing w:before="0" w:after="280" w:line="276" w:lineRule="auto"/>
        <w:ind w:right="500" w:firstLine="740"/>
      </w:pPr>
      <w:r>
        <w:rPr>
          <w:noProof/>
          <w:lang w:val="ru-RU" w:eastAsia="ru-RU" w:bidi="ar-SA"/>
        </w:rPr>
        <mc:AlternateContent>
          <mc:Choice Requires="wps">
            <w:drawing>
              <wp:anchor distT="0" distB="1465580" distL="135890" distR="63500" simplePos="0" relativeHeight="377487104" behindDoc="1" locked="0" layoutInCell="1" allowOverlap="1" wp14:anchorId="1981E1F0" wp14:editId="26C56651">
                <wp:simplePos x="0" y="0"/>
                <wp:positionH relativeFrom="margin">
                  <wp:posOffset>6028690</wp:posOffset>
                </wp:positionH>
                <wp:positionV relativeFrom="paragraph">
                  <wp:posOffset>24130</wp:posOffset>
                </wp:positionV>
                <wp:extent cx="147955" cy="306070"/>
                <wp:effectExtent l="0" t="0" r="0" b="0"/>
                <wp:wrapSquare wrapText="left"/>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063" w:rsidRDefault="00536063">
                            <w:pPr>
                              <w:pStyle w:val="8"/>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74.7pt;margin-top:1.9pt;width:11.65pt;height:24.1pt;z-index:-125829376;visibility:visible;mso-wrap-style:square;mso-width-percent:0;mso-height-percent:0;mso-wrap-distance-left:10.7pt;mso-wrap-distance-top:0;mso-wrap-distance-right:5pt;mso-wrap-distance-bottom:115.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" filled="f" stroked="f">
                <v:textbox style="mso-fit-shape-to-text:t" inset="0,0,0,0">
                  <w:txbxContent>
                    <w:p w:rsidR="00536063" w:rsidRDefault="00536063">
                      <w:pPr>
                        <w:pStyle w:val="8"/>
                        <w:shd w:val="clear" w:color="auto" w:fill="auto"/>
                      </w:pPr>
                    </w:p>
                  </w:txbxContent>
                </v:textbox>
                <w10:wrap type="square" side="left" anchorx="margin"/>
              </v:shape>
            </w:pict>
          </mc:Fallback>
        </mc:AlternateContent>
      </w:r>
      <w:r>
        <w:rPr>
          <w:noProof/>
          <w:lang w:val="ru-RU" w:eastAsia="ru-RU" w:bidi="ar-SA"/>
        </w:rPr>
        <mc:AlternateContent>
          <mc:Choice Requires="wps">
            <w:drawing>
              <wp:anchor distT="1210310" distB="222885" distL="63500" distR="63500" simplePos="0" relativeHeight="377487105" behindDoc="1" locked="0" layoutInCell="1" allowOverlap="1" wp14:anchorId="7DF2F8C1" wp14:editId="6D3E0151">
                <wp:simplePos x="0" y="0"/>
                <wp:positionH relativeFrom="margin">
                  <wp:posOffset>5925185</wp:posOffset>
                </wp:positionH>
                <wp:positionV relativeFrom="paragraph">
                  <wp:posOffset>1269365</wp:posOffset>
                </wp:positionV>
                <wp:extent cx="227965" cy="140970"/>
                <wp:effectExtent l="635" t="2540" r="0" b="0"/>
                <wp:wrapSquare wrapText="left"/>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063" w:rsidRDefault="00536063">
                            <w:pPr>
                              <w:pStyle w:val="9"/>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66.55pt;margin-top:99.95pt;width:17.95pt;height:11.1pt;z-index:-125829375;visibility:visible;mso-wrap-style:square;mso-width-percent:0;mso-height-percent:0;mso-wrap-distance-left:5pt;mso-wrap-distance-top:95.3pt;mso-wrap-distance-right:5pt;mso-wrap-distance-bottom:17.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sgnrwIAAK8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" filled="f" stroked="f">
                <v:textbox style="mso-fit-shape-to-text:t" inset="0,0,0,0">
                  <w:txbxContent>
                    <w:p w:rsidR="00536063" w:rsidRDefault="00536063">
                      <w:pPr>
                        <w:pStyle w:val="9"/>
                        <w:shd w:val="clear" w:color="auto" w:fill="auto"/>
                      </w:pPr>
                    </w:p>
                  </w:txbxContent>
                </v:textbox>
                <w10:wrap type="square" side="left" anchorx="margin"/>
              </v:shape>
            </w:pict>
          </mc:Fallback>
        </mc:AlternateContent>
      </w:r>
      <w:r w:rsidR="00A51695">
        <w:t>Totodată, aderarea la Convenţia nr. 161 va determina necesitatea de ajustare a legislaţiei naţionale în domeniul respectiv, cum ar fi:</w:t>
      </w:r>
    </w:p>
    <w:p w:rsidR="00536063" w:rsidRDefault="00A51695" w:rsidP="00116458">
      <w:pPr>
        <w:pStyle w:val="20"/>
        <w:shd w:val="clear" w:color="auto" w:fill="auto"/>
        <w:tabs>
          <w:tab w:val="left" w:pos="9072"/>
        </w:tabs>
        <w:spacing w:before="0" w:after="0" w:line="276" w:lineRule="auto"/>
        <w:ind w:right="500" w:firstLine="740"/>
      </w:pPr>
      <w:r>
        <w:lastRenderedPageBreak/>
        <w:t>Alinierea la standardele internaţionale în domeniul asigurării şi protecţiei sănătăţii salariaţilor la locul de muncă este o prerogativă a politicilor publice din domeniul supravegherii de stat a sănătăţii publice, care se realizează în baza Legii nr.</w:t>
      </w:r>
      <w:r w:rsidR="00871A42">
        <w:t xml:space="preserve"> </w:t>
      </w:r>
      <w:r>
        <w:t>10 din 03 februarie 2009 privind supravegherea de stat a sănătăţii publice. Respectiv, Legea nr. 10/2009 stabileşte mecanisme concrete şi autorităţile abilitate cu funcţii de prevenire a maladiilor, promovare şi protecţie a sănătăţii, evaluarea calităţii şi eficienţei serviciilor de sănătate publică (art. 5,42, 45 şi 49). Relevante în acest sens sunt şi prevederile art. 224 şi 225 din Codul Muncii al Republicii Moldova, conform cărora statul garantează salariaţilor apărarea dreptului acestora la o muncă care să corespundă cerinţelor de securitate şi sănătate în muncă, precum şi normele Legii securităţii ţi sănătăţii în muncă nr. 186/2008, care stabilesc principiile generale privind prevenirea riscurilor profesionale, protecţia lucrătorilor la locul de muncă, eliminarea factorilor de risc şi de accidentare, informarea, consultarea, participarea echilibrată, instruirea lucrătorilor şi a reprezentanţilor acestora, precum şi liniile directoare generale privind aplicarea principiilor menţionate.</w:t>
      </w:r>
    </w:p>
    <w:p w:rsidR="00536063" w:rsidRDefault="00A51695" w:rsidP="00116458">
      <w:pPr>
        <w:pStyle w:val="20"/>
        <w:shd w:val="clear" w:color="auto" w:fill="auto"/>
        <w:spacing w:before="0" w:after="264" w:line="276" w:lineRule="auto"/>
        <w:ind w:right="300" w:firstLine="760"/>
      </w:pPr>
      <w:r>
        <w:t>Totodată, este necesară adoptarea unei Hotărâri de Guvern în scopul implementării eficiente a tratatului.</w:t>
      </w:r>
    </w:p>
    <w:p w:rsidR="00536063" w:rsidRDefault="00A51695" w:rsidP="00116458">
      <w:pPr>
        <w:pStyle w:val="20"/>
        <w:shd w:val="clear" w:color="auto" w:fill="auto"/>
        <w:spacing w:before="0" w:after="256" w:line="276" w:lineRule="auto"/>
        <w:ind w:firstLine="760"/>
      </w:pPr>
      <w:r>
        <w:rPr>
          <w:rStyle w:val="23"/>
        </w:rPr>
        <w:t xml:space="preserve">Aspectul instituţional şi organizatoric. </w:t>
      </w:r>
      <w:r>
        <w:t>Responsabil de implementarea prevederilor Convenţiei OIM nr.161 privind serviciile de sănătate ocupaţională este Ministerul Sănătăţii, Muncii şi Protecţiei Sociale, care prin intermediul Agenţiei Naţionale pentru Sănătate Publică şi Instituţiilor medico-sanitare publice/private va identifica, evalua şi monitoriza factorii de risc pentru sănătate din mediul ocupaţional, va propune măsuri ergonomice la locul de muncă, va supraveghea starea sănătăţii persoanelor expuse acţiunii factorilor profesionali de risc, va organiza primul ajutor medical de urgenţă pentru angajaţi, va asigura diagnosticul, tratamentul şi reabilitarea medicală a bolnavilor cu patologii profesionale. Totodată, servicii de sănătate ocupaţională vor fi acordate parţial şi în cadrul unor întreprinderi mai mari, care dispun de secţii sau puncte medicale. Specialiştii în securitate şi sănătate în muncă din unităţile economice vor consulta angajaţii în utilizarea echipamentelor de protecţie individuală şi vor efectua instruirea acestora privind prevenirea accidentelor de muncă.</w:t>
      </w:r>
    </w:p>
    <w:p w:rsidR="00871A42" w:rsidRDefault="00A51695" w:rsidP="00116458">
      <w:pPr>
        <w:pStyle w:val="a4"/>
        <w:shd w:val="clear" w:color="auto" w:fill="auto"/>
        <w:tabs>
          <w:tab w:val="left" w:pos="950"/>
        </w:tabs>
        <w:spacing w:line="276" w:lineRule="auto"/>
      </w:pPr>
      <w:r>
        <w:rPr>
          <w:rStyle w:val="23"/>
        </w:rPr>
        <w:t xml:space="preserve">Aspectul financiar. </w:t>
      </w:r>
      <w:r w:rsidR="00871A42">
        <w:t>Î</w:t>
      </w:r>
      <w:r>
        <w:t>n scopul realizării prevederilor tratatului în cau</w:t>
      </w:r>
      <w:r w:rsidR="00871A42">
        <w:t>ză, vor fi utilizate</w:t>
      </w:r>
    </w:p>
    <w:p w:rsidR="00871A42" w:rsidRDefault="00871A42" w:rsidP="00116458">
      <w:pPr>
        <w:pStyle w:val="a4"/>
        <w:shd w:val="clear" w:color="auto" w:fill="auto"/>
        <w:tabs>
          <w:tab w:val="left" w:pos="950"/>
        </w:tabs>
        <w:spacing w:line="276" w:lineRule="auto"/>
        <w:rPr>
          <w:b/>
          <w:bCs/>
        </w:rPr>
      </w:pPr>
      <w:r>
        <w:t xml:space="preserve">1) </w:t>
      </w:r>
      <w:r>
        <w:t xml:space="preserve">sursele financiare din bugetul public naţional, alocate instituţiilor </w:t>
      </w:r>
      <w:proofErr w:type="spellStart"/>
      <w:r>
        <w:t>medico-</w:t>
      </w:r>
      <w:proofErr w:type="spellEnd"/>
      <w:r>
        <w:t xml:space="preserve"> sanitare publice de profil, inclusiv pentru salarizare şi instruirea profesională;</w:t>
      </w:r>
    </w:p>
    <w:p w:rsidR="00871A42" w:rsidRDefault="00871A42" w:rsidP="00116458">
      <w:pPr>
        <w:pStyle w:val="a4"/>
        <w:shd w:val="clear" w:color="auto" w:fill="auto"/>
        <w:tabs>
          <w:tab w:val="left" w:pos="950"/>
        </w:tabs>
        <w:spacing w:line="276" w:lineRule="auto"/>
        <w:rPr>
          <w:b/>
          <w:bCs/>
        </w:rPr>
      </w:pPr>
      <w:r>
        <w:rPr>
          <w:b/>
          <w:bCs/>
        </w:rPr>
        <w:t xml:space="preserve">2) </w:t>
      </w:r>
      <w:r>
        <w:t>mijloacele acumulate în urma acordării serviciilor contra plată de către instituţiile menţionate supra la compartimentul respectiv, conform tarifelor aprobate.</w:t>
      </w:r>
    </w:p>
    <w:p w:rsidR="00871A42" w:rsidRPr="00871A42" w:rsidRDefault="00871A42" w:rsidP="00116458">
      <w:pPr>
        <w:pStyle w:val="a4"/>
        <w:shd w:val="clear" w:color="auto" w:fill="auto"/>
        <w:tabs>
          <w:tab w:val="left" w:pos="950"/>
        </w:tabs>
        <w:spacing w:line="276" w:lineRule="auto"/>
        <w:rPr>
          <w:b/>
          <w:bCs/>
        </w:rPr>
      </w:pPr>
      <w:r>
        <w:rPr>
          <w:b/>
          <w:bCs/>
        </w:rPr>
        <w:t>3)</w:t>
      </w:r>
      <w:r>
        <w:t xml:space="preserve"> </w:t>
      </w:r>
      <w:r>
        <w:t>contribuţia parţială a angajatorilor, conform legislaţiei în vigoare;</w:t>
      </w:r>
    </w:p>
    <w:p w:rsidR="00536063" w:rsidRDefault="00871A42" w:rsidP="00116458">
      <w:pPr>
        <w:pStyle w:val="20"/>
        <w:shd w:val="clear" w:color="auto" w:fill="auto"/>
        <w:spacing w:before="0" w:after="0" w:line="276" w:lineRule="auto"/>
        <w:ind w:right="300"/>
      </w:pPr>
      <w:r>
        <w:t xml:space="preserve">4) </w:t>
      </w:r>
      <w:r>
        <w:t>bugetul asigurărilor sociale, conform legislaţiei în vigoare</w:t>
      </w:r>
      <w:r>
        <w:t xml:space="preserve"> </w:t>
      </w:r>
    </w:p>
    <w:p w:rsidR="00871A42" w:rsidRDefault="00871A42" w:rsidP="00116458">
      <w:pPr>
        <w:pStyle w:val="20"/>
        <w:numPr>
          <w:ilvl w:val="0"/>
          <w:numId w:val="6"/>
        </w:numPr>
        <w:shd w:val="clear" w:color="auto" w:fill="auto"/>
        <w:tabs>
          <w:tab w:val="left" w:pos="1308"/>
        </w:tabs>
        <w:spacing w:before="0" w:after="267" w:line="276" w:lineRule="auto"/>
        <w:ind w:left="284" w:hanging="284"/>
      </w:pPr>
      <w:r>
        <w:t>asistenţa oficială acordată de către partenerii externi pentru dezvoltare.</w:t>
      </w:r>
    </w:p>
    <w:p w:rsidR="00536063" w:rsidRDefault="00A51695" w:rsidP="00116458">
      <w:pPr>
        <w:pStyle w:val="20"/>
        <w:shd w:val="clear" w:color="auto" w:fill="auto"/>
        <w:tabs>
          <w:tab w:val="left" w:pos="1308"/>
        </w:tabs>
        <w:spacing w:before="0" w:after="267" w:line="276" w:lineRule="auto"/>
      </w:pPr>
      <w:r>
        <w:rPr>
          <w:rStyle w:val="23"/>
        </w:rPr>
        <w:lastRenderedPageBreak/>
        <w:t xml:space="preserve">Aspectul temporar. </w:t>
      </w:r>
      <w:r>
        <w:t xml:space="preserve">Prezenta Convenţie va intra în vigoare după doisprezece luni de la data înregistrării instrumentului de ratificare a acestui tratat </w:t>
      </w:r>
      <w:r w:rsidR="00871A42">
        <w:t>internaţional la</w:t>
      </w:r>
      <w:r>
        <w:t xml:space="preserve"> Geneva.</w:t>
      </w:r>
    </w:p>
    <w:p w:rsidR="00536063" w:rsidRDefault="00A51695" w:rsidP="00116458">
      <w:pPr>
        <w:pStyle w:val="20"/>
        <w:shd w:val="clear" w:color="auto" w:fill="auto"/>
        <w:spacing w:before="0" w:after="273" w:line="276" w:lineRule="auto"/>
        <w:ind w:left="260" w:right="240" w:firstLine="680"/>
      </w:pPr>
      <w:r>
        <w:rPr>
          <w:rStyle w:val="22"/>
        </w:rPr>
        <w:t>Până la intrarea în vigoare</w:t>
      </w:r>
      <w:r>
        <w:t xml:space="preserve"> a Convenţiei, se preconizează petrecerea următoarelor măsuri:</w:t>
      </w:r>
    </w:p>
    <w:p w:rsidR="00536063" w:rsidRDefault="00A51695" w:rsidP="00116458">
      <w:pPr>
        <w:pStyle w:val="20"/>
        <w:numPr>
          <w:ilvl w:val="0"/>
          <w:numId w:val="4"/>
        </w:numPr>
        <w:shd w:val="clear" w:color="auto" w:fill="auto"/>
        <w:tabs>
          <w:tab w:val="left" w:pos="1316"/>
        </w:tabs>
        <w:spacing w:before="0" w:after="300" w:line="276" w:lineRule="auto"/>
        <w:ind w:left="260" w:firstLine="680"/>
      </w:pPr>
      <w:r>
        <w:t>Elaborarea şi adoptarea unei Hotărâri de Guvern pentru implementarea Legii privind ratificarea Convenţiei OIM nr.161 de către Republica Moldova.</w:t>
      </w:r>
    </w:p>
    <w:p w:rsidR="00536063" w:rsidRDefault="00871A42" w:rsidP="00116458">
      <w:pPr>
        <w:pStyle w:val="20"/>
        <w:shd w:val="clear" w:color="auto" w:fill="auto"/>
        <w:spacing w:before="0" w:after="267" w:line="276" w:lineRule="auto"/>
        <w:ind w:left="260" w:firstLine="680"/>
      </w:pPr>
      <w:r>
        <w:t>Termen -II</w:t>
      </w:r>
      <w:r w:rsidR="00A51695">
        <w:t xml:space="preserve"> semestru al anului 2018.</w:t>
      </w:r>
    </w:p>
    <w:p w:rsidR="00536063" w:rsidRDefault="00A51695" w:rsidP="00116458">
      <w:pPr>
        <w:pStyle w:val="20"/>
        <w:numPr>
          <w:ilvl w:val="0"/>
          <w:numId w:val="4"/>
        </w:numPr>
        <w:shd w:val="clear" w:color="auto" w:fill="auto"/>
        <w:tabs>
          <w:tab w:val="left" w:pos="1311"/>
        </w:tabs>
        <w:spacing w:before="0" w:after="293" w:line="276" w:lineRule="auto"/>
        <w:ind w:left="260" w:right="240" w:firstLine="680"/>
      </w:pPr>
      <w:r>
        <w:t>Elaborarea unui ordin a Ministerului Sănătăţii, Muncii si Protecţiei Sociale pentru implementarea Hotărârii de Guvern, aprobate în acest sens.</w:t>
      </w:r>
    </w:p>
    <w:p w:rsidR="00536063" w:rsidRDefault="00A51695" w:rsidP="00116458">
      <w:pPr>
        <w:pStyle w:val="20"/>
        <w:shd w:val="clear" w:color="auto" w:fill="auto"/>
        <w:spacing w:before="0" w:after="264" w:line="276" w:lineRule="auto"/>
        <w:ind w:left="260" w:firstLine="680"/>
      </w:pPr>
      <w:r>
        <w:t>Termen - în decurs de 2 săptămâni după publicarea actului normativ.</w:t>
      </w:r>
    </w:p>
    <w:p w:rsidR="00536063" w:rsidRDefault="00A51695" w:rsidP="00116458">
      <w:pPr>
        <w:pStyle w:val="20"/>
        <w:numPr>
          <w:ilvl w:val="0"/>
          <w:numId w:val="4"/>
        </w:numPr>
        <w:shd w:val="clear" w:color="auto" w:fill="auto"/>
        <w:tabs>
          <w:tab w:val="left" w:pos="1320"/>
        </w:tabs>
        <w:spacing w:before="0" w:after="297" w:line="276" w:lineRule="auto"/>
        <w:ind w:left="260" w:right="240" w:firstLine="680"/>
      </w:pPr>
      <w:r>
        <w:t xml:space="preserve">Instruirea medicilor în patologii profesionale prin intermediul modulelor de perfecţionare, concomitent cu pregătirea acestora prin rezidenţiat, în cadrul Universităţii de Stat de Medicină şi Farmacie „Nicolae </w:t>
      </w:r>
      <w:proofErr w:type="spellStart"/>
      <w:r>
        <w:t>Testemiţanu</w:t>
      </w:r>
      <w:proofErr w:type="spellEnd"/>
      <w:r>
        <w:t>”.</w:t>
      </w:r>
    </w:p>
    <w:p w:rsidR="00536063" w:rsidRDefault="00A51695" w:rsidP="00116458">
      <w:pPr>
        <w:pStyle w:val="20"/>
        <w:shd w:val="clear" w:color="auto" w:fill="auto"/>
        <w:spacing w:before="0" w:after="280" w:line="276" w:lineRule="auto"/>
        <w:ind w:left="260" w:firstLine="680"/>
      </w:pPr>
      <w:proofErr w:type="spellStart"/>
      <w:r>
        <w:t>Temen</w:t>
      </w:r>
      <w:proofErr w:type="spellEnd"/>
      <w:r>
        <w:t xml:space="preserve"> - II semestru al anului 2018.</w:t>
      </w:r>
    </w:p>
    <w:p w:rsidR="00116458" w:rsidRDefault="00A51695" w:rsidP="00116458">
      <w:pPr>
        <w:pStyle w:val="20"/>
        <w:shd w:val="clear" w:color="auto" w:fill="auto"/>
        <w:tabs>
          <w:tab w:val="left" w:pos="7682"/>
          <w:tab w:val="left" w:pos="9412"/>
        </w:tabs>
        <w:spacing w:before="0" w:after="260" w:line="276" w:lineRule="auto"/>
        <w:ind w:left="940"/>
      </w:pPr>
      <w:r>
        <w:rPr>
          <w:rStyle w:val="22"/>
        </w:rPr>
        <w:t>După intrarea în vigoare a tratatului</w:t>
      </w:r>
      <w:r>
        <w:t>:</w:t>
      </w:r>
      <w:r>
        <w:tab/>
      </w:r>
    </w:p>
    <w:p w:rsidR="00536063" w:rsidRDefault="00871A42" w:rsidP="00116458">
      <w:pPr>
        <w:pStyle w:val="20"/>
        <w:numPr>
          <w:ilvl w:val="0"/>
          <w:numId w:val="7"/>
        </w:numPr>
        <w:shd w:val="clear" w:color="auto" w:fill="auto"/>
        <w:tabs>
          <w:tab w:val="left" w:pos="7682"/>
          <w:tab w:val="left" w:pos="9412"/>
        </w:tabs>
        <w:spacing w:before="0" w:after="260" w:line="276" w:lineRule="auto"/>
      </w:pPr>
      <w:r>
        <w:t xml:space="preserve">Fortificarea </w:t>
      </w:r>
      <w:proofErr w:type="spellStart"/>
      <w:r>
        <w:t>tehnico-</w:t>
      </w:r>
      <w:proofErr w:type="spellEnd"/>
      <w:r>
        <w:t xml:space="preserve"> materială a autorităților</w:t>
      </w:r>
      <w:r w:rsidR="00116458">
        <w:t xml:space="preserve"> în vederea asigurării integrale cu utilajul necesar pentru </w:t>
      </w:r>
      <w:r w:rsidR="00A51695">
        <w:t>efectuarea probelor</w:t>
      </w:r>
      <w:r w:rsidR="00116458">
        <w:t xml:space="preserve"> </w:t>
      </w:r>
      <w:r w:rsidR="00A51695">
        <w:t>instrumentale şi funcţionale, angajaţilor expuşi acţiunii factorilor'profesionali de risc din teritoriul deservit.</w:t>
      </w:r>
      <w:r w:rsidR="00A51695">
        <w:tab/>
      </w:r>
    </w:p>
    <w:p w:rsidR="00536063" w:rsidRDefault="00A51695" w:rsidP="00116458">
      <w:pPr>
        <w:pStyle w:val="20"/>
        <w:shd w:val="clear" w:color="auto" w:fill="auto"/>
        <w:spacing w:before="0" w:after="267" w:line="276" w:lineRule="auto"/>
        <w:ind w:left="260" w:firstLine="680"/>
      </w:pPr>
      <w:r>
        <w:t xml:space="preserve">Termen - </w:t>
      </w:r>
      <w:r w:rsidR="00116458">
        <w:t>trimestrul I</w:t>
      </w:r>
      <w:r>
        <w:t xml:space="preserve"> al anului 2019.</w:t>
      </w:r>
    </w:p>
    <w:p w:rsidR="00536063" w:rsidRDefault="00116458" w:rsidP="00116458">
      <w:pPr>
        <w:pStyle w:val="20"/>
        <w:numPr>
          <w:ilvl w:val="0"/>
          <w:numId w:val="7"/>
        </w:numPr>
        <w:shd w:val="clear" w:color="auto" w:fill="auto"/>
        <w:tabs>
          <w:tab w:val="left" w:pos="1306"/>
        </w:tabs>
        <w:spacing w:before="0" w:after="293" w:line="276" w:lineRule="auto"/>
        <w:ind w:right="240"/>
      </w:pPr>
      <w:proofErr w:type="spellStart"/>
      <w:r>
        <w:t>I</w:t>
      </w:r>
      <w:r w:rsidR="00A51695">
        <w:t>ncheierea</w:t>
      </w:r>
      <w:proofErr w:type="spellEnd"/>
      <w:r w:rsidR="00A51695">
        <w:t xml:space="preserve"> contractelor privind acordarea serviciilor de sănătate ocupaţională cu instituţiile şi întreprinderile interesate.</w:t>
      </w:r>
    </w:p>
    <w:p w:rsidR="00536063" w:rsidRDefault="00A51695" w:rsidP="00116458">
      <w:pPr>
        <w:pStyle w:val="20"/>
        <w:shd w:val="clear" w:color="auto" w:fill="auto"/>
        <w:spacing w:before="0" w:after="267" w:line="276" w:lineRule="auto"/>
        <w:ind w:left="260" w:firstLine="680"/>
      </w:pPr>
      <w:r>
        <w:t>Termen - trimestrul I al anului 2019.</w:t>
      </w:r>
    </w:p>
    <w:p w:rsidR="00536063" w:rsidRDefault="00A51695" w:rsidP="00116458">
      <w:pPr>
        <w:pStyle w:val="20"/>
        <w:numPr>
          <w:ilvl w:val="0"/>
          <w:numId w:val="7"/>
        </w:numPr>
        <w:shd w:val="clear" w:color="auto" w:fill="auto"/>
        <w:tabs>
          <w:tab w:val="left" w:pos="1316"/>
        </w:tabs>
        <w:spacing w:before="0" w:after="293" w:line="276" w:lineRule="auto"/>
      </w:pPr>
      <w:r>
        <w:t>Acordarea serviciilor de sănătate ocupaţională în conformitate cu actele normative în vigoare.</w:t>
      </w:r>
    </w:p>
    <w:p w:rsidR="00536063" w:rsidRDefault="00A51695" w:rsidP="00116458">
      <w:pPr>
        <w:pStyle w:val="20"/>
        <w:shd w:val="clear" w:color="auto" w:fill="auto"/>
        <w:spacing w:before="0" w:after="241" w:line="276" w:lineRule="auto"/>
        <w:ind w:left="260" w:firstLine="680"/>
      </w:pPr>
      <w:proofErr w:type="spellStart"/>
      <w:r>
        <w:t>Temen</w:t>
      </w:r>
      <w:proofErr w:type="spellEnd"/>
      <w:r>
        <w:t xml:space="preserve"> - permanent.</w:t>
      </w:r>
    </w:p>
    <w:p w:rsidR="00536063" w:rsidRDefault="00116458" w:rsidP="00116458">
      <w:pPr>
        <w:pStyle w:val="20"/>
        <w:shd w:val="clear" w:color="auto" w:fill="auto"/>
        <w:spacing w:before="0" w:after="280" w:line="276" w:lineRule="auto"/>
        <w:ind w:firstLine="720"/>
      </w:pPr>
      <w:r>
        <w:t>Î</w:t>
      </w:r>
      <w:r w:rsidR="00A51695">
        <w:t xml:space="preserve">n scopul respectării prevederilor Legii nr. 239 din 13 noiembrie 2008 privind transparenţa în procesul decizional, proiectul </w:t>
      </w:r>
      <w:proofErr w:type="spellStart"/>
      <w:r w:rsidR="00A51695">
        <w:t>hotărîrii</w:t>
      </w:r>
      <w:proofErr w:type="spellEnd"/>
      <w:r w:rsidR="00A51695">
        <w:t xml:space="preserve"> Guvernului cu privire la aprobarea proiectului de lege pentru ratificarea Convenţiei OIM nr. 161 privind serviciile de sănătate ocupaţională a fost plasat pe pagina web oficială a Ministerului </w:t>
      </w:r>
      <w:r w:rsidR="00A51695">
        <w:lastRenderedPageBreak/>
        <w:t xml:space="preserve">Sănătăţii Muncii şi Protecţiei Sociale </w:t>
      </w:r>
      <w:r w:rsidR="00A51695">
        <w:rPr>
          <w:lang w:val="en-US" w:eastAsia="en-US" w:bidi="en-US"/>
        </w:rPr>
        <w:t>(</w:t>
      </w:r>
      <w:hyperlink r:id="rId8" w:history="1">
        <w:r w:rsidR="00A51695">
          <w:rPr>
            <w:rStyle w:val="22"/>
            <w:lang w:val="en-US" w:eastAsia="en-US" w:bidi="en-US"/>
          </w:rPr>
          <w:t>www.msmps.gov.md</w:t>
        </w:r>
      </w:hyperlink>
      <w:r w:rsidR="001E6803">
        <w:rPr>
          <w:lang w:val="en-US" w:eastAsia="en-US" w:bidi="en-US"/>
        </w:rPr>
        <w:t>)</w:t>
      </w:r>
      <w:r w:rsidR="00A51695">
        <w:rPr>
          <w:lang w:val="en-US" w:eastAsia="en-US" w:bidi="en-US"/>
        </w:rPr>
        <w:t xml:space="preserve"> </w:t>
      </w:r>
      <w:r w:rsidR="00A51695">
        <w:t>în compartimentul ’’</w:t>
      </w:r>
      <w:proofErr w:type="spellStart"/>
      <w:r w:rsidR="00A51695">
        <w:t>Transparenţa</w:t>
      </w:r>
      <w:proofErr w:type="spellEnd"/>
      <w:r w:rsidR="00A51695">
        <w:t xml:space="preserve"> decizională” şi pe </w:t>
      </w:r>
      <w:r w:rsidR="00A51695">
        <w:rPr>
          <w:lang w:val="en-US" w:eastAsia="en-US" w:bidi="en-US"/>
        </w:rPr>
        <w:t>particip.gov.</w:t>
      </w:r>
      <w:proofErr w:type="spellStart"/>
      <w:r w:rsidR="00A51695">
        <w:t>md</w:t>
      </w:r>
      <w:proofErr w:type="spellEnd"/>
      <w:r w:rsidR="00A51695">
        <w:t>.</w:t>
      </w:r>
    </w:p>
    <w:p w:rsidR="00536063" w:rsidRDefault="00116458" w:rsidP="00116458">
      <w:pPr>
        <w:pStyle w:val="20"/>
        <w:shd w:val="clear" w:color="auto" w:fill="auto"/>
        <w:spacing w:before="0" w:after="1796" w:line="276" w:lineRule="auto"/>
        <w:ind w:firstLine="720"/>
      </w:pPr>
      <w:r>
        <w:t>Î</w:t>
      </w:r>
      <w:r w:rsidR="00A51695">
        <w:t>n contextul celor expuse, Ministerul Sănătăţii, Muncii şi Protecţie</w:t>
      </w:r>
      <w:r>
        <w:t>i</w:t>
      </w:r>
      <w:r w:rsidR="00A51695">
        <w:t xml:space="preserve"> Sociale se pronunţă pentru ratificarea de către Republica Moldova a Convenţiei Organizaţiei Internaţionale a Muncii nr.l61cu Recomandarea nr.171 privind serviciile de sănătate ocupaţională, adoptată la Geneva la 26 iunie 1985.</w:t>
      </w:r>
    </w:p>
    <w:p w:rsidR="00116458" w:rsidRPr="00116458" w:rsidRDefault="00F05FA3" w:rsidP="00116458">
      <w:pPr>
        <w:pStyle w:val="20"/>
        <w:shd w:val="clear" w:color="auto" w:fill="auto"/>
        <w:spacing w:before="0" w:after="1796" w:line="308" w:lineRule="exact"/>
        <w:ind w:firstLine="720"/>
        <w:jc w:val="center"/>
        <w:rPr>
          <w:b/>
        </w:rPr>
      </w:pPr>
      <w:r>
        <w:rPr>
          <w:b/>
        </w:rPr>
        <w:t xml:space="preserve"> Secretar de stat                        </w:t>
      </w:r>
      <w:bookmarkStart w:id="5" w:name="_GoBack"/>
      <w:bookmarkEnd w:id="5"/>
      <w:r>
        <w:rPr>
          <w:b/>
        </w:rPr>
        <w:t xml:space="preserve">                  </w:t>
      </w:r>
      <w:proofErr w:type="spellStart"/>
      <w:r>
        <w:rPr>
          <w:b/>
        </w:rPr>
        <w:t>Aliona</w:t>
      </w:r>
      <w:proofErr w:type="spellEnd"/>
      <w:r>
        <w:rPr>
          <w:b/>
        </w:rPr>
        <w:t xml:space="preserve"> SERBULENCO</w:t>
      </w:r>
    </w:p>
    <w:sectPr w:rsidR="00116458" w:rsidRPr="00116458" w:rsidSect="00116458">
      <w:footerReference w:type="default" r:id="rId9"/>
      <w:footerReference w:type="first" r:id="rId10"/>
      <w:pgSz w:w="11900" w:h="16840"/>
      <w:pgMar w:top="1463" w:right="985" w:bottom="993" w:left="184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872" w:rsidRDefault="00B41872">
      <w:r>
        <w:separator/>
      </w:r>
    </w:p>
  </w:endnote>
  <w:endnote w:type="continuationSeparator" w:id="0">
    <w:p w:rsidR="00B41872" w:rsidRDefault="00B4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Bookman Old Style">
    <w:panose1 w:val="02050604050505020204"/>
    <w:charset w:val="CC"/>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063" w:rsidRDefault="0053606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063" w:rsidRDefault="005360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872" w:rsidRDefault="00B41872">
      <w:r>
        <w:separator/>
      </w:r>
    </w:p>
  </w:footnote>
  <w:footnote w:type="continuationSeparator" w:id="0">
    <w:p w:rsidR="00B41872" w:rsidRDefault="00B41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56B4"/>
    <w:multiLevelType w:val="multilevel"/>
    <w:tmpl w:val="1F6AA35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C00E62"/>
    <w:multiLevelType w:val="hybridMultilevel"/>
    <w:tmpl w:val="8B56EB90"/>
    <w:lvl w:ilvl="0" w:tplc="F7AAD4C0">
      <w:start w:val="5"/>
      <w:numFmt w:val="decimal"/>
      <w:lvlText w:val="%1)"/>
      <w:lvlJc w:val="left"/>
      <w:pPr>
        <w:ind w:left="620" w:hanging="360"/>
      </w:pPr>
      <w:rPr>
        <w:rFonts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2">
    <w:nsid w:val="3FA90630"/>
    <w:multiLevelType w:val="multilevel"/>
    <w:tmpl w:val="11A649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84A48D5"/>
    <w:multiLevelType w:val="multilevel"/>
    <w:tmpl w:val="AEDCCF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57A52B8"/>
    <w:multiLevelType w:val="hybridMultilevel"/>
    <w:tmpl w:val="E5B84F6A"/>
    <w:lvl w:ilvl="0" w:tplc="6A5016E0">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B95D3C"/>
    <w:multiLevelType w:val="multilevel"/>
    <w:tmpl w:val="1778A1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5E80672"/>
    <w:multiLevelType w:val="multilevel"/>
    <w:tmpl w:val="FA6EF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0"/>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63"/>
    <w:rsid w:val="0005259B"/>
    <w:rsid w:val="00116458"/>
    <w:rsid w:val="001E6803"/>
    <w:rsid w:val="00536063"/>
    <w:rsid w:val="00871A42"/>
    <w:rsid w:val="008C1AF9"/>
    <w:rsid w:val="009F6D2C"/>
    <w:rsid w:val="00A51695"/>
    <w:rsid w:val="00AC648D"/>
    <w:rsid w:val="00B41872"/>
    <w:rsid w:val="00C744EB"/>
    <w:rsid w:val="00E42C55"/>
    <w:rsid w:val="00F05FA3"/>
    <w:rsid w:val="00F54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6"/>
      <w:szCs w:val="26"/>
      <w:u w:val="none"/>
    </w:rPr>
  </w:style>
  <w:style w:type="character" w:customStyle="1" w:styleId="8Exact">
    <w:name w:val="Основной текст (8) Exact"/>
    <w:basedOn w:val="a0"/>
    <w:link w:val="8"/>
    <w:rPr>
      <w:rFonts w:ascii="Tahoma" w:eastAsia="Tahoma" w:hAnsi="Tahoma" w:cs="Tahoma"/>
      <w:b w:val="0"/>
      <w:bCs w:val="0"/>
      <w:i/>
      <w:iCs/>
      <w:smallCaps w:val="0"/>
      <w:strike w:val="0"/>
      <w:sz w:val="40"/>
      <w:szCs w:val="40"/>
      <w:u w:val="none"/>
    </w:rPr>
  </w:style>
  <w:style w:type="character" w:customStyle="1" w:styleId="9Exact">
    <w:name w:val="Основной текст (9) Exact"/>
    <w:basedOn w:val="a0"/>
    <w:link w:val="9"/>
    <w:rPr>
      <w:rFonts w:ascii="Times New Roman" w:eastAsia="Times New Roman" w:hAnsi="Times New Roman" w:cs="Times New Roman"/>
      <w:b w:val="0"/>
      <w:bCs w:val="0"/>
      <w:i w:val="0"/>
      <w:iCs w:val="0"/>
      <w:smallCaps w:val="0"/>
      <w:strike w:val="0"/>
      <w:sz w:val="20"/>
      <w:szCs w:val="20"/>
      <w:u w:val="non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a5">
    <w:name w:val="Колонтитул_"/>
    <w:basedOn w:val="a0"/>
    <w:link w:val="a6"/>
    <w:rPr>
      <w:rFonts w:ascii="Times New Roman" w:eastAsia="Times New Roman" w:hAnsi="Times New Roman" w:cs="Times New Roman"/>
      <w:b/>
      <w:bCs/>
      <w:i w:val="0"/>
      <w:iCs w:val="0"/>
      <w:smallCaps w:val="0"/>
      <w:strike w:val="0"/>
      <w:sz w:val="20"/>
      <w:szCs w:val="20"/>
      <w:u w:val="none"/>
    </w:rPr>
  </w:style>
  <w:style w:type="character" w:customStyle="1" w:styleId="a7">
    <w:name w:val="Колонтитул"/>
    <w:basedOn w:val="a5"/>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8"/>
      <w:szCs w:val="8"/>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8"/>
      <w:szCs w:val="8"/>
      <w:u w:val="none"/>
    </w:rPr>
  </w:style>
  <w:style w:type="character" w:customStyle="1" w:styleId="51">
    <w:name w:val="Основной текст (5) + Курсив"/>
    <w:basedOn w:val="5"/>
    <w:rPr>
      <w:rFonts w:ascii="Times New Roman" w:eastAsia="Times New Roman" w:hAnsi="Times New Roman" w:cs="Times New Roman"/>
      <w:b w:val="0"/>
      <w:bCs w:val="0"/>
      <w:i/>
      <w:iCs/>
      <w:smallCaps w:val="0"/>
      <w:strike w:val="0"/>
      <w:color w:val="000000"/>
      <w:spacing w:val="0"/>
      <w:w w:val="100"/>
      <w:position w:val="0"/>
      <w:sz w:val="8"/>
      <w:szCs w:val="8"/>
      <w:u w:val="none"/>
      <w:lang w:val="ro-RO" w:eastAsia="ro-RO" w:bidi="ro-RO"/>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o-RO" w:eastAsia="ro-RO" w:bidi="ro-RO"/>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customStyle="1" w:styleId="6">
    <w:name w:val="Основной текст (6)_"/>
    <w:basedOn w:val="a0"/>
    <w:link w:val="60"/>
    <w:rPr>
      <w:rFonts w:ascii="Tahoma" w:eastAsia="Tahoma" w:hAnsi="Tahoma" w:cs="Tahoma"/>
      <w:b/>
      <w:bCs/>
      <w:i w:val="0"/>
      <w:iCs w:val="0"/>
      <w:smallCaps w:val="0"/>
      <w:strike w:val="0"/>
      <w:sz w:val="13"/>
      <w:szCs w:val="13"/>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9"/>
      <w:szCs w:val="19"/>
      <w:u w:val="non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26"/>
      <w:szCs w:val="26"/>
      <w:u w:val="none"/>
    </w:rPr>
  </w:style>
  <w:style w:type="character" w:customStyle="1" w:styleId="10">
    <w:name w:val="Основной текст (10)_"/>
    <w:basedOn w:val="a0"/>
    <w:link w:val="100"/>
    <w:rPr>
      <w:rFonts w:ascii="David" w:eastAsia="David" w:hAnsi="David" w:cs="David"/>
      <w:b w:val="0"/>
      <w:bCs w:val="0"/>
      <w:i w:val="0"/>
      <w:iCs w:val="0"/>
      <w:smallCaps w:val="0"/>
      <w:strike w:val="0"/>
      <w:sz w:val="24"/>
      <w:szCs w:val="24"/>
      <w:u w:val="none"/>
    </w:rPr>
  </w:style>
  <w:style w:type="character" w:customStyle="1" w:styleId="1095pt">
    <w:name w:val="Основной текст (10) + 9;5 pt;Курсив"/>
    <w:basedOn w:val="10"/>
    <w:rPr>
      <w:rFonts w:ascii="David" w:eastAsia="David" w:hAnsi="David" w:cs="David"/>
      <w:b/>
      <w:bCs/>
      <w:i/>
      <w:iCs/>
      <w:smallCaps w:val="0"/>
      <w:strike w:val="0"/>
      <w:color w:val="000000"/>
      <w:spacing w:val="0"/>
      <w:w w:val="100"/>
      <w:position w:val="0"/>
      <w:sz w:val="19"/>
      <w:szCs w:val="19"/>
      <w:u w:val="none"/>
      <w:lang w:val="ro-RO" w:eastAsia="ro-RO" w:bidi="ro-RO"/>
    </w:rPr>
  </w:style>
  <w:style w:type="character" w:customStyle="1" w:styleId="1">
    <w:name w:val="Заголовок №1_"/>
    <w:basedOn w:val="a0"/>
    <w:link w:val="11"/>
    <w:rPr>
      <w:rFonts w:ascii="Bookman Old Style" w:eastAsia="Bookman Old Style" w:hAnsi="Bookman Old Style" w:cs="Bookman Old Style"/>
      <w:b w:val="0"/>
      <w:bCs w:val="0"/>
      <w:i/>
      <w:iCs/>
      <w:smallCaps w:val="0"/>
      <w:strike w:val="0"/>
      <w:sz w:val="42"/>
      <w:szCs w:val="42"/>
      <w:u w:val="none"/>
    </w:rPr>
  </w:style>
  <w:style w:type="character" w:customStyle="1" w:styleId="24">
    <w:name w:val="Заголовок №2_"/>
    <w:basedOn w:val="a0"/>
    <w:link w:val="25"/>
    <w:rPr>
      <w:rFonts w:ascii="Times New Roman" w:eastAsia="Times New Roman" w:hAnsi="Times New Roman" w:cs="Times New Roman"/>
      <w:b w:val="0"/>
      <w:bCs w:val="0"/>
      <w:i/>
      <w:iCs/>
      <w:smallCaps w:val="0"/>
      <w:strike w:val="0"/>
      <w:u w:val="none"/>
    </w:rPr>
  </w:style>
  <w:style w:type="character" w:customStyle="1" w:styleId="26">
    <w:name w:val="Заголовок №2 + Малые прописные"/>
    <w:basedOn w:val="24"/>
    <w:rPr>
      <w:rFonts w:ascii="Times New Roman" w:eastAsia="Times New Roman" w:hAnsi="Times New Roman" w:cs="Times New Roman"/>
      <w:b w:val="0"/>
      <w:bCs w:val="0"/>
      <w:i/>
      <w:iCs/>
      <w:smallCaps/>
      <w:strike w:val="0"/>
      <w:color w:val="000000"/>
      <w:spacing w:val="0"/>
      <w:w w:val="100"/>
      <w:position w:val="0"/>
      <w:sz w:val="24"/>
      <w:szCs w:val="24"/>
      <w:u w:val="none"/>
      <w:lang w:val="ro-RO" w:eastAsia="ro-RO" w:bidi="ro-RO"/>
    </w:rPr>
  </w:style>
  <w:style w:type="character" w:customStyle="1" w:styleId="27">
    <w:name w:val="Заголовок №2 + Не курсив"/>
    <w:basedOn w:val="24"/>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110">
    <w:name w:val="Основной текст (11)_"/>
    <w:basedOn w:val="a0"/>
    <w:link w:val="111"/>
    <w:rPr>
      <w:rFonts w:ascii="AngsanaUPC" w:eastAsia="AngsanaUPC" w:hAnsi="AngsanaUPC" w:cs="AngsanaUPC"/>
      <w:b w:val="0"/>
      <w:bCs w:val="0"/>
      <w:i/>
      <w:iCs/>
      <w:smallCaps w:val="0"/>
      <w:strike w:val="0"/>
      <w:sz w:val="28"/>
      <w:szCs w:val="28"/>
      <w:u w:val="none"/>
    </w:rPr>
  </w:style>
  <w:style w:type="character" w:customStyle="1" w:styleId="112">
    <w:name w:val="Основной текст (11) + Малые прописные"/>
    <w:basedOn w:val="110"/>
    <w:rPr>
      <w:rFonts w:ascii="AngsanaUPC" w:eastAsia="AngsanaUPC" w:hAnsi="AngsanaUPC" w:cs="AngsanaUPC"/>
      <w:b w:val="0"/>
      <w:bCs w:val="0"/>
      <w:i/>
      <w:iCs/>
      <w:smallCaps/>
      <w:strike w:val="0"/>
      <w:color w:val="000000"/>
      <w:spacing w:val="0"/>
      <w:w w:val="100"/>
      <w:position w:val="0"/>
      <w:sz w:val="28"/>
      <w:szCs w:val="28"/>
      <w:u w:val="none"/>
      <w:lang w:val="ro-RO" w:eastAsia="ro-RO" w:bidi="ro-RO"/>
    </w:rPr>
  </w:style>
  <w:style w:type="paragraph" w:customStyle="1" w:styleId="a4">
    <w:name w:val="Сноска"/>
    <w:basedOn w:val="a"/>
    <w:link w:val="a3"/>
    <w:pPr>
      <w:shd w:val="clear" w:color="auto" w:fill="FFFFFF"/>
      <w:spacing w:line="312" w:lineRule="exact"/>
    </w:pPr>
    <w:rPr>
      <w:rFonts w:ascii="Times New Roman" w:eastAsia="Times New Roman" w:hAnsi="Times New Roman" w:cs="Times New Roman"/>
      <w:sz w:val="26"/>
      <w:szCs w:val="26"/>
    </w:rPr>
  </w:style>
  <w:style w:type="paragraph" w:customStyle="1" w:styleId="8">
    <w:name w:val="Основной текст (8)"/>
    <w:basedOn w:val="a"/>
    <w:link w:val="8Exact"/>
    <w:pPr>
      <w:shd w:val="clear" w:color="auto" w:fill="FFFFFF"/>
      <w:spacing w:line="482" w:lineRule="exact"/>
    </w:pPr>
    <w:rPr>
      <w:rFonts w:ascii="Tahoma" w:eastAsia="Tahoma" w:hAnsi="Tahoma" w:cs="Tahoma"/>
      <w:i/>
      <w:iCs/>
      <w:sz w:val="40"/>
      <w:szCs w:val="40"/>
    </w:rPr>
  </w:style>
  <w:style w:type="paragraph" w:customStyle="1" w:styleId="9">
    <w:name w:val="Основной текст (9)"/>
    <w:basedOn w:val="a"/>
    <w:link w:val="9Exact"/>
    <w:pPr>
      <w:shd w:val="clear" w:color="auto" w:fill="FFFFFF"/>
      <w:spacing w:line="222" w:lineRule="exact"/>
    </w:pPr>
    <w:rPr>
      <w:rFonts w:ascii="Times New Roman" w:eastAsia="Times New Roman" w:hAnsi="Times New Roman" w:cs="Times New Roman"/>
      <w:sz w:val="20"/>
      <w:szCs w:val="20"/>
    </w:rPr>
  </w:style>
  <w:style w:type="paragraph" w:customStyle="1" w:styleId="30">
    <w:name w:val="Заголовок №3"/>
    <w:basedOn w:val="a"/>
    <w:link w:val="3"/>
    <w:pPr>
      <w:shd w:val="clear" w:color="auto" w:fill="FFFFFF"/>
      <w:spacing w:after="180" w:line="288" w:lineRule="exact"/>
      <w:outlineLvl w:val="2"/>
    </w:pPr>
    <w:rPr>
      <w:rFonts w:ascii="Times New Roman" w:eastAsia="Times New Roman" w:hAnsi="Times New Roman" w:cs="Times New Roman"/>
      <w:b/>
      <w:bCs/>
      <w:sz w:val="26"/>
      <w:szCs w:val="26"/>
    </w:rPr>
  </w:style>
  <w:style w:type="paragraph" w:customStyle="1" w:styleId="a6">
    <w:name w:val="Колонтитул"/>
    <w:basedOn w:val="a"/>
    <w:link w:val="a5"/>
    <w:pPr>
      <w:shd w:val="clear" w:color="auto" w:fill="FFFFFF"/>
      <w:spacing w:line="222" w:lineRule="exact"/>
    </w:pPr>
    <w:rPr>
      <w:rFonts w:ascii="Times New Roman" w:eastAsia="Times New Roman" w:hAnsi="Times New Roman" w:cs="Times New Roman"/>
      <w:b/>
      <w:bCs/>
      <w:sz w:val="20"/>
      <w:szCs w:val="20"/>
    </w:rPr>
  </w:style>
  <w:style w:type="paragraph" w:customStyle="1" w:styleId="32">
    <w:name w:val="Основной текст (3)"/>
    <w:basedOn w:val="a"/>
    <w:link w:val="31"/>
    <w:pPr>
      <w:shd w:val="clear" w:color="auto" w:fill="FFFFFF"/>
      <w:spacing w:before="180" w:after="520" w:line="310" w:lineRule="exact"/>
      <w:jc w:val="center"/>
    </w:pPr>
    <w:rPr>
      <w:rFonts w:ascii="Times New Roman" w:eastAsia="Times New Roman" w:hAnsi="Times New Roman" w:cs="Times New Roman"/>
      <w:b/>
      <w:bCs/>
      <w:sz w:val="26"/>
      <w:szCs w:val="26"/>
    </w:rPr>
  </w:style>
  <w:style w:type="paragraph" w:customStyle="1" w:styleId="20">
    <w:name w:val="Основной текст (2)"/>
    <w:basedOn w:val="a"/>
    <w:link w:val="2"/>
    <w:pPr>
      <w:shd w:val="clear" w:color="auto" w:fill="FFFFFF"/>
      <w:spacing w:before="180" w:after="180" w:line="315" w:lineRule="exact"/>
      <w:jc w:val="both"/>
    </w:pPr>
    <w:rPr>
      <w:rFonts w:ascii="Times New Roman" w:eastAsia="Times New Roman" w:hAnsi="Times New Roman" w:cs="Times New Roman"/>
      <w:sz w:val="26"/>
      <w:szCs w:val="26"/>
    </w:rPr>
  </w:style>
  <w:style w:type="paragraph" w:customStyle="1" w:styleId="40">
    <w:name w:val="Основной текст (4)"/>
    <w:basedOn w:val="a"/>
    <w:link w:val="4"/>
    <w:pPr>
      <w:shd w:val="clear" w:color="auto" w:fill="FFFFFF"/>
      <w:spacing w:after="160" w:line="88" w:lineRule="exact"/>
      <w:jc w:val="both"/>
    </w:pPr>
    <w:rPr>
      <w:rFonts w:ascii="Times New Roman" w:eastAsia="Times New Roman" w:hAnsi="Times New Roman" w:cs="Times New Roman"/>
      <w:i/>
      <w:iCs/>
      <w:sz w:val="8"/>
      <w:szCs w:val="8"/>
    </w:rPr>
  </w:style>
  <w:style w:type="paragraph" w:customStyle="1" w:styleId="50">
    <w:name w:val="Основной текст (5)"/>
    <w:basedOn w:val="a"/>
    <w:link w:val="5"/>
    <w:pPr>
      <w:shd w:val="clear" w:color="auto" w:fill="FFFFFF"/>
      <w:spacing w:after="160" w:line="88" w:lineRule="exact"/>
      <w:jc w:val="both"/>
    </w:pPr>
    <w:rPr>
      <w:rFonts w:ascii="Times New Roman" w:eastAsia="Times New Roman" w:hAnsi="Times New Roman" w:cs="Times New Roman"/>
      <w:sz w:val="8"/>
      <w:szCs w:val="8"/>
    </w:rPr>
  </w:style>
  <w:style w:type="paragraph" w:customStyle="1" w:styleId="60">
    <w:name w:val="Основной текст (6)"/>
    <w:basedOn w:val="a"/>
    <w:link w:val="6"/>
    <w:pPr>
      <w:shd w:val="clear" w:color="auto" w:fill="FFFFFF"/>
      <w:spacing w:line="156" w:lineRule="exact"/>
    </w:pPr>
    <w:rPr>
      <w:rFonts w:ascii="Tahoma" w:eastAsia="Tahoma" w:hAnsi="Tahoma" w:cs="Tahoma"/>
      <w:b/>
      <w:bCs/>
      <w:sz w:val="13"/>
      <w:szCs w:val="13"/>
    </w:rPr>
  </w:style>
  <w:style w:type="paragraph" w:customStyle="1" w:styleId="70">
    <w:name w:val="Основной текст (7)"/>
    <w:basedOn w:val="a"/>
    <w:link w:val="7"/>
    <w:pPr>
      <w:shd w:val="clear" w:color="auto" w:fill="FFFFFF"/>
      <w:spacing w:line="210" w:lineRule="exact"/>
    </w:pPr>
    <w:rPr>
      <w:rFonts w:ascii="Times New Roman" w:eastAsia="Times New Roman" w:hAnsi="Times New Roman" w:cs="Times New Roman"/>
      <w:sz w:val="19"/>
      <w:szCs w:val="19"/>
    </w:rPr>
  </w:style>
  <w:style w:type="paragraph" w:customStyle="1" w:styleId="100">
    <w:name w:val="Основной текст (10)"/>
    <w:basedOn w:val="a"/>
    <w:link w:val="10"/>
    <w:pPr>
      <w:shd w:val="clear" w:color="auto" w:fill="FFFFFF"/>
      <w:spacing w:before="680" w:line="837" w:lineRule="exact"/>
      <w:jc w:val="both"/>
    </w:pPr>
    <w:rPr>
      <w:rFonts w:ascii="David" w:eastAsia="David" w:hAnsi="David" w:cs="David"/>
    </w:rPr>
  </w:style>
  <w:style w:type="paragraph" w:customStyle="1" w:styleId="11">
    <w:name w:val="Заголовок №1"/>
    <w:basedOn w:val="a"/>
    <w:link w:val="1"/>
    <w:pPr>
      <w:shd w:val="clear" w:color="auto" w:fill="FFFFFF"/>
      <w:spacing w:line="837" w:lineRule="exact"/>
      <w:outlineLvl w:val="0"/>
    </w:pPr>
    <w:rPr>
      <w:rFonts w:ascii="Bookman Old Style" w:eastAsia="Bookman Old Style" w:hAnsi="Bookman Old Style" w:cs="Bookman Old Style"/>
      <w:i/>
      <w:iCs/>
      <w:sz w:val="42"/>
      <w:szCs w:val="42"/>
    </w:rPr>
  </w:style>
  <w:style w:type="paragraph" w:customStyle="1" w:styleId="25">
    <w:name w:val="Заголовок №2"/>
    <w:basedOn w:val="a"/>
    <w:link w:val="24"/>
    <w:pPr>
      <w:shd w:val="clear" w:color="auto" w:fill="FFFFFF"/>
      <w:spacing w:line="266" w:lineRule="exact"/>
      <w:jc w:val="both"/>
      <w:outlineLvl w:val="1"/>
    </w:pPr>
    <w:rPr>
      <w:rFonts w:ascii="Times New Roman" w:eastAsia="Times New Roman" w:hAnsi="Times New Roman" w:cs="Times New Roman"/>
      <w:i/>
      <w:iCs/>
    </w:rPr>
  </w:style>
  <w:style w:type="paragraph" w:customStyle="1" w:styleId="111">
    <w:name w:val="Основной текст (11)"/>
    <w:basedOn w:val="a"/>
    <w:link w:val="110"/>
    <w:pPr>
      <w:shd w:val="clear" w:color="auto" w:fill="FFFFFF"/>
      <w:spacing w:line="376" w:lineRule="exact"/>
    </w:pPr>
    <w:rPr>
      <w:rFonts w:ascii="AngsanaUPC" w:eastAsia="AngsanaUPC" w:hAnsi="AngsanaUPC" w:cs="AngsanaUPC"/>
      <w:i/>
      <w:iCs/>
      <w:sz w:val="28"/>
      <w:szCs w:val="28"/>
    </w:rPr>
  </w:style>
  <w:style w:type="paragraph" w:styleId="a8">
    <w:name w:val="Balloon Text"/>
    <w:basedOn w:val="a"/>
    <w:link w:val="a9"/>
    <w:uiPriority w:val="99"/>
    <w:semiHidden/>
    <w:unhideWhenUsed/>
    <w:rsid w:val="001E6803"/>
    <w:rPr>
      <w:rFonts w:ascii="Tahoma" w:hAnsi="Tahoma" w:cs="Tahoma"/>
      <w:sz w:val="16"/>
      <w:szCs w:val="16"/>
    </w:rPr>
  </w:style>
  <w:style w:type="character" w:customStyle="1" w:styleId="a9">
    <w:name w:val="Текст выноски Знак"/>
    <w:basedOn w:val="a0"/>
    <w:link w:val="a8"/>
    <w:uiPriority w:val="99"/>
    <w:semiHidden/>
    <w:rsid w:val="001E680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6"/>
      <w:szCs w:val="26"/>
      <w:u w:val="none"/>
    </w:rPr>
  </w:style>
  <w:style w:type="character" w:customStyle="1" w:styleId="8Exact">
    <w:name w:val="Основной текст (8) Exact"/>
    <w:basedOn w:val="a0"/>
    <w:link w:val="8"/>
    <w:rPr>
      <w:rFonts w:ascii="Tahoma" w:eastAsia="Tahoma" w:hAnsi="Tahoma" w:cs="Tahoma"/>
      <w:b w:val="0"/>
      <w:bCs w:val="0"/>
      <w:i/>
      <w:iCs/>
      <w:smallCaps w:val="0"/>
      <w:strike w:val="0"/>
      <w:sz w:val="40"/>
      <w:szCs w:val="40"/>
      <w:u w:val="none"/>
    </w:rPr>
  </w:style>
  <w:style w:type="character" w:customStyle="1" w:styleId="9Exact">
    <w:name w:val="Основной текст (9) Exact"/>
    <w:basedOn w:val="a0"/>
    <w:link w:val="9"/>
    <w:rPr>
      <w:rFonts w:ascii="Times New Roman" w:eastAsia="Times New Roman" w:hAnsi="Times New Roman" w:cs="Times New Roman"/>
      <w:b w:val="0"/>
      <w:bCs w:val="0"/>
      <w:i w:val="0"/>
      <w:iCs w:val="0"/>
      <w:smallCaps w:val="0"/>
      <w:strike w:val="0"/>
      <w:sz w:val="20"/>
      <w:szCs w:val="20"/>
      <w:u w:val="non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a5">
    <w:name w:val="Колонтитул_"/>
    <w:basedOn w:val="a0"/>
    <w:link w:val="a6"/>
    <w:rPr>
      <w:rFonts w:ascii="Times New Roman" w:eastAsia="Times New Roman" w:hAnsi="Times New Roman" w:cs="Times New Roman"/>
      <w:b/>
      <w:bCs/>
      <w:i w:val="0"/>
      <w:iCs w:val="0"/>
      <w:smallCaps w:val="0"/>
      <w:strike w:val="0"/>
      <w:sz w:val="20"/>
      <w:szCs w:val="20"/>
      <w:u w:val="none"/>
    </w:rPr>
  </w:style>
  <w:style w:type="character" w:customStyle="1" w:styleId="a7">
    <w:name w:val="Колонтитул"/>
    <w:basedOn w:val="a5"/>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8"/>
      <w:szCs w:val="8"/>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8"/>
      <w:szCs w:val="8"/>
      <w:u w:val="none"/>
    </w:rPr>
  </w:style>
  <w:style w:type="character" w:customStyle="1" w:styleId="51">
    <w:name w:val="Основной текст (5) + Курсив"/>
    <w:basedOn w:val="5"/>
    <w:rPr>
      <w:rFonts w:ascii="Times New Roman" w:eastAsia="Times New Roman" w:hAnsi="Times New Roman" w:cs="Times New Roman"/>
      <w:b w:val="0"/>
      <w:bCs w:val="0"/>
      <w:i/>
      <w:iCs/>
      <w:smallCaps w:val="0"/>
      <w:strike w:val="0"/>
      <w:color w:val="000000"/>
      <w:spacing w:val="0"/>
      <w:w w:val="100"/>
      <w:position w:val="0"/>
      <w:sz w:val="8"/>
      <w:szCs w:val="8"/>
      <w:u w:val="none"/>
      <w:lang w:val="ro-RO" w:eastAsia="ro-RO" w:bidi="ro-RO"/>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o-RO" w:eastAsia="ro-RO" w:bidi="ro-RO"/>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customStyle="1" w:styleId="6">
    <w:name w:val="Основной текст (6)_"/>
    <w:basedOn w:val="a0"/>
    <w:link w:val="60"/>
    <w:rPr>
      <w:rFonts w:ascii="Tahoma" w:eastAsia="Tahoma" w:hAnsi="Tahoma" w:cs="Tahoma"/>
      <w:b/>
      <w:bCs/>
      <w:i w:val="0"/>
      <w:iCs w:val="0"/>
      <w:smallCaps w:val="0"/>
      <w:strike w:val="0"/>
      <w:sz w:val="13"/>
      <w:szCs w:val="13"/>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9"/>
      <w:szCs w:val="19"/>
      <w:u w:val="non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26"/>
      <w:szCs w:val="26"/>
      <w:u w:val="none"/>
    </w:rPr>
  </w:style>
  <w:style w:type="character" w:customStyle="1" w:styleId="10">
    <w:name w:val="Основной текст (10)_"/>
    <w:basedOn w:val="a0"/>
    <w:link w:val="100"/>
    <w:rPr>
      <w:rFonts w:ascii="David" w:eastAsia="David" w:hAnsi="David" w:cs="David"/>
      <w:b w:val="0"/>
      <w:bCs w:val="0"/>
      <w:i w:val="0"/>
      <w:iCs w:val="0"/>
      <w:smallCaps w:val="0"/>
      <w:strike w:val="0"/>
      <w:sz w:val="24"/>
      <w:szCs w:val="24"/>
      <w:u w:val="none"/>
    </w:rPr>
  </w:style>
  <w:style w:type="character" w:customStyle="1" w:styleId="1095pt">
    <w:name w:val="Основной текст (10) + 9;5 pt;Курсив"/>
    <w:basedOn w:val="10"/>
    <w:rPr>
      <w:rFonts w:ascii="David" w:eastAsia="David" w:hAnsi="David" w:cs="David"/>
      <w:b/>
      <w:bCs/>
      <w:i/>
      <w:iCs/>
      <w:smallCaps w:val="0"/>
      <w:strike w:val="0"/>
      <w:color w:val="000000"/>
      <w:spacing w:val="0"/>
      <w:w w:val="100"/>
      <w:position w:val="0"/>
      <w:sz w:val="19"/>
      <w:szCs w:val="19"/>
      <w:u w:val="none"/>
      <w:lang w:val="ro-RO" w:eastAsia="ro-RO" w:bidi="ro-RO"/>
    </w:rPr>
  </w:style>
  <w:style w:type="character" w:customStyle="1" w:styleId="1">
    <w:name w:val="Заголовок №1_"/>
    <w:basedOn w:val="a0"/>
    <w:link w:val="11"/>
    <w:rPr>
      <w:rFonts w:ascii="Bookman Old Style" w:eastAsia="Bookman Old Style" w:hAnsi="Bookman Old Style" w:cs="Bookman Old Style"/>
      <w:b w:val="0"/>
      <w:bCs w:val="0"/>
      <w:i/>
      <w:iCs/>
      <w:smallCaps w:val="0"/>
      <w:strike w:val="0"/>
      <w:sz w:val="42"/>
      <w:szCs w:val="42"/>
      <w:u w:val="none"/>
    </w:rPr>
  </w:style>
  <w:style w:type="character" w:customStyle="1" w:styleId="24">
    <w:name w:val="Заголовок №2_"/>
    <w:basedOn w:val="a0"/>
    <w:link w:val="25"/>
    <w:rPr>
      <w:rFonts w:ascii="Times New Roman" w:eastAsia="Times New Roman" w:hAnsi="Times New Roman" w:cs="Times New Roman"/>
      <w:b w:val="0"/>
      <w:bCs w:val="0"/>
      <w:i/>
      <w:iCs/>
      <w:smallCaps w:val="0"/>
      <w:strike w:val="0"/>
      <w:u w:val="none"/>
    </w:rPr>
  </w:style>
  <w:style w:type="character" w:customStyle="1" w:styleId="26">
    <w:name w:val="Заголовок №2 + Малые прописные"/>
    <w:basedOn w:val="24"/>
    <w:rPr>
      <w:rFonts w:ascii="Times New Roman" w:eastAsia="Times New Roman" w:hAnsi="Times New Roman" w:cs="Times New Roman"/>
      <w:b w:val="0"/>
      <w:bCs w:val="0"/>
      <w:i/>
      <w:iCs/>
      <w:smallCaps/>
      <w:strike w:val="0"/>
      <w:color w:val="000000"/>
      <w:spacing w:val="0"/>
      <w:w w:val="100"/>
      <w:position w:val="0"/>
      <w:sz w:val="24"/>
      <w:szCs w:val="24"/>
      <w:u w:val="none"/>
      <w:lang w:val="ro-RO" w:eastAsia="ro-RO" w:bidi="ro-RO"/>
    </w:rPr>
  </w:style>
  <w:style w:type="character" w:customStyle="1" w:styleId="27">
    <w:name w:val="Заголовок №2 + Не курсив"/>
    <w:basedOn w:val="24"/>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110">
    <w:name w:val="Основной текст (11)_"/>
    <w:basedOn w:val="a0"/>
    <w:link w:val="111"/>
    <w:rPr>
      <w:rFonts w:ascii="AngsanaUPC" w:eastAsia="AngsanaUPC" w:hAnsi="AngsanaUPC" w:cs="AngsanaUPC"/>
      <w:b w:val="0"/>
      <w:bCs w:val="0"/>
      <w:i/>
      <w:iCs/>
      <w:smallCaps w:val="0"/>
      <w:strike w:val="0"/>
      <w:sz w:val="28"/>
      <w:szCs w:val="28"/>
      <w:u w:val="none"/>
    </w:rPr>
  </w:style>
  <w:style w:type="character" w:customStyle="1" w:styleId="112">
    <w:name w:val="Основной текст (11) + Малые прописные"/>
    <w:basedOn w:val="110"/>
    <w:rPr>
      <w:rFonts w:ascii="AngsanaUPC" w:eastAsia="AngsanaUPC" w:hAnsi="AngsanaUPC" w:cs="AngsanaUPC"/>
      <w:b w:val="0"/>
      <w:bCs w:val="0"/>
      <w:i/>
      <w:iCs/>
      <w:smallCaps/>
      <w:strike w:val="0"/>
      <w:color w:val="000000"/>
      <w:spacing w:val="0"/>
      <w:w w:val="100"/>
      <w:position w:val="0"/>
      <w:sz w:val="28"/>
      <w:szCs w:val="28"/>
      <w:u w:val="none"/>
      <w:lang w:val="ro-RO" w:eastAsia="ro-RO" w:bidi="ro-RO"/>
    </w:rPr>
  </w:style>
  <w:style w:type="paragraph" w:customStyle="1" w:styleId="a4">
    <w:name w:val="Сноска"/>
    <w:basedOn w:val="a"/>
    <w:link w:val="a3"/>
    <w:pPr>
      <w:shd w:val="clear" w:color="auto" w:fill="FFFFFF"/>
      <w:spacing w:line="312" w:lineRule="exact"/>
    </w:pPr>
    <w:rPr>
      <w:rFonts w:ascii="Times New Roman" w:eastAsia="Times New Roman" w:hAnsi="Times New Roman" w:cs="Times New Roman"/>
      <w:sz w:val="26"/>
      <w:szCs w:val="26"/>
    </w:rPr>
  </w:style>
  <w:style w:type="paragraph" w:customStyle="1" w:styleId="8">
    <w:name w:val="Основной текст (8)"/>
    <w:basedOn w:val="a"/>
    <w:link w:val="8Exact"/>
    <w:pPr>
      <w:shd w:val="clear" w:color="auto" w:fill="FFFFFF"/>
      <w:spacing w:line="482" w:lineRule="exact"/>
    </w:pPr>
    <w:rPr>
      <w:rFonts w:ascii="Tahoma" w:eastAsia="Tahoma" w:hAnsi="Tahoma" w:cs="Tahoma"/>
      <w:i/>
      <w:iCs/>
      <w:sz w:val="40"/>
      <w:szCs w:val="40"/>
    </w:rPr>
  </w:style>
  <w:style w:type="paragraph" w:customStyle="1" w:styleId="9">
    <w:name w:val="Основной текст (9)"/>
    <w:basedOn w:val="a"/>
    <w:link w:val="9Exact"/>
    <w:pPr>
      <w:shd w:val="clear" w:color="auto" w:fill="FFFFFF"/>
      <w:spacing w:line="222" w:lineRule="exact"/>
    </w:pPr>
    <w:rPr>
      <w:rFonts w:ascii="Times New Roman" w:eastAsia="Times New Roman" w:hAnsi="Times New Roman" w:cs="Times New Roman"/>
      <w:sz w:val="20"/>
      <w:szCs w:val="20"/>
    </w:rPr>
  </w:style>
  <w:style w:type="paragraph" w:customStyle="1" w:styleId="30">
    <w:name w:val="Заголовок №3"/>
    <w:basedOn w:val="a"/>
    <w:link w:val="3"/>
    <w:pPr>
      <w:shd w:val="clear" w:color="auto" w:fill="FFFFFF"/>
      <w:spacing w:after="180" w:line="288" w:lineRule="exact"/>
      <w:outlineLvl w:val="2"/>
    </w:pPr>
    <w:rPr>
      <w:rFonts w:ascii="Times New Roman" w:eastAsia="Times New Roman" w:hAnsi="Times New Roman" w:cs="Times New Roman"/>
      <w:b/>
      <w:bCs/>
      <w:sz w:val="26"/>
      <w:szCs w:val="26"/>
    </w:rPr>
  </w:style>
  <w:style w:type="paragraph" w:customStyle="1" w:styleId="a6">
    <w:name w:val="Колонтитул"/>
    <w:basedOn w:val="a"/>
    <w:link w:val="a5"/>
    <w:pPr>
      <w:shd w:val="clear" w:color="auto" w:fill="FFFFFF"/>
      <w:spacing w:line="222" w:lineRule="exact"/>
    </w:pPr>
    <w:rPr>
      <w:rFonts w:ascii="Times New Roman" w:eastAsia="Times New Roman" w:hAnsi="Times New Roman" w:cs="Times New Roman"/>
      <w:b/>
      <w:bCs/>
      <w:sz w:val="20"/>
      <w:szCs w:val="20"/>
    </w:rPr>
  </w:style>
  <w:style w:type="paragraph" w:customStyle="1" w:styleId="32">
    <w:name w:val="Основной текст (3)"/>
    <w:basedOn w:val="a"/>
    <w:link w:val="31"/>
    <w:pPr>
      <w:shd w:val="clear" w:color="auto" w:fill="FFFFFF"/>
      <w:spacing w:before="180" w:after="520" w:line="310" w:lineRule="exact"/>
      <w:jc w:val="center"/>
    </w:pPr>
    <w:rPr>
      <w:rFonts w:ascii="Times New Roman" w:eastAsia="Times New Roman" w:hAnsi="Times New Roman" w:cs="Times New Roman"/>
      <w:b/>
      <w:bCs/>
      <w:sz w:val="26"/>
      <w:szCs w:val="26"/>
    </w:rPr>
  </w:style>
  <w:style w:type="paragraph" w:customStyle="1" w:styleId="20">
    <w:name w:val="Основной текст (2)"/>
    <w:basedOn w:val="a"/>
    <w:link w:val="2"/>
    <w:pPr>
      <w:shd w:val="clear" w:color="auto" w:fill="FFFFFF"/>
      <w:spacing w:before="180" w:after="180" w:line="315" w:lineRule="exact"/>
      <w:jc w:val="both"/>
    </w:pPr>
    <w:rPr>
      <w:rFonts w:ascii="Times New Roman" w:eastAsia="Times New Roman" w:hAnsi="Times New Roman" w:cs="Times New Roman"/>
      <w:sz w:val="26"/>
      <w:szCs w:val="26"/>
    </w:rPr>
  </w:style>
  <w:style w:type="paragraph" w:customStyle="1" w:styleId="40">
    <w:name w:val="Основной текст (4)"/>
    <w:basedOn w:val="a"/>
    <w:link w:val="4"/>
    <w:pPr>
      <w:shd w:val="clear" w:color="auto" w:fill="FFFFFF"/>
      <w:spacing w:after="160" w:line="88" w:lineRule="exact"/>
      <w:jc w:val="both"/>
    </w:pPr>
    <w:rPr>
      <w:rFonts w:ascii="Times New Roman" w:eastAsia="Times New Roman" w:hAnsi="Times New Roman" w:cs="Times New Roman"/>
      <w:i/>
      <w:iCs/>
      <w:sz w:val="8"/>
      <w:szCs w:val="8"/>
    </w:rPr>
  </w:style>
  <w:style w:type="paragraph" w:customStyle="1" w:styleId="50">
    <w:name w:val="Основной текст (5)"/>
    <w:basedOn w:val="a"/>
    <w:link w:val="5"/>
    <w:pPr>
      <w:shd w:val="clear" w:color="auto" w:fill="FFFFFF"/>
      <w:spacing w:after="160" w:line="88" w:lineRule="exact"/>
      <w:jc w:val="both"/>
    </w:pPr>
    <w:rPr>
      <w:rFonts w:ascii="Times New Roman" w:eastAsia="Times New Roman" w:hAnsi="Times New Roman" w:cs="Times New Roman"/>
      <w:sz w:val="8"/>
      <w:szCs w:val="8"/>
    </w:rPr>
  </w:style>
  <w:style w:type="paragraph" w:customStyle="1" w:styleId="60">
    <w:name w:val="Основной текст (6)"/>
    <w:basedOn w:val="a"/>
    <w:link w:val="6"/>
    <w:pPr>
      <w:shd w:val="clear" w:color="auto" w:fill="FFFFFF"/>
      <w:spacing w:line="156" w:lineRule="exact"/>
    </w:pPr>
    <w:rPr>
      <w:rFonts w:ascii="Tahoma" w:eastAsia="Tahoma" w:hAnsi="Tahoma" w:cs="Tahoma"/>
      <w:b/>
      <w:bCs/>
      <w:sz w:val="13"/>
      <w:szCs w:val="13"/>
    </w:rPr>
  </w:style>
  <w:style w:type="paragraph" w:customStyle="1" w:styleId="70">
    <w:name w:val="Основной текст (7)"/>
    <w:basedOn w:val="a"/>
    <w:link w:val="7"/>
    <w:pPr>
      <w:shd w:val="clear" w:color="auto" w:fill="FFFFFF"/>
      <w:spacing w:line="210" w:lineRule="exact"/>
    </w:pPr>
    <w:rPr>
      <w:rFonts w:ascii="Times New Roman" w:eastAsia="Times New Roman" w:hAnsi="Times New Roman" w:cs="Times New Roman"/>
      <w:sz w:val="19"/>
      <w:szCs w:val="19"/>
    </w:rPr>
  </w:style>
  <w:style w:type="paragraph" w:customStyle="1" w:styleId="100">
    <w:name w:val="Основной текст (10)"/>
    <w:basedOn w:val="a"/>
    <w:link w:val="10"/>
    <w:pPr>
      <w:shd w:val="clear" w:color="auto" w:fill="FFFFFF"/>
      <w:spacing w:before="680" w:line="837" w:lineRule="exact"/>
      <w:jc w:val="both"/>
    </w:pPr>
    <w:rPr>
      <w:rFonts w:ascii="David" w:eastAsia="David" w:hAnsi="David" w:cs="David"/>
    </w:rPr>
  </w:style>
  <w:style w:type="paragraph" w:customStyle="1" w:styleId="11">
    <w:name w:val="Заголовок №1"/>
    <w:basedOn w:val="a"/>
    <w:link w:val="1"/>
    <w:pPr>
      <w:shd w:val="clear" w:color="auto" w:fill="FFFFFF"/>
      <w:spacing w:line="837" w:lineRule="exact"/>
      <w:outlineLvl w:val="0"/>
    </w:pPr>
    <w:rPr>
      <w:rFonts w:ascii="Bookman Old Style" w:eastAsia="Bookman Old Style" w:hAnsi="Bookman Old Style" w:cs="Bookman Old Style"/>
      <w:i/>
      <w:iCs/>
      <w:sz w:val="42"/>
      <w:szCs w:val="42"/>
    </w:rPr>
  </w:style>
  <w:style w:type="paragraph" w:customStyle="1" w:styleId="25">
    <w:name w:val="Заголовок №2"/>
    <w:basedOn w:val="a"/>
    <w:link w:val="24"/>
    <w:pPr>
      <w:shd w:val="clear" w:color="auto" w:fill="FFFFFF"/>
      <w:spacing w:line="266" w:lineRule="exact"/>
      <w:jc w:val="both"/>
      <w:outlineLvl w:val="1"/>
    </w:pPr>
    <w:rPr>
      <w:rFonts w:ascii="Times New Roman" w:eastAsia="Times New Roman" w:hAnsi="Times New Roman" w:cs="Times New Roman"/>
      <w:i/>
      <w:iCs/>
    </w:rPr>
  </w:style>
  <w:style w:type="paragraph" w:customStyle="1" w:styleId="111">
    <w:name w:val="Основной текст (11)"/>
    <w:basedOn w:val="a"/>
    <w:link w:val="110"/>
    <w:pPr>
      <w:shd w:val="clear" w:color="auto" w:fill="FFFFFF"/>
      <w:spacing w:line="376" w:lineRule="exact"/>
    </w:pPr>
    <w:rPr>
      <w:rFonts w:ascii="AngsanaUPC" w:eastAsia="AngsanaUPC" w:hAnsi="AngsanaUPC" w:cs="AngsanaUPC"/>
      <w:i/>
      <w:iCs/>
      <w:sz w:val="28"/>
      <w:szCs w:val="28"/>
    </w:rPr>
  </w:style>
  <w:style w:type="paragraph" w:styleId="a8">
    <w:name w:val="Balloon Text"/>
    <w:basedOn w:val="a"/>
    <w:link w:val="a9"/>
    <w:uiPriority w:val="99"/>
    <w:semiHidden/>
    <w:unhideWhenUsed/>
    <w:rsid w:val="001E6803"/>
    <w:rPr>
      <w:rFonts w:ascii="Tahoma" w:hAnsi="Tahoma" w:cs="Tahoma"/>
      <w:sz w:val="16"/>
      <w:szCs w:val="16"/>
    </w:rPr>
  </w:style>
  <w:style w:type="character" w:customStyle="1" w:styleId="a9">
    <w:name w:val="Текст выноски Знак"/>
    <w:basedOn w:val="a0"/>
    <w:link w:val="a8"/>
    <w:uiPriority w:val="99"/>
    <w:semiHidden/>
    <w:rsid w:val="001E680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smps.gov.m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2330</Words>
  <Characters>13283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Demișcan</dc:creator>
  <cp:lastModifiedBy>Daniela Demișcan</cp:lastModifiedBy>
  <cp:revision>3</cp:revision>
  <cp:lastPrinted>2018-09-04T12:36:00Z</cp:lastPrinted>
  <dcterms:created xsi:type="dcterms:W3CDTF">2018-09-04T12:36:00Z</dcterms:created>
  <dcterms:modified xsi:type="dcterms:W3CDTF">2018-09-04T13:15:00Z</dcterms:modified>
</cp:coreProperties>
</file>