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2F" w:rsidRDefault="0017382F" w:rsidP="0017382F">
      <w:pPr>
        <w:jc w:val="center"/>
        <w:rPr>
          <w:b/>
          <w:bCs/>
          <w:sz w:val="28"/>
          <w:szCs w:val="28"/>
          <w:lang w:val="it-IT"/>
        </w:rPr>
      </w:pPr>
      <w:bookmarkStart w:id="0" w:name="_GoBack"/>
      <w:bookmarkEnd w:id="0"/>
    </w:p>
    <w:p w:rsidR="0017382F" w:rsidRPr="009743FE" w:rsidRDefault="0017382F" w:rsidP="0017382F">
      <w:pPr>
        <w:jc w:val="center"/>
        <w:rPr>
          <w:b/>
          <w:bCs/>
          <w:sz w:val="28"/>
          <w:szCs w:val="28"/>
          <w:lang w:val="it-IT"/>
        </w:rPr>
      </w:pPr>
      <w:r w:rsidRPr="009743FE">
        <w:rPr>
          <w:b/>
          <w:bCs/>
          <w:sz w:val="28"/>
          <w:szCs w:val="28"/>
          <w:lang w:val="it-IT"/>
        </w:rPr>
        <w:t>Notă informativă</w:t>
      </w:r>
    </w:p>
    <w:p w:rsidR="0017382F" w:rsidRPr="009743FE" w:rsidRDefault="0017382F" w:rsidP="0017382F">
      <w:pPr>
        <w:jc w:val="center"/>
        <w:rPr>
          <w:b/>
          <w:bCs/>
          <w:sz w:val="28"/>
          <w:szCs w:val="28"/>
          <w:lang w:val="it-IT"/>
        </w:rPr>
      </w:pPr>
      <w:r w:rsidRPr="009743FE">
        <w:rPr>
          <w:b/>
          <w:bCs/>
          <w:sz w:val="28"/>
          <w:szCs w:val="28"/>
          <w:lang w:val="it-IT"/>
        </w:rPr>
        <w:t>la p</w:t>
      </w:r>
      <w:r w:rsidR="000D1E3B">
        <w:rPr>
          <w:b/>
          <w:bCs/>
          <w:sz w:val="28"/>
          <w:szCs w:val="28"/>
          <w:lang w:val="it-IT"/>
        </w:rPr>
        <w:t>roiectul hotărîrii Guvernului c</w:t>
      </w:r>
      <w:r w:rsidRPr="009743FE">
        <w:rPr>
          <w:b/>
          <w:bCs/>
          <w:sz w:val="28"/>
          <w:szCs w:val="28"/>
          <w:lang w:val="it-IT"/>
        </w:rPr>
        <w:t>u privire la aprobarea proiectului</w:t>
      </w:r>
    </w:p>
    <w:p w:rsidR="0017382F" w:rsidRDefault="0017382F" w:rsidP="0017382F">
      <w:pPr>
        <w:jc w:val="center"/>
        <w:rPr>
          <w:b/>
          <w:bCs/>
          <w:sz w:val="28"/>
          <w:szCs w:val="28"/>
          <w:lang w:val="it-IT"/>
        </w:rPr>
      </w:pPr>
      <w:r w:rsidRPr="009743FE">
        <w:rPr>
          <w:b/>
          <w:bCs/>
          <w:sz w:val="28"/>
          <w:szCs w:val="28"/>
          <w:lang w:val="it-IT"/>
        </w:rPr>
        <w:t>de lege pentru mo</w:t>
      </w:r>
      <w:r w:rsidR="00B4100B">
        <w:rPr>
          <w:b/>
          <w:bCs/>
          <w:sz w:val="28"/>
          <w:szCs w:val="28"/>
          <w:lang w:val="it-IT"/>
        </w:rPr>
        <w:t>dificarea unor acte legislative</w:t>
      </w:r>
    </w:p>
    <w:p w:rsidR="0017382F" w:rsidRDefault="0017382F" w:rsidP="0017382F">
      <w:pPr>
        <w:jc w:val="center"/>
        <w:rPr>
          <w:b/>
          <w:bCs/>
          <w:sz w:val="28"/>
          <w:szCs w:val="28"/>
          <w:lang w:val="it-IT"/>
        </w:rPr>
      </w:pPr>
    </w:p>
    <w:p w:rsidR="0017382F" w:rsidRPr="0017382F" w:rsidRDefault="0017382F" w:rsidP="0017382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17382F" w:rsidRPr="0017382F" w:rsidTr="006B4801">
        <w:trPr>
          <w:trHeight w:val="977"/>
        </w:trPr>
        <w:tc>
          <w:tcPr>
            <w:tcW w:w="9621" w:type="dxa"/>
          </w:tcPr>
          <w:p w:rsidR="0017382F" w:rsidRPr="0017382F" w:rsidRDefault="0017382F" w:rsidP="0017382F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eastAsia="en-US" w:bidi="ro-RO"/>
              </w:rPr>
            </w:pPr>
            <w:r w:rsidRPr="0017382F">
              <w:rPr>
                <w:rFonts w:eastAsia="Calibri"/>
                <w:b/>
                <w:bCs/>
                <w:sz w:val="28"/>
                <w:szCs w:val="28"/>
                <w:lang w:eastAsia="en-US" w:bidi="ro-RO"/>
              </w:rPr>
              <w:t>Denumirea autorului şi, după caz, a participanţilor la elaborarea proiectului</w:t>
            </w:r>
          </w:p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sz w:val="28"/>
                <w:szCs w:val="28"/>
                <w:lang w:eastAsia="en-US"/>
              </w:rPr>
              <w:t xml:space="preserve">Ministerul Agriculturii, Dezvoltării Regionale și Mediului </w:t>
            </w: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>2.</w:t>
            </w: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ab/>
              <w:t>Condiţiile ce au impus elaborarea proiectului de act normativ şi finalităţile urmărite</w:t>
            </w:r>
          </w:p>
        </w:tc>
      </w:tr>
      <w:tr w:rsidR="0017382F" w:rsidRPr="0017382F" w:rsidTr="006B4801">
        <w:trPr>
          <w:trHeight w:val="310"/>
        </w:trPr>
        <w:tc>
          <w:tcPr>
            <w:tcW w:w="9621" w:type="dxa"/>
          </w:tcPr>
          <w:p w:rsidR="0017382F" w:rsidRPr="0017382F" w:rsidRDefault="0017382F" w:rsidP="00115F6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Lipsa normelor juridice car</w:t>
            </w:r>
            <w:r w:rsidR="000D1E3B">
              <w:rPr>
                <w:rFonts w:eastAsia="Calibri"/>
                <w:sz w:val="28"/>
                <w:szCs w:val="28"/>
                <w:lang w:eastAsia="en-US"/>
              </w:rPr>
              <w:t>e să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reglementeze responsabilitățile deținătorilor de teren privind </w:t>
            </w:r>
            <w:r w:rsidR="00115F6F">
              <w:rPr>
                <w:rFonts w:eastAsia="Calibri"/>
                <w:sz w:val="28"/>
                <w:szCs w:val="28"/>
                <w:lang w:eastAsia="en-US"/>
              </w:rPr>
              <w:t>combaterea</w:t>
            </w:r>
            <w:r w:rsidR="00083B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F74DB">
              <w:rPr>
                <w:rFonts w:eastAsia="Calibri"/>
                <w:sz w:val="28"/>
                <w:szCs w:val="28"/>
                <w:lang w:eastAsia="en-US"/>
              </w:rPr>
              <w:t xml:space="preserve">buruienilor și stabilirea contravențiilor pentru nerespectarea responsabilităților prevăzute. </w:t>
            </w:r>
          </w:p>
        </w:tc>
      </w:tr>
      <w:tr w:rsidR="0017382F" w:rsidRPr="0017382F" w:rsidTr="006B4801">
        <w:trPr>
          <w:trHeight w:val="667"/>
        </w:trPr>
        <w:tc>
          <w:tcPr>
            <w:tcW w:w="9621" w:type="dxa"/>
          </w:tcPr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>3.</w:t>
            </w: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ab/>
              <w:t>Descrierea gradului de compatibilitate pentru proiectele care au ca scop armonizarea legislaţiei naţionale cu legislaţia Uniunii Europene</w:t>
            </w:r>
          </w:p>
        </w:tc>
      </w:tr>
      <w:tr w:rsidR="0017382F" w:rsidRPr="0017382F" w:rsidTr="006B4801">
        <w:trPr>
          <w:trHeight w:val="310"/>
        </w:trPr>
        <w:tc>
          <w:tcPr>
            <w:tcW w:w="9621" w:type="dxa"/>
          </w:tcPr>
          <w:p w:rsidR="0017382F" w:rsidRPr="0017382F" w:rsidRDefault="0017382F" w:rsidP="00173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sz w:val="28"/>
                <w:szCs w:val="28"/>
                <w:lang w:eastAsia="en-US"/>
              </w:rPr>
              <w:t>Proiectul nu are sa scop armonizarea la cerințele actelor UE.</w:t>
            </w:r>
          </w:p>
          <w:p w:rsidR="0017382F" w:rsidRPr="0017382F" w:rsidRDefault="0017382F" w:rsidP="00173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>4.</w:t>
            </w: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ab/>
              <w:t>Principalele prevederi ale proiectului şi evidenţierea elementelor noi</w:t>
            </w:r>
          </w:p>
        </w:tc>
      </w:tr>
      <w:tr w:rsidR="0017382F" w:rsidRPr="0017382F" w:rsidTr="000D1E3B">
        <w:trPr>
          <w:trHeight w:val="333"/>
        </w:trPr>
        <w:tc>
          <w:tcPr>
            <w:tcW w:w="9621" w:type="dxa"/>
            <w:shd w:val="clear" w:color="auto" w:fill="auto"/>
          </w:tcPr>
          <w:p w:rsidR="000D1E3B" w:rsidRPr="000D1E3B" w:rsidRDefault="000D1E3B" w:rsidP="000D1E3B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Proiectul </w:t>
            </w:r>
            <w:r w:rsidR="00115F6F">
              <w:rPr>
                <w:bCs/>
                <w:iCs/>
                <w:sz w:val="28"/>
                <w:szCs w:val="28"/>
              </w:rPr>
              <w:t>dat prevede modificări în</w:t>
            </w:r>
            <w:r w:rsidRPr="000D1E3B">
              <w:rPr>
                <w:bCs/>
                <w:iCs/>
                <w:sz w:val="28"/>
                <w:szCs w:val="28"/>
              </w:rPr>
              <w:t xml:space="preserve"> Codul funciar nr.828 din 25.12.1991 şi Codul contravenţional nr.218 din 24 octombrie 2008</w:t>
            </w:r>
            <w:r w:rsidRPr="000D1E3B">
              <w:rPr>
                <w:sz w:val="28"/>
                <w:szCs w:val="28"/>
              </w:rPr>
              <w:t>.</w:t>
            </w:r>
          </w:p>
          <w:p w:rsidR="000D1E3B" w:rsidRPr="000D1E3B" w:rsidRDefault="00D70F09" w:rsidP="000D1E3B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1) </w:t>
            </w:r>
            <w:r w:rsidR="000D1E3B" w:rsidRPr="000D1E3B">
              <w:rPr>
                <w:bCs/>
                <w:iCs/>
                <w:sz w:val="28"/>
                <w:szCs w:val="28"/>
              </w:rPr>
              <w:t>La Codul funciar</w:t>
            </w:r>
            <w:r w:rsidR="00115F6F">
              <w:rPr>
                <w:bCs/>
                <w:iCs/>
                <w:sz w:val="28"/>
                <w:szCs w:val="28"/>
              </w:rPr>
              <w:t>,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 </w:t>
            </w:r>
            <w:r w:rsidR="00115F6F" w:rsidRPr="000D1E3B">
              <w:rPr>
                <w:bCs/>
                <w:iCs/>
                <w:sz w:val="28"/>
                <w:szCs w:val="28"/>
              </w:rPr>
              <w:t>la art.29</w:t>
            </w:r>
            <w:r w:rsidR="00115F6F">
              <w:rPr>
                <w:bCs/>
                <w:iCs/>
                <w:sz w:val="28"/>
                <w:szCs w:val="28"/>
              </w:rPr>
              <w:t>,</w:t>
            </w:r>
            <w:r w:rsidR="00115F6F" w:rsidRPr="000D1E3B">
              <w:rPr>
                <w:bCs/>
                <w:iCs/>
                <w:sz w:val="28"/>
                <w:szCs w:val="28"/>
              </w:rPr>
              <w:t xml:space="preserve"> </w:t>
            </w:r>
            <w:r w:rsidR="00115F6F">
              <w:rPr>
                <w:bCs/>
                <w:iCs/>
                <w:sz w:val="28"/>
                <w:szCs w:val="28"/>
              </w:rPr>
              <w:t>se prevăd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 suplimentar obligaţii pentru deţinătorii de terenuri de a întreprinde măsuri </w:t>
            </w:r>
            <w:r w:rsidR="00115F6F">
              <w:rPr>
                <w:sz w:val="28"/>
                <w:szCs w:val="28"/>
              </w:rPr>
              <w:t>de combatere</w:t>
            </w:r>
            <w:r w:rsidR="000D1E3B" w:rsidRPr="000D1E3B">
              <w:rPr>
                <w:sz w:val="28"/>
                <w:szCs w:val="28"/>
              </w:rPr>
              <w:t xml:space="preserve"> a buruienilor</w:t>
            </w:r>
            <w:r w:rsidR="000D1E3B" w:rsidRPr="000D1E3B">
              <w:rPr>
                <w:bCs/>
                <w:iCs/>
                <w:sz w:val="28"/>
                <w:szCs w:val="28"/>
              </w:rPr>
              <w:t>.</w:t>
            </w:r>
          </w:p>
          <w:p w:rsidR="000D1E3B" w:rsidRPr="000D1E3B" w:rsidRDefault="00D70F09" w:rsidP="000D1E3B">
            <w:pPr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 xml:space="preserve">2) </w:t>
            </w:r>
            <w:r w:rsidR="00CF74DB">
              <w:rPr>
                <w:bCs/>
                <w:iCs/>
                <w:sz w:val="28"/>
                <w:szCs w:val="28"/>
              </w:rPr>
              <w:t xml:space="preserve">La </w:t>
            </w:r>
            <w:r w:rsidR="00CF74DB" w:rsidRPr="00CF74DB">
              <w:rPr>
                <w:bCs/>
                <w:iCs/>
                <w:sz w:val="28"/>
                <w:szCs w:val="28"/>
              </w:rPr>
              <w:t xml:space="preserve">Codul contravenţional nr.218-XVI din 24 octombrie 2008 </w:t>
            </w:r>
            <w:r w:rsidR="00CF74DB">
              <w:rPr>
                <w:bCs/>
                <w:iCs/>
                <w:sz w:val="28"/>
                <w:szCs w:val="28"/>
              </w:rPr>
              <w:t>se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 propun sancţiuni în cazul n</w:t>
            </w:r>
            <w:r w:rsidR="00CF74DB">
              <w:rPr>
                <w:sz w:val="28"/>
                <w:szCs w:val="28"/>
              </w:rPr>
              <w:t>eîndeplinirii obligaţiei de combatere</w:t>
            </w:r>
            <w:r w:rsidR="000D1E3B" w:rsidRPr="000D1E3B">
              <w:rPr>
                <w:sz w:val="28"/>
                <w:szCs w:val="28"/>
              </w:rPr>
              <w:t xml:space="preserve"> a buruienilor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 de pe terenurile agricole pentru a n</w:t>
            </w:r>
            <w:r w:rsidR="00CF74DB">
              <w:rPr>
                <w:bCs/>
                <w:iCs/>
                <w:sz w:val="28"/>
                <w:szCs w:val="28"/>
              </w:rPr>
              <w:t>u afecta negativ loturile adiacente.</w:t>
            </w:r>
            <w:r w:rsidR="000D1E3B" w:rsidRPr="000D1E3B">
              <w:rPr>
                <w:sz w:val="28"/>
                <w:szCs w:val="28"/>
                <w:lang w:eastAsia="en-US"/>
              </w:rPr>
              <w:t xml:space="preserve"> </w:t>
            </w:r>
          </w:p>
          <w:p w:rsidR="000D1E3B" w:rsidRPr="000D1E3B" w:rsidRDefault="00D70F09" w:rsidP="000D1E3B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ab/>
              <w:t xml:space="preserve">Prin urmare la 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art.117 </w:t>
            </w:r>
            <w:r>
              <w:rPr>
                <w:bCs/>
                <w:iCs/>
                <w:sz w:val="28"/>
                <w:szCs w:val="28"/>
              </w:rPr>
              <w:t>se prevăd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 sancţi</w:t>
            </w:r>
            <w:r>
              <w:rPr>
                <w:bCs/>
                <w:iCs/>
                <w:sz w:val="28"/>
                <w:szCs w:val="28"/>
              </w:rPr>
              <w:t>uni cu amendă de la</w:t>
            </w:r>
            <w:r w:rsidR="000D1E3B" w:rsidRPr="000D1E3B">
              <w:rPr>
                <w:rStyle w:val="ar1"/>
                <w:b w:val="0"/>
                <w:iCs/>
                <w:sz w:val="28"/>
                <w:szCs w:val="28"/>
              </w:rPr>
              <w:t xml:space="preserve"> </w:t>
            </w:r>
            <w:r w:rsidRPr="00B4100B">
              <w:rPr>
                <w:rStyle w:val="ar1"/>
                <w:b w:val="0"/>
                <w:iCs/>
                <w:color w:val="000000" w:themeColor="text1"/>
                <w:sz w:val="28"/>
                <w:szCs w:val="28"/>
              </w:rPr>
              <w:t>12</w:t>
            </w:r>
            <w:r w:rsidRPr="00B4100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la 3</w:t>
            </w:r>
            <w:r w:rsidR="000D1E3B" w:rsidRPr="000D1E3B">
              <w:rPr>
                <w:sz w:val="28"/>
                <w:szCs w:val="28"/>
              </w:rPr>
              <w:t xml:space="preserve">0 unităţi convenţionale </w:t>
            </w:r>
            <w:r>
              <w:rPr>
                <w:sz w:val="28"/>
                <w:szCs w:val="28"/>
              </w:rPr>
              <w:t>pentru persoanele fizice şi de la 60 la 12</w:t>
            </w:r>
            <w:r w:rsidR="000D1E3B" w:rsidRPr="000D1E3B">
              <w:rPr>
                <w:sz w:val="28"/>
                <w:szCs w:val="28"/>
              </w:rPr>
              <w:t xml:space="preserve">0 unităţi convenţionale </w:t>
            </w:r>
            <w:r>
              <w:rPr>
                <w:sz w:val="28"/>
                <w:szCs w:val="28"/>
              </w:rPr>
              <w:t xml:space="preserve">pentru </w:t>
            </w:r>
            <w:r w:rsidR="000D1E3B" w:rsidRPr="000D1E3B">
              <w:rPr>
                <w:sz w:val="28"/>
                <w:szCs w:val="28"/>
              </w:rPr>
              <w:t>persoanele juridice.</w:t>
            </w:r>
          </w:p>
          <w:p w:rsidR="004778F1" w:rsidRDefault="000D1E3B" w:rsidP="000D1E3B">
            <w:pPr>
              <w:ind w:firstLine="540"/>
              <w:jc w:val="both"/>
              <w:rPr>
                <w:sz w:val="28"/>
                <w:szCs w:val="28"/>
              </w:rPr>
            </w:pPr>
            <w:r w:rsidRPr="000D1E3B">
              <w:rPr>
                <w:bCs/>
                <w:iCs/>
                <w:sz w:val="28"/>
                <w:szCs w:val="28"/>
              </w:rPr>
              <w:t xml:space="preserve">Totodată, propunem ca contravenţiile nominalizate să fie </w:t>
            </w:r>
            <w:r w:rsidR="00D70F09" w:rsidRPr="000D1E3B">
              <w:rPr>
                <w:bCs/>
                <w:iCs/>
                <w:sz w:val="28"/>
                <w:szCs w:val="28"/>
              </w:rPr>
              <w:t xml:space="preserve">examinate </w:t>
            </w:r>
            <w:r w:rsidR="00D70F09">
              <w:rPr>
                <w:bCs/>
                <w:iCs/>
                <w:sz w:val="28"/>
                <w:szCs w:val="28"/>
              </w:rPr>
              <w:t xml:space="preserve">și </w:t>
            </w:r>
            <w:r w:rsidRPr="000D1E3B">
              <w:rPr>
                <w:bCs/>
                <w:iCs/>
                <w:sz w:val="28"/>
                <w:szCs w:val="28"/>
              </w:rPr>
              <w:t>consta</w:t>
            </w:r>
            <w:r w:rsidR="00D70F09">
              <w:rPr>
                <w:bCs/>
                <w:iCs/>
                <w:sz w:val="28"/>
                <w:szCs w:val="28"/>
              </w:rPr>
              <w:t>tate</w:t>
            </w:r>
            <w:r w:rsidRPr="000D1E3B">
              <w:rPr>
                <w:bCs/>
                <w:iCs/>
                <w:sz w:val="28"/>
                <w:szCs w:val="28"/>
              </w:rPr>
              <w:t xml:space="preserve"> de către Comisia administrativă de pe </w:t>
            </w:r>
            <w:r w:rsidR="00D70F09" w:rsidRPr="000D1E3B">
              <w:rPr>
                <w:bCs/>
                <w:iCs/>
                <w:sz w:val="28"/>
                <w:szCs w:val="28"/>
              </w:rPr>
              <w:t>lângă</w:t>
            </w:r>
            <w:r w:rsidRPr="000D1E3B">
              <w:rPr>
                <w:bCs/>
                <w:iCs/>
                <w:sz w:val="28"/>
                <w:szCs w:val="28"/>
              </w:rPr>
              <w:t xml:space="preserve"> autoritatea publică locală</w:t>
            </w:r>
            <w:r w:rsidR="004778F1">
              <w:rPr>
                <w:bCs/>
                <w:iCs/>
                <w:sz w:val="28"/>
                <w:szCs w:val="28"/>
              </w:rPr>
              <w:t xml:space="preserve">, normă propusă la </w:t>
            </w:r>
            <w:r w:rsidRPr="000D1E3B">
              <w:rPr>
                <w:bCs/>
                <w:iCs/>
                <w:sz w:val="28"/>
                <w:szCs w:val="28"/>
              </w:rPr>
              <w:t xml:space="preserve">art. 398 al Codului Contravenţional. În acest sens propunem completarea </w:t>
            </w:r>
            <w:r w:rsidR="004778F1">
              <w:rPr>
                <w:sz w:val="28"/>
                <w:szCs w:val="28"/>
              </w:rPr>
              <w:t>articolului dat</w:t>
            </w:r>
            <w:r w:rsidRPr="000D1E3B">
              <w:rPr>
                <w:sz w:val="28"/>
                <w:szCs w:val="28"/>
              </w:rPr>
              <w:t xml:space="preserve"> cu </w:t>
            </w:r>
            <w:r w:rsidR="004778F1">
              <w:rPr>
                <w:sz w:val="28"/>
                <w:szCs w:val="28"/>
              </w:rPr>
              <w:t xml:space="preserve">punctul </w:t>
            </w:r>
            <w:r w:rsidR="004778F1" w:rsidRPr="000D1E3B">
              <w:rPr>
                <w:sz w:val="28"/>
                <w:szCs w:val="28"/>
              </w:rPr>
              <w:t>(1)</w:t>
            </w:r>
            <w:proofErr w:type="spellStart"/>
            <w:r w:rsidR="004778F1" w:rsidRPr="000D1E3B">
              <w:rPr>
                <w:sz w:val="28"/>
                <w:szCs w:val="28"/>
                <w:vertAlign w:val="superscript"/>
              </w:rPr>
              <w:t>1</w:t>
            </w:r>
            <w:proofErr w:type="spellEnd"/>
            <w:r w:rsidR="004778F1" w:rsidRPr="000D1E3B">
              <w:rPr>
                <w:sz w:val="28"/>
                <w:szCs w:val="28"/>
                <w:vertAlign w:val="superscript"/>
              </w:rPr>
              <w:t xml:space="preserve"> </w:t>
            </w:r>
            <w:r w:rsidR="004778F1">
              <w:rPr>
                <w:sz w:val="28"/>
                <w:szCs w:val="28"/>
              </w:rPr>
              <w:t>, cu următorul cuprins:</w:t>
            </w:r>
          </w:p>
          <w:p w:rsidR="004778F1" w:rsidRDefault="004778F1" w:rsidP="000D1E3B">
            <w:pPr>
              <w:ind w:firstLine="540"/>
              <w:jc w:val="both"/>
              <w:rPr>
                <w:sz w:val="28"/>
                <w:szCs w:val="28"/>
              </w:rPr>
            </w:pPr>
            <w:r w:rsidRPr="004778F1">
              <w:rPr>
                <w:sz w:val="28"/>
                <w:szCs w:val="28"/>
              </w:rPr>
              <w:t>„(1</w:t>
            </w:r>
            <w:r w:rsidRPr="004778F1">
              <w:rPr>
                <w:sz w:val="28"/>
                <w:szCs w:val="28"/>
                <w:vertAlign w:val="superscript"/>
              </w:rPr>
              <w:t>1</w:t>
            </w:r>
            <w:r w:rsidRPr="004778F1">
              <w:rPr>
                <w:sz w:val="28"/>
                <w:szCs w:val="28"/>
              </w:rPr>
              <w:t>) Comisia administrativă constată contravenţia prevăzută la art.117, alin. (3) pe terenurile din intravilanul localităților.”</w:t>
            </w:r>
          </w:p>
          <w:p w:rsidR="000D1E3B" w:rsidRPr="004778F1" w:rsidRDefault="004778F1" w:rsidP="000D1E3B">
            <w:pPr>
              <w:shd w:val="clear" w:color="auto" w:fill="FFFFFF"/>
              <w:tabs>
                <w:tab w:val="left" w:pos="238"/>
                <w:tab w:val="left" w:pos="357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Comisiile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vor </w:t>
            </w:r>
            <w:r w:rsidR="000D1E3B" w:rsidRPr="000D1E3B">
              <w:rPr>
                <w:bCs/>
                <w:iCs/>
                <w:sz w:val="28"/>
                <w:szCs w:val="28"/>
              </w:rPr>
              <w:t>examin</w:t>
            </w:r>
            <w:r>
              <w:rPr>
                <w:bCs/>
                <w:iCs/>
                <w:sz w:val="28"/>
                <w:szCs w:val="28"/>
              </w:rPr>
              <w:t xml:space="preserve">a </w:t>
            </w:r>
            <w:r w:rsidR="000D1E3B" w:rsidRPr="000D1E3B">
              <w:rPr>
                <w:bCs/>
                <w:iCs/>
                <w:sz w:val="28"/>
                <w:szCs w:val="28"/>
              </w:rPr>
              <w:t xml:space="preserve">şi alte contravenţii conform prevederilor Codului nominalizat. </w:t>
            </w:r>
            <w:r w:rsidR="000D1E3B" w:rsidRPr="000D1E3B">
              <w:rPr>
                <w:bCs/>
                <w:iCs/>
                <w:sz w:val="28"/>
                <w:szCs w:val="28"/>
                <w:lang w:val="it-IT"/>
              </w:rPr>
              <w:t>Cauza contravenţională va fi soluţionată de Comisiile respective în a cărui rază teritorială a fost săvîrşită contravenţia. Iar la articolul 398, alineatul (1</w:t>
            </w:r>
            <w:r>
              <w:rPr>
                <w:bCs/>
                <w:iCs/>
                <w:sz w:val="28"/>
                <w:szCs w:val="28"/>
                <w:lang w:val="it-IT"/>
              </w:rPr>
              <w:t>), după cifra „108” se completează cu</w:t>
            </w:r>
            <w:r w:rsidR="000D1E3B" w:rsidRPr="000D1E3B">
              <w:rPr>
                <w:bCs/>
                <w:iCs/>
                <w:sz w:val="28"/>
                <w:szCs w:val="28"/>
                <w:lang w:val="it-IT"/>
              </w:rPr>
              <w:t xml:space="preserve"> cifra „117</w:t>
            </w:r>
            <w:r>
              <w:rPr>
                <w:bCs/>
                <w:iCs/>
                <w:sz w:val="28"/>
                <w:szCs w:val="28"/>
                <w:lang w:val="it-IT"/>
              </w:rPr>
              <w:t>,</w:t>
            </w:r>
            <w:r w:rsidR="000D1E3B" w:rsidRPr="000D1E3B">
              <w:rPr>
                <w:bCs/>
                <w:iCs/>
                <w:sz w:val="28"/>
                <w:szCs w:val="28"/>
                <w:lang w:val="it-IT"/>
              </w:rPr>
              <w:t xml:space="preserve"> alin. (1),”.</w:t>
            </w:r>
          </w:p>
          <w:p w:rsidR="0017382F" w:rsidRPr="0017382F" w:rsidRDefault="0017382F" w:rsidP="000D1E3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4778F1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>5.</w:t>
            </w: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ab/>
              <w:t>Fundamentarea economico-financiară</w:t>
            </w: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17382F" w:rsidRPr="0017382F" w:rsidRDefault="004778F1" w:rsidP="004778F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</w:t>
            </w:r>
            <w:r w:rsidR="0017382F" w:rsidRPr="0017382F">
              <w:rPr>
                <w:rFonts w:eastAsia="Calibri"/>
                <w:sz w:val="28"/>
                <w:szCs w:val="28"/>
                <w:lang w:eastAsia="en-US"/>
              </w:rPr>
              <w:t xml:space="preserve">mplementarea </w:t>
            </w:r>
            <w:r>
              <w:rPr>
                <w:rFonts w:eastAsia="Calibri"/>
                <w:sz w:val="28"/>
                <w:szCs w:val="28"/>
                <w:lang w:eastAsia="en-US"/>
              </w:rPr>
              <w:t>proiectului nu implică</w:t>
            </w:r>
            <w:r w:rsidR="0017382F" w:rsidRPr="0017382F">
              <w:rPr>
                <w:rFonts w:eastAsia="Calibri"/>
                <w:sz w:val="28"/>
                <w:szCs w:val="28"/>
                <w:lang w:eastAsia="en-US"/>
              </w:rPr>
              <w:t xml:space="preserve"> mijloace financiare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>6.</w:t>
            </w: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ab/>
              <w:t>Modul de încorporare a actului în cadrul normativ în vigoare</w:t>
            </w: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4778F1" w:rsidRDefault="004778F1" w:rsidP="004778F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Adoptarea proiectului </w:t>
            </w:r>
            <w:r w:rsidR="0017382F" w:rsidRPr="0017382F">
              <w:rPr>
                <w:rFonts w:eastAsia="Calibri"/>
                <w:sz w:val="28"/>
                <w:szCs w:val="28"/>
                <w:lang w:eastAsia="en-US"/>
              </w:rPr>
              <w:t>de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lege va impune elaborarea proiectului de </w:t>
            </w:r>
            <w:r w:rsidR="0017382F" w:rsidRPr="0017382F">
              <w:rPr>
                <w:rFonts w:eastAsia="Calibri"/>
                <w:sz w:val="28"/>
                <w:szCs w:val="28"/>
                <w:lang w:eastAsia="en-US"/>
              </w:rPr>
              <w:t xml:space="preserve">hotărâre a Guvernului </w:t>
            </w:r>
            <w:r>
              <w:rPr>
                <w:rFonts w:eastAsia="Calibri"/>
                <w:sz w:val="28"/>
                <w:szCs w:val="28"/>
                <w:lang w:eastAsia="en-US"/>
              </w:rPr>
              <w:t>în veder</w:t>
            </w:r>
            <w:r w:rsidR="002D7B7F">
              <w:rPr>
                <w:rFonts w:eastAsia="Calibri"/>
                <w:sz w:val="28"/>
                <w:szCs w:val="28"/>
                <w:lang w:eastAsia="en-US"/>
              </w:rPr>
              <w:t>ea implementării normelor adoptate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17382F" w:rsidRPr="0017382F" w:rsidRDefault="0017382F" w:rsidP="004778F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7382F" w:rsidRPr="0017382F" w:rsidTr="006B4801">
        <w:trPr>
          <w:trHeight w:val="333"/>
        </w:trPr>
        <w:tc>
          <w:tcPr>
            <w:tcW w:w="9621" w:type="dxa"/>
          </w:tcPr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>7.</w:t>
            </w:r>
            <w:r w:rsidRPr="0017382F">
              <w:rPr>
                <w:rFonts w:eastAsia="Calibri"/>
                <w:b/>
                <w:sz w:val="28"/>
                <w:szCs w:val="28"/>
                <w:lang w:eastAsia="en-US"/>
              </w:rPr>
              <w:tab/>
              <w:t>Avizarea şi consultarea publică a proiectului</w:t>
            </w:r>
          </w:p>
          <w:p w:rsidR="002D7B7F" w:rsidRPr="002D7B7F" w:rsidRDefault="0017382F" w:rsidP="002D7B7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Pentru consultarea publică a proiectului propus, pe site-ul Ministerul Agriculturii, Dezvoltării Regionale şi Mediului a fost plasat Anunţul privind inițierea elaborării </w:t>
            </w:r>
            <w:r w:rsidR="002D7B7F" w:rsidRPr="002D7B7F">
              <w:rPr>
                <w:rFonts w:eastAsia="Calibri"/>
                <w:sz w:val="28"/>
                <w:szCs w:val="28"/>
                <w:lang w:eastAsia="en-US"/>
              </w:rPr>
              <w:t>proiectul</w:t>
            </w:r>
            <w:r w:rsidR="002D7B7F">
              <w:rPr>
                <w:rFonts w:eastAsia="Calibri"/>
                <w:sz w:val="28"/>
                <w:szCs w:val="28"/>
                <w:lang w:eastAsia="en-US"/>
              </w:rPr>
              <w:t>ui</w:t>
            </w:r>
            <w:r w:rsidR="002D7B7F" w:rsidRPr="002D7B7F">
              <w:rPr>
                <w:rFonts w:eastAsia="Calibri"/>
                <w:sz w:val="28"/>
                <w:szCs w:val="28"/>
                <w:lang w:eastAsia="en-US"/>
              </w:rPr>
              <w:t xml:space="preserve"> hotărârii Guvernului cu privire la aprobarea proiectului</w:t>
            </w:r>
            <w:r w:rsidR="002D7B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D7B7F" w:rsidRPr="002D7B7F">
              <w:rPr>
                <w:rFonts w:eastAsia="Calibri"/>
                <w:sz w:val="28"/>
                <w:szCs w:val="28"/>
                <w:lang w:eastAsia="en-US"/>
              </w:rPr>
              <w:t>de lege pentru mo</w:t>
            </w:r>
            <w:r w:rsidR="002D7B7F">
              <w:rPr>
                <w:rFonts w:eastAsia="Calibri"/>
                <w:sz w:val="28"/>
                <w:szCs w:val="28"/>
                <w:lang w:eastAsia="en-US"/>
              </w:rPr>
              <w:t>dificarea unor acte legislative.</w:t>
            </w:r>
          </w:p>
          <w:p w:rsidR="0017382F" w:rsidRPr="0017382F" w:rsidRDefault="0017382F" w:rsidP="00173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sz w:val="28"/>
                <w:szCs w:val="28"/>
                <w:lang w:eastAsia="en-US"/>
              </w:rPr>
              <w:t>Proiectul va fi avizat de Ministerul Sănătăţii, Muncii și Protecției Sociale, Ministerul Economiei, Agenția Națională pentru Siguranța Alimentelor, Ministerul Finanțelor, Centru Național Anticorupție și Ministerul Justiției.</w:t>
            </w:r>
          </w:p>
          <w:p w:rsidR="0017382F" w:rsidRPr="0017382F" w:rsidRDefault="0017382F" w:rsidP="001738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382F">
              <w:rPr>
                <w:rFonts w:eastAsia="Calibri"/>
                <w:sz w:val="28"/>
                <w:szCs w:val="28"/>
                <w:lang w:eastAsia="en-US"/>
              </w:rPr>
              <w:t xml:space="preserve">Proiectul și nota informativă vor fi plasate pe site-ul oficial al Ministerului Agriculturii, Dezvoltării Regionale şi Mediului la adresa </w:t>
            </w:r>
            <w:proofErr w:type="spellStart"/>
            <w:r w:rsidRPr="0017382F">
              <w:rPr>
                <w:rFonts w:eastAsia="Calibri"/>
                <w:sz w:val="28"/>
                <w:szCs w:val="28"/>
                <w:lang w:eastAsia="en-US"/>
              </w:rPr>
              <w:t>www.madrm.gov.md</w:t>
            </w:r>
            <w:proofErr w:type="spellEnd"/>
            <w:r w:rsidRPr="0017382F">
              <w:rPr>
                <w:rFonts w:eastAsia="Calibri"/>
                <w:sz w:val="28"/>
                <w:szCs w:val="28"/>
                <w:lang w:eastAsia="en-US"/>
              </w:rPr>
              <w:t xml:space="preserve"> la rubrica, Transparenţă decizională - „Proiecte de documente”și portalul guvernamental </w:t>
            </w:r>
            <w:proofErr w:type="spellStart"/>
            <w:r w:rsidRPr="0017382F">
              <w:rPr>
                <w:rFonts w:eastAsia="Calibri"/>
                <w:sz w:val="28"/>
                <w:szCs w:val="28"/>
                <w:lang w:eastAsia="en-US"/>
              </w:rPr>
              <w:t>particip.gov.</w:t>
            </w:r>
            <w:r w:rsidR="007F0C29">
              <w:rPr>
                <w:rFonts w:eastAsia="Calibri"/>
                <w:sz w:val="28"/>
                <w:szCs w:val="28"/>
                <w:lang w:eastAsia="en-US"/>
              </w:rPr>
              <w:t>md</w:t>
            </w:r>
            <w:proofErr w:type="spellEnd"/>
            <w:r w:rsidR="007F0C29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738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7382F" w:rsidRPr="0017382F" w:rsidRDefault="0017382F" w:rsidP="0017382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17382F" w:rsidRPr="0017382F" w:rsidRDefault="0017382F" w:rsidP="0017382F">
      <w:pPr>
        <w:spacing w:line="276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17382F" w:rsidRPr="0017382F" w:rsidRDefault="0017382F" w:rsidP="0017382F">
      <w:pPr>
        <w:spacing w:line="276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17382F" w:rsidRPr="0017382F" w:rsidRDefault="0017382F" w:rsidP="0017382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7382F" w:rsidRPr="0017382F" w:rsidRDefault="0017382F" w:rsidP="0017382F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7382F">
        <w:rPr>
          <w:rFonts w:eastAsia="Calibri"/>
          <w:b/>
          <w:sz w:val="28"/>
          <w:szCs w:val="28"/>
          <w:lang w:eastAsia="en-US"/>
        </w:rPr>
        <w:t>Ministru</w:t>
      </w:r>
      <w:r w:rsidRPr="0017382F">
        <w:rPr>
          <w:rFonts w:eastAsia="Calibri"/>
          <w:b/>
          <w:sz w:val="28"/>
          <w:szCs w:val="28"/>
          <w:lang w:eastAsia="en-US"/>
        </w:rPr>
        <w:tab/>
      </w:r>
      <w:r w:rsidRPr="0017382F">
        <w:rPr>
          <w:rFonts w:eastAsia="Calibri"/>
          <w:b/>
          <w:sz w:val="28"/>
          <w:szCs w:val="28"/>
          <w:lang w:eastAsia="en-US"/>
        </w:rPr>
        <w:tab/>
      </w:r>
      <w:r w:rsidRPr="0017382F">
        <w:rPr>
          <w:rFonts w:eastAsia="Calibri"/>
          <w:b/>
          <w:sz w:val="28"/>
          <w:szCs w:val="28"/>
          <w:lang w:eastAsia="en-US"/>
        </w:rPr>
        <w:tab/>
      </w:r>
      <w:r w:rsidRPr="0017382F">
        <w:rPr>
          <w:rFonts w:eastAsia="Calibri"/>
          <w:b/>
          <w:sz w:val="28"/>
          <w:szCs w:val="28"/>
          <w:lang w:eastAsia="en-US"/>
        </w:rPr>
        <w:tab/>
      </w:r>
      <w:r w:rsidRPr="0017382F">
        <w:rPr>
          <w:rFonts w:eastAsia="Calibri"/>
          <w:b/>
          <w:sz w:val="28"/>
          <w:szCs w:val="28"/>
          <w:lang w:eastAsia="en-US"/>
        </w:rPr>
        <w:tab/>
        <w:t>Liviu VOLCONOVICI</w:t>
      </w:r>
    </w:p>
    <w:p w:rsidR="0017382F" w:rsidRPr="0017382F" w:rsidRDefault="0017382F" w:rsidP="0017382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17382F" w:rsidRPr="0017382F" w:rsidRDefault="0017382F" w:rsidP="0017382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17382F" w:rsidRDefault="0017382F" w:rsidP="0017382F">
      <w:pPr>
        <w:jc w:val="center"/>
        <w:rPr>
          <w:b/>
          <w:bCs/>
          <w:sz w:val="28"/>
          <w:szCs w:val="28"/>
          <w:lang w:val="it-IT"/>
        </w:rPr>
      </w:pPr>
    </w:p>
    <w:p w:rsidR="0017382F" w:rsidRDefault="0017382F" w:rsidP="0017382F">
      <w:pPr>
        <w:jc w:val="center"/>
        <w:rPr>
          <w:b/>
          <w:bCs/>
          <w:sz w:val="28"/>
          <w:szCs w:val="28"/>
          <w:lang w:val="it-IT"/>
        </w:rPr>
      </w:pPr>
    </w:p>
    <w:p w:rsidR="0017382F" w:rsidRDefault="0017382F" w:rsidP="0017382F">
      <w:pPr>
        <w:jc w:val="center"/>
        <w:rPr>
          <w:b/>
          <w:bCs/>
          <w:sz w:val="28"/>
          <w:szCs w:val="28"/>
          <w:lang w:val="it-IT"/>
        </w:rPr>
      </w:pPr>
    </w:p>
    <w:p w:rsidR="00CB13CB" w:rsidRDefault="00D846DD"/>
    <w:sectPr w:rsidR="00CB13CB" w:rsidSect="001C64B2">
      <w:pgSz w:w="11906" w:h="16838"/>
      <w:pgMar w:top="568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7B7C"/>
    <w:multiLevelType w:val="multilevel"/>
    <w:tmpl w:val="153CF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85"/>
    <w:rsid w:val="00083BB5"/>
    <w:rsid w:val="000B2E2A"/>
    <w:rsid w:val="000D1E3B"/>
    <w:rsid w:val="00115F6F"/>
    <w:rsid w:val="0017382F"/>
    <w:rsid w:val="001E1034"/>
    <w:rsid w:val="001E3ED1"/>
    <w:rsid w:val="002D7B7F"/>
    <w:rsid w:val="004778F1"/>
    <w:rsid w:val="004C4E85"/>
    <w:rsid w:val="007F0C29"/>
    <w:rsid w:val="00874CC0"/>
    <w:rsid w:val="009F49E5"/>
    <w:rsid w:val="00B4100B"/>
    <w:rsid w:val="00B86815"/>
    <w:rsid w:val="00C21E4E"/>
    <w:rsid w:val="00CF74DB"/>
    <w:rsid w:val="00D07BD0"/>
    <w:rsid w:val="00D70F09"/>
    <w:rsid w:val="00D846DD"/>
    <w:rsid w:val="00E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1">
    <w:name w:val="ar1"/>
    <w:rsid w:val="0017382F"/>
    <w:rPr>
      <w:b/>
      <w:bCs/>
      <w:color w:val="0000AF"/>
      <w:sz w:val="22"/>
      <w:szCs w:val="22"/>
    </w:rPr>
  </w:style>
  <w:style w:type="table" w:styleId="a3">
    <w:name w:val="Table Grid"/>
    <w:basedOn w:val="a1"/>
    <w:uiPriority w:val="59"/>
    <w:rsid w:val="0017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B5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6">
    <w:name w:val="List Paragraph"/>
    <w:basedOn w:val="a"/>
    <w:uiPriority w:val="34"/>
    <w:qFormat/>
    <w:rsid w:val="00D70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1">
    <w:name w:val="ar1"/>
    <w:rsid w:val="0017382F"/>
    <w:rPr>
      <w:b/>
      <w:bCs/>
      <w:color w:val="0000AF"/>
      <w:sz w:val="22"/>
      <w:szCs w:val="22"/>
    </w:rPr>
  </w:style>
  <w:style w:type="table" w:styleId="a3">
    <w:name w:val="Table Grid"/>
    <w:basedOn w:val="a1"/>
    <w:uiPriority w:val="59"/>
    <w:rsid w:val="0017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BB5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6">
    <w:name w:val="List Paragraph"/>
    <w:basedOn w:val="a"/>
    <w:uiPriority w:val="34"/>
    <w:qFormat/>
    <w:rsid w:val="00D7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Tertea</dc:creator>
  <cp:lastModifiedBy>Veronica Tertea</cp:lastModifiedBy>
  <cp:revision>13</cp:revision>
  <cp:lastPrinted>2018-09-14T13:40:00Z</cp:lastPrinted>
  <dcterms:created xsi:type="dcterms:W3CDTF">2018-09-14T11:10:00Z</dcterms:created>
  <dcterms:modified xsi:type="dcterms:W3CDTF">2018-09-14T13:40:00Z</dcterms:modified>
</cp:coreProperties>
</file>