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A6" w:rsidRPr="00D7143C" w:rsidRDefault="00315BA6" w:rsidP="00315BA6">
      <w:pPr>
        <w:tabs>
          <w:tab w:val="left" w:pos="720"/>
          <w:tab w:val="left" w:pos="900"/>
        </w:tabs>
        <w:jc w:val="center"/>
        <w:rPr>
          <w:b/>
          <w:bCs/>
          <w:color w:val="000000" w:themeColor="text1"/>
          <w:sz w:val="28"/>
          <w:szCs w:val="28"/>
        </w:rPr>
      </w:pPr>
      <w:bookmarkStart w:id="0" w:name="_GoBack"/>
      <w:r>
        <w:rPr>
          <w:b/>
          <w:sz w:val="28"/>
          <w:szCs w:val="28"/>
        </w:rPr>
        <w:t>NOTĂ INFORMATIVĂ</w:t>
      </w:r>
      <w:bookmarkEnd w:id="0"/>
      <w:r>
        <w:rPr>
          <w:b/>
          <w:sz w:val="28"/>
          <w:szCs w:val="28"/>
        </w:rPr>
        <w:br/>
        <w:t>la</w:t>
      </w:r>
      <w:r w:rsidRPr="007F41BC">
        <w:rPr>
          <w:b/>
          <w:sz w:val="28"/>
          <w:szCs w:val="28"/>
        </w:rPr>
        <w:t xml:space="preserve"> proiectul hotăr</w:t>
      </w:r>
      <w:r>
        <w:rPr>
          <w:b/>
          <w:sz w:val="28"/>
          <w:szCs w:val="28"/>
        </w:rPr>
        <w:t>î</w:t>
      </w:r>
      <w:r w:rsidRPr="007F41BC">
        <w:rPr>
          <w:b/>
          <w:sz w:val="28"/>
          <w:szCs w:val="28"/>
        </w:rPr>
        <w:t>rii Gu</w:t>
      </w:r>
      <w:r>
        <w:rPr>
          <w:b/>
          <w:sz w:val="28"/>
          <w:szCs w:val="28"/>
        </w:rPr>
        <w:t xml:space="preserve">vernului privind </w:t>
      </w:r>
      <w:r w:rsidRPr="0075056D">
        <w:rPr>
          <w:rStyle w:val="docheader"/>
          <w:b/>
          <w:bCs/>
          <w:color w:val="000000" w:themeColor="text1"/>
          <w:sz w:val="28"/>
          <w:szCs w:val="28"/>
        </w:rPr>
        <w:t xml:space="preserve">aprobarea proiectului de lege pentru modificarea articolului 61 din Legea </w:t>
      </w:r>
      <w:r w:rsidRPr="0075056D">
        <w:rPr>
          <w:b/>
          <w:bCs/>
          <w:color w:val="000000"/>
          <w:sz w:val="28"/>
          <w:szCs w:val="28"/>
        </w:rPr>
        <w:t>privind funcţionarul public cu statut special din cadrul Ministerului Afacerilor Interne</w:t>
      </w:r>
      <w:r>
        <w:rPr>
          <w:rStyle w:val="docheader"/>
          <w:b/>
          <w:bCs/>
          <w:color w:val="000000" w:themeColor="text1"/>
          <w:sz w:val="28"/>
          <w:szCs w:val="28"/>
        </w:rPr>
        <w:t xml:space="preserve"> nr. 288/2016</w:t>
      </w:r>
    </w:p>
    <w:p w:rsidR="00315BA6" w:rsidRPr="0069683F" w:rsidRDefault="00315BA6" w:rsidP="00315BA6">
      <w:pPr>
        <w:pStyle w:val="tt"/>
        <w:rPr>
          <w:color w:val="FF0000"/>
          <w:sz w:val="28"/>
          <w:szCs w:val="28"/>
        </w:rPr>
      </w:pPr>
    </w:p>
    <w:tbl>
      <w:tblPr>
        <w:tblStyle w:val="a3"/>
        <w:tblW w:w="0" w:type="auto"/>
        <w:tblLook w:val="04A0" w:firstRow="1" w:lastRow="0" w:firstColumn="1" w:lastColumn="0" w:noHBand="0" w:noVBand="1"/>
      </w:tblPr>
      <w:tblGrid>
        <w:gridCol w:w="9570"/>
      </w:tblGrid>
      <w:tr w:rsidR="00315BA6" w:rsidTr="000465AF">
        <w:tc>
          <w:tcPr>
            <w:tcW w:w="9570" w:type="dxa"/>
          </w:tcPr>
          <w:p w:rsidR="00315BA6" w:rsidRPr="00125802" w:rsidRDefault="00315BA6" w:rsidP="00315BA6">
            <w:pPr>
              <w:pStyle w:val="a4"/>
              <w:numPr>
                <w:ilvl w:val="0"/>
                <w:numId w:val="1"/>
              </w:numPr>
              <w:ind w:left="0" w:firstLine="360"/>
              <w:jc w:val="both"/>
              <w:rPr>
                <w:b/>
                <w:sz w:val="28"/>
                <w:szCs w:val="28"/>
                <w:lang w:val="ro-RO"/>
              </w:rPr>
            </w:pPr>
            <w:r w:rsidRPr="00125802">
              <w:rPr>
                <w:b/>
                <w:sz w:val="28"/>
                <w:szCs w:val="28"/>
                <w:lang w:val="ro-RO"/>
              </w:rPr>
              <w:t>Denumirea autorului și, după caz</w:t>
            </w:r>
            <w:r>
              <w:rPr>
                <w:b/>
                <w:sz w:val="28"/>
                <w:szCs w:val="28"/>
                <w:lang w:val="ro-RO"/>
              </w:rPr>
              <w:t>, a participanților la</w:t>
            </w:r>
            <w:r w:rsidRPr="00125802">
              <w:rPr>
                <w:b/>
                <w:sz w:val="28"/>
                <w:szCs w:val="28"/>
                <w:lang w:val="ro-RO"/>
              </w:rPr>
              <w:t xml:space="preserve"> elaborarea proiectului </w:t>
            </w:r>
          </w:p>
        </w:tc>
      </w:tr>
      <w:tr w:rsidR="00315BA6" w:rsidTr="000465AF">
        <w:tc>
          <w:tcPr>
            <w:tcW w:w="9570" w:type="dxa"/>
          </w:tcPr>
          <w:p w:rsidR="00315BA6" w:rsidRPr="00D7143C" w:rsidRDefault="00315BA6" w:rsidP="000465AF">
            <w:pPr>
              <w:pStyle w:val="a4"/>
              <w:ind w:firstLine="426"/>
              <w:jc w:val="both"/>
              <w:rPr>
                <w:sz w:val="28"/>
                <w:szCs w:val="28"/>
                <w:lang w:val="ro-RO"/>
              </w:rPr>
            </w:pPr>
            <w:r w:rsidRPr="00125802">
              <w:rPr>
                <w:sz w:val="28"/>
                <w:szCs w:val="28"/>
                <w:lang w:val="ro-RO"/>
              </w:rPr>
              <w:t xml:space="preserve">Proiectul </w:t>
            </w:r>
            <w:r w:rsidRPr="004614B8">
              <w:rPr>
                <w:sz w:val="28"/>
                <w:szCs w:val="28"/>
                <w:lang w:val="ro-RO"/>
              </w:rPr>
              <w:t xml:space="preserve">hotărîrii Guvernului privind aprobarea proiectului de lege pentru modificarea articolului </w:t>
            </w:r>
            <w:r w:rsidRPr="00D7143C">
              <w:rPr>
                <w:rStyle w:val="docheader"/>
                <w:bCs/>
                <w:color w:val="000000" w:themeColor="text1"/>
                <w:sz w:val="28"/>
                <w:szCs w:val="28"/>
                <w:lang w:val="ro-RO"/>
              </w:rPr>
              <w:t xml:space="preserve">61 din Legea </w:t>
            </w:r>
            <w:r w:rsidRPr="00D7143C">
              <w:rPr>
                <w:bCs/>
                <w:color w:val="000000"/>
                <w:sz w:val="28"/>
                <w:szCs w:val="28"/>
                <w:lang w:val="ro-RO"/>
              </w:rPr>
              <w:t>privind funcţionarul public cu statut special din cadrul Ministerului Afacerilor Interne</w:t>
            </w:r>
            <w:r w:rsidRPr="00D7143C">
              <w:rPr>
                <w:rStyle w:val="docheader"/>
                <w:bCs/>
                <w:color w:val="000000" w:themeColor="text1"/>
                <w:sz w:val="28"/>
                <w:szCs w:val="28"/>
                <w:lang w:val="ro-RO"/>
              </w:rPr>
              <w:t xml:space="preserve"> nr. 288/2016</w:t>
            </w:r>
            <w:r>
              <w:rPr>
                <w:rStyle w:val="docheader"/>
                <w:bCs/>
                <w:color w:val="000000" w:themeColor="text1"/>
                <w:sz w:val="28"/>
                <w:szCs w:val="28"/>
                <w:lang w:val="ro-RO"/>
              </w:rPr>
              <w:t xml:space="preserve">, </w:t>
            </w:r>
            <w:r w:rsidRPr="00125802">
              <w:rPr>
                <w:sz w:val="28"/>
                <w:szCs w:val="28"/>
                <w:lang w:val="ro-RO"/>
              </w:rPr>
              <w:t>a fost elaborat de către Ministerul Afacerilor Interne</w:t>
            </w:r>
            <w:r>
              <w:rPr>
                <w:sz w:val="28"/>
                <w:szCs w:val="28"/>
                <w:lang w:val="ro-RO"/>
              </w:rPr>
              <w:t>.</w:t>
            </w:r>
          </w:p>
        </w:tc>
      </w:tr>
      <w:tr w:rsidR="00315BA6" w:rsidTr="000465AF">
        <w:tc>
          <w:tcPr>
            <w:tcW w:w="9570" w:type="dxa"/>
          </w:tcPr>
          <w:p w:rsidR="00315BA6" w:rsidRPr="00125802" w:rsidRDefault="00315BA6" w:rsidP="00315BA6">
            <w:pPr>
              <w:pStyle w:val="a4"/>
              <w:numPr>
                <w:ilvl w:val="0"/>
                <w:numId w:val="1"/>
              </w:numPr>
              <w:ind w:left="0" w:firstLine="360"/>
              <w:jc w:val="both"/>
              <w:rPr>
                <w:b/>
                <w:sz w:val="28"/>
                <w:szCs w:val="28"/>
                <w:lang w:val="ro-RO"/>
              </w:rPr>
            </w:pPr>
            <w:r w:rsidRPr="00125802">
              <w:rPr>
                <w:b/>
                <w:sz w:val="28"/>
                <w:szCs w:val="28"/>
                <w:lang w:val="ro-RO"/>
              </w:rPr>
              <w:t>Condițiile ce au impus elaborarea proiectului de act normativ și finalitățile urmărite</w:t>
            </w:r>
          </w:p>
        </w:tc>
      </w:tr>
      <w:tr w:rsidR="00315BA6" w:rsidTr="000465AF">
        <w:tc>
          <w:tcPr>
            <w:tcW w:w="9570" w:type="dxa"/>
          </w:tcPr>
          <w:p w:rsidR="00315BA6" w:rsidRDefault="00315BA6" w:rsidP="000465AF">
            <w:pPr>
              <w:ind w:firstLine="426"/>
              <w:jc w:val="both"/>
              <w:rPr>
                <w:color w:val="000000"/>
                <w:sz w:val="28"/>
                <w:szCs w:val="28"/>
              </w:rPr>
            </w:pPr>
            <w:r>
              <w:rPr>
                <w:sz w:val="28"/>
                <w:szCs w:val="28"/>
              </w:rPr>
              <w:t>La data de 01 aprilie 2019 a intrat în vigoare Codul administrativ</w:t>
            </w:r>
            <w:r w:rsidRPr="00892065">
              <w:rPr>
                <w:sz w:val="28"/>
                <w:szCs w:val="28"/>
              </w:rPr>
              <w:t xml:space="preserve">, </w:t>
            </w:r>
            <w:r>
              <w:rPr>
                <w:sz w:val="28"/>
                <w:szCs w:val="28"/>
              </w:rPr>
              <w:t xml:space="preserve">care reprezintă </w:t>
            </w:r>
            <w:r w:rsidRPr="00D7143C">
              <w:rPr>
                <w:sz w:val="28"/>
                <w:szCs w:val="28"/>
              </w:rPr>
              <w:t xml:space="preserve">cadrul juridic principal prin care se asigură </w:t>
            </w:r>
            <w:r w:rsidRPr="00D7143C">
              <w:rPr>
                <w:color w:val="000000"/>
                <w:sz w:val="28"/>
                <w:szCs w:val="28"/>
              </w:rPr>
              <w:t>reglementarea raporturilor administrative la înfăptuirea activității administrative și a controlului judecătoresc asupra acesteia</w:t>
            </w:r>
            <w:r>
              <w:rPr>
                <w:color w:val="000000"/>
                <w:sz w:val="28"/>
                <w:szCs w:val="28"/>
              </w:rPr>
              <w:t>.</w:t>
            </w:r>
          </w:p>
          <w:p w:rsidR="00315BA6" w:rsidRPr="00D7143C" w:rsidRDefault="00315BA6" w:rsidP="000465AF">
            <w:pPr>
              <w:ind w:firstLine="426"/>
              <w:jc w:val="both"/>
              <w:rPr>
                <w:sz w:val="28"/>
                <w:szCs w:val="28"/>
              </w:rPr>
            </w:pPr>
            <w:r>
              <w:rPr>
                <w:color w:val="000000"/>
                <w:sz w:val="28"/>
                <w:szCs w:val="28"/>
              </w:rPr>
              <w:t xml:space="preserve">Potrivit prevederilor art. 257 alin. (3) din Codul menţionat, actele normative în vigoare urmează a fi aduse în </w:t>
            </w:r>
            <w:r>
              <w:rPr>
                <w:rStyle w:val="docheader"/>
                <w:bCs/>
                <w:color w:val="000000" w:themeColor="text1"/>
                <w:sz w:val="28"/>
                <w:szCs w:val="28"/>
              </w:rPr>
              <w:t xml:space="preserve">concordanţă cu </w:t>
            </w:r>
            <w:r>
              <w:rPr>
                <w:color w:val="000000"/>
                <w:sz w:val="28"/>
                <w:szCs w:val="28"/>
              </w:rPr>
              <w:t xml:space="preserve">prezentul cod. </w:t>
            </w:r>
          </w:p>
          <w:p w:rsidR="00315BA6" w:rsidRDefault="00315BA6" w:rsidP="000465AF">
            <w:pPr>
              <w:ind w:firstLine="426"/>
              <w:jc w:val="both"/>
              <w:rPr>
                <w:sz w:val="28"/>
                <w:szCs w:val="28"/>
              </w:rPr>
            </w:pPr>
            <w:r>
              <w:rPr>
                <w:sz w:val="28"/>
              </w:rPr>
              <w:t xml:space="preserve">Astfel, </w:t>
            </w:r>
            <w:r>
              <w:rPr>
                <w:rStyle w:val="docheader"/>
                <w:bCs/>
                <w:color w:val="000000" w:themeColor="text1"/>
                <w:sz w:val="28"/>
                <w:szCs w:val="28"/>
              </w:rPr>
              <w:t>în scopul aplicării uniforme şi evitării unei interpretări eronate</w:t>
            </w:r>
            <w:r>
              <w:rPr>
                <w:sz w:val="28"/>
              </w:rPr>
              <w:t xml:space="preserve"> se impune necesitatea ajustării prevederilor </w:t>
            </w:r>
            <w:r>
              <w:rPr>
                <w:rStyle w:val="docheader"/>
                <w:bCs/>
                <w:color w:val="000000" w:themeColor="text1"/>
                <w:sz w:val="28"/>
                <w:szCs w:val="28"/>
              </w:rPr>
              <w:t>Legii</w:t>
            </w:r>
            <w:r w:rsidRPr="00D7143C">
              <w:rPr>
                <w:bCs/>
                <w:color w:val="000000"/>
                <w:sz w:val="28"/>
                <w:szCs w:val="28"/>
              </w:rPr>
              <w:t>privind funcţionarul public cu statut special din cadrul Ministerului Afacerilor Interne</w:t>
            </w:r>
            <w:r w:rsidRPr="00D7143C">
              <w:rPr>
                <w:rStyle w:val="docheader"/>
                <w:bCs/>
                <w:color w:val="000000" w:themeColor="text1"/>
                <w:sz w:val="28"/>
                <w:szCs w:val="28"/>
              </w:rPr>
              <w:t xml:space="preserve"> nr. 288/2016</w:t>
            </w:r>
            <w:r>
              <w:rPr>
                <w:rStyle w:val="docheader"/>
                <w:bCs/>
                <w:color w:val="000000" w:themeColor="text1"/>
                <w:sz w:val="28"/>
                <w:szCs w:val="28"/>
              </w:rPr>
              <w:t xml:space="preserve">, la normele legislaţiei administrative care reglementează procedura contestării actului administrativ. Or, </w:t>
            </w:r>
            <w:r>
              <w:rPr>
                <w:sz w:val="28"/>
                <w:szCs w:val="28"/>
              </w:rPr>
              <w:t>articolul</w:t>
            </w:r>
            <w:r w:rsidRPr="00D7143C">
              <w:rPr>
                <w:rStyle w:val="docheader"/>
                <w:bCs/>
                <w:color w:val="000000" w:themeColor="text1"/>
                <w:sz w:val="28"/>
                <w:szCs w:val="28"/>
              </w:rPr>
              <w:t xml:space="preserve">61 </w:t>
            </w:r>
            <w:r>
              <w:rPr>
                <w:rStyle w:val="docheader"/>
                <w:bCs/>
                <w:color w:val="000000" w:themeColor="text1"/>
                <w:sz w:val="28"/>
                <w:szCs w:val="28"/>
              </w:rPr>
              <w:t xml:space="preserve">alineatul (1) </w:t>
            </w:r>
            <w:r w:rsidRPr="00D7143C">
              <w:rPr>
                <w:rStyle w:val="docheader"/>
                <w:bCs/>
                <w:color w:val="000000" w:themeColor="text1"/>
                <w:sz w:val="28"/>
                <w:szCs w:val="28"/>
              </w:rPr>
              <w:t>din Legea</w:t>
            </w:r>
            <w:r>
              <w:rPr>
                <w:rStyle w:val="docheader"/>
                <w:bCs/>
                <w:color w:val="000000" w:themeColor="text1"/>
                <w:sz w:val="28"/>
                <w:szCs w:val="28"/>
              </w:rPr>
              <w:t xml:space="preserve">, poartă un caracter general </w:t>
            </w:r>
            <w:r>
              <w:rPr>
                <w:sz w:val="28"/>
                <w:szCs w:val="28"/>
              </w:rPr>
              <w:t xml:space="preserve">referindu-se la posibilitatea contestării actului administrativ conform  legislaţiei în vigoare, care conţine norme contradictorie. </w:t>
            </w:r>
          </w:p>
          <w:p w:rsidR="00315BA6" w:rsidRPr="003C06D5" w:rsidRDefault="00315BA6" w:rsidP="000465AF">
            <w:pPr>
              <w:jc w:val="both"/>
              <w:rPr>
                <w:i/>
                <w:sz w:val="28"/>
              </w:rPr>
            </w:pPr>
          </w:p>
        </w:tc>
      </w:tr>
      <w:tr w:rsidR="00315BA6" w:rsidTr="000465AF">
        <w:tc>
          <w:tcPr>
            <w:tcW w:w="9570" w:type="dxa"/>
          </w:tcPr>
          <w:p w:rsidR="00315BA6" w:rsidRPr="00125802" w:rsidRDefault="00315BA6" w:rsidP="00315BA6">
            <w:pPr>
              <w:pStyle w:val="a4"/>
              <w:numPr>
                <w:ilvl w:val="0"/>
                <w:numId w:val="1"/>
              </w:numPr>
              <w:jc w:val="both"/>
              <w:rPr>
                <w:b/>
                <w:sz w:val="28"/>
                <w:szCs w:val="28"/>
                <w:lang w:val="ro-RO"/>
              </w:rPr>
            </w:pPr>
            <w:r w:rsidRPr="00125802">
              <w:rPr>
                <w:b/>
                <w:sz w:val="28"/>
                <w:szCs w:val="28"/>
                <w:lang w:val="ro-RO"/>
              </w:rPr>
              <w:t>Principalele prevederi ale proiectului și evidențierea elementelor noi</w:t>
            </w:r>
          </w:p>
        </w:tc>
      </w:tr>
      <w:tr w:rsidR="00315BA6" w:rsidTr="000465AF">
        <w:tc>
          <w:tcPr>
            <w:tcW w:w="9570" w:type="dxa"/>
          </w:tcPr>
          <w:p w:rsidR="00315BA6" w:rsidRDefault="00315BA6" w:rsidP="000465AF">
            <w:pPr>
              <w:ind w:firstLine="567"/>
              <w:jc w:val="both"/>
              <w:rPr>
                <w:sz w:val="28"/>
                <w:szCs w:val="28"/>
              </w:rPr>
            </w:pPr>
            <w:r>
              <w:rPr>
                <w:sz w:val="28"/>
                <w:szCs w:val="28"/>
              </w:rPr>
              <w:t>Proiectul de lege pentru</w:t>
            </w:r>
            <w:r w:rsidRPr="004614B8">
              <w:rPr>
                <w:sz w:val="28"/>
                <w:szCs w:val="28"/>
              </w:rPr>
              <w:t xml:space="preserve"> modificarea articolului </w:t>
            </w:r>
            <w:r w:rsidRPr="00D7143C">
              <w:rPr>
                <w:rStyle w:val="docheader"/>
                <w:bCs/>
                <w:color w:val="000000" w:themeColor="text1"/>
                <w:sz w:val="28"/>
                <w:szCs w:val="28"/>
              </w:rPr>
              <w:t xml:space="preserve">61 din Legea </w:t>
            </w:r>
            <w:r w:rsidRPr="00D7143C">
              <w:rPr>
                <w:bCs/>
                <w:color w:val="000000"/>
                <w:sz w:val="28"/>
                <w:szCs w:val="28"/>
              </w:rPr>
              <w:t>privind funcţionarul public cu statut special din cadrul Ministerului Afacerilor Interne</w:t>
            </w:r>
            <w:r w:rsidRPr="00D7143C">
              <w:rPr>
                <w:rStyle w:val="docheader"/>
                <w:bCs/>
                <w:color w:val="000000" w:themeColor="text1"/>
                <w:sz w:val="28"/>
                <w:szCs w:val="28"/>
              </w:rPr>
              <w:t xml:space="preserve"> nr. 288/2016</w:t>
            </w:r>
            <w:r>
              <w:rPr>
                <w:rStyle w:val="docheader"/>
                <w:bCs/>
                <w:color w:val="000000" w:themeColor="text1"/>
                <w:sz w:val="28"/>
                <w:szCs w:val="28"/>
              </w:rPr>
              <w:t xml:space="preserve">, </w:t>
            </w:r>
            <w:r>
              <w:rPr>
                <w:sz w:val="28"/>
                <w:szCs w:val="28"/>
              </w:rPr>
              <w:t xml:space="preserve">stabilește calea contestării actului administrativ de sancţionare disciplinară direct în instanţa de contencios administrativ, fără respectarea procedurii prealabile. </w:t>
            </w:r>
          </w:p>
          <w:p w:rsidR="00315BA6" w:rsidRDefault="00315BA6" w:rsidP="000465AF">
            <w:pPr>
              <w:ind w:firstLine="567"/>
              <w:jc w:val="both"/>
              <w:rPr>
                <w:bCs/>
                <w:color w:val="000000"/>
                <w:sz w:val="28"/>
                <w:szCs w:val="28"/>
              </w:rPr>
            </w:pPr>
            <w:r>
              <w:rPr>
                <w:bCs/>
                <w:color w:val="000000"/>
                <w:sz w:val="28"/>
                <w:szCs w:val="28"/>
              </w:rPr>
              <w:t xml:space="preserve">Modificarea se propune reieșind din caracterul general al normei existente şi impactul negativ al procedurii prealabile asupra duratei soluţionării litigiului individual de muncă (cererea prealabilă se soluţionează de către autoritatea emitentă în termen de 15 zile, iar decizia definitivă cu privire la cererea prealabilă este luată de către autoritatea publică ierarhic superioare în termen de 30 zile, cu posibilitatea prelungirii acestui termen cu cel mult 15 zile), majorarea încasărilor din contul instituţiilor bugetare în cazul admiterii ulterioare a cererilor de chemare în judecată (prejudiciul materiale şi moral), precum şi asupra realizării dreptul absolut al angajatorului de a atrage </w:t>
            </w:r>
            <w:r w:rsidRPr="00D7143C">
              <w:rPr>
                <w:bCs/>
                <w:color w:val="000000"/>
                <w:sz w:val="28"/>
                <w:szCs w:val="28"/>
              </w:rPr>
              <w:t>funcţionarul public cu statut special</w:t>
            </w:r>
            <w:r>
              <w:rPr>
                <w:bCs/>
                <w:color w:val="000000"/>
                <w:sz w:val="28"/>
                <w:szCs w:val="28"/>
              </w:rPr>
              <w:t xml:space="preserve"> la răspundere disciplinară.</w:t>
            </w:r>
          </w:p>
          <w:p w:rsidR="00315BA6" w:rsidRPr="007807A6" w:rsidRDefault="00315BA6" w:rsidP="000465AF">
            <w:pPr>
              <w:ind w:firstLine="567"/>
              <w:jc w:val="both"/>
              <w:rPr>
                <w:sz w:val="28"/>
                <w:szCs w:val="28"/>
              </w:rPr>
            </w:pPr>
            <w:r>
              <w:rPr>
                <w:bCs/>
                <w:color w:val="000000"/>
                <w:sz w:val="28"/>
                <w:szCs w:val="28"/>
              </w:rPr>
              <w:t xml:space="preserve">Supunerea actului administrativ direct unui control judecătoresc va asigura realizarea dreptului reclamantului la soluţionarea justă şi rapidă a litigiului </w:t>
            </w:r>
            <w:r>
              <w:rPr>
                <w:bCs/>
                <w:color w:val="000000"/>
                <w:sz w:val="28"/>
                <w:szCs w:val="28"/>
              </w:rPr>
              <w:lastRenderedPageBreak/>
              <w:t>individual de muncă, precum şi va influinţa pozitiv asupra comportamentului juridic al părţilor, stimulînd  aceștia să acţioneze cu bună-credinţă şi în limita prevederilor legale.</w:t>
            </w:r>
          </w:p>
          <w:p w:rsidR="00315BA6" w:rsidRDefault="00315BA6" w:rsidP="000465AF">
            <w:pPr>
              <w:ind w:firstLine="567"/>
              <w:jc w:val="both"/>
              <w:rPr>
                <w:bCs/>
                <w:color w:val="000000"/>
                <w:sz w:val="28"/>
                <w:szCs w:val="28"/>
              </w:rPr>
            </w:pPr>
            <w:r>
              <w:rPr>
                <w:sz w:val="28"/>
                <w:szCs w:val="28"/>
              </w:rPr>
              <w:t xml:space="preserve">Modificare propusă corespunde prevederilor generale stabilite în art. 210 alin. (2) din Codul muncii şi art. 60 alin. (3) din Legea </w:t>
            </w:r>
            <w:r w:rsidRPr="00685A1B">
              <w:rPr>
                <w:bCs/>
                <w:color w:val="000000"/>
                <w:sz w:val="28"/>
                <w:szCs w:val="28"/>
              </w:rPr>
              <w:t>cu privire la funcţia publică şi statutul funcţionarului public</w:t>
            </w:r>
            <w:r>
              <w:rPr>
                <w:bCs/>
                <w:color w:val="000000"/>
                <w:sz w:val="28"/>
                <w:szCs w:val="28"/>
              </w:rPr>
              <w:t xml:space="preserve"> nr. 158/2008, conform cărora litigiile individuale de muncă cu participarea funcţionarilor publici şi a persoanelor cu statut special nu trebuie să fie condiţionate de efectuarea procedurii prealabile, la fel ca şi orice litigiu individual de muncă.</w:t>
            </w:r>
          </w:p>
          <w:p w:rsidR="00315BA6" w:rsidRPr="00607DA4" w:rsidRDefault="00315BA6" w:rsidP="000465AF">
            <w:pPr>
              <w:ind w:firstLine="567"/>
              <w:jc w:val="both"/>
              <w:rPr>
                <w:bCs/>
                <w:color w:val="000000"/>
                <w:sz w:val="28"/>
                <w:szCs w:val="28"/>
              </w:rPr>
            </w:pPr>
            <w:r>
              <w:rPr>
                <w:bCs/>
                <w:color w:val="000000"/>
                <w:sz w:val="28"/>
                <w:szCs w:val="28"/>
              </w:rPr>
              <w:t xml:space="preserve">La fel, </w:t>
            </w:r>
            <w:r>
              <w:rPr>
                <w:sz w:val="28"/>
                <w:szCs w:val="28"/>
              </w:rPr>
              <w:t xml:space="preserve">este în concordanţă cu Codul administrativ, care prevede posibilitatea adresării nemijlocite în instanţa de judecată în cazul în care legea specială conţine o astfel de prevedere (art. 163 lit. c) din Cod). </w:t>
            </w:r>
          </w:p>
          <w:p w:rsidR="00315BA6" w:rsidRPr="00FC7AED" w:rsidRDefault="00315BA6" w:rsidP="000465AF">
            <w:pPr>
              <w:ind w:firstLine="567"/>
              <w:jc w:val="both"/>
              <w:rPr>
                <w:sz w:val="28"/>
                <w:szCs w:val="28"/>
              </w:rPr>
            </w:pPr>
          </w:p>
        </w:tc>
      </w:tr>
      <w:tr w:rsidR="00315BA6" w:rsidTr="000465AF">
        <w:tc>
          <w:tcPr>
            <w:tcW w:w="9570" w:type="dxa"/>
          </w:tcPr>
          <w:p w:rsidR="00315BA6" w:rsidRPr="00125802" w:rsidRDefault="00315BA6" w:rsidP="00315BA6">
            <w:pPr>
              <w:pStyle w:val="a4"/>
              <w:numPr>
                <w:ilvl w:val="0"/>
                <w:numId w:val="1"/>
              </w:numPr>
              <w:jc w:val="both"/>
              <w:rPr>
                <w:b/>
                <w:sz w:val="28"/>
                <w:szCs w:val="28"/>
                <w:lang w:val="ro-RO"/>
              </w:rPr>
            </w:pPr>
            <w:r w:rsidRPr="00125802">
              <w:rPr>
                <w:b/>
                <w:sz w:val="28"/>
                <w:szCs w:val="28"/>
                <w:lang w:val="ro-RO"/>
              </w:rPr>
              <w:lastRenderedPageBreak/>
              <w:t>Fundamentarea economico-fina</w:t>
            </w:r>
            <w:r>
              <w:rPr>
                <w:b/>
                <w:sz w:val="28"/>
                <w:szCs w:val="28"/>
                <w:lang w:val="ro-RO"/>
              </w:rPr>
              <w:t>n</w:t>
            </w:r>
            <w:r w:rsidRPr="00125802">
              <w:rPr>
                <w:b/>
                <w:sz w:val="28"/>
                <w:szCs w:val="28"/>
                <w:lang w:val="ro-RO"/>
              </w:rPr>
              <w:t>ciară</w:t>
            </w:r>
          </w:p>
        </w:tc>
      </w:tr>
      <w:tr w:rsidR="00315BA6" w:rsidTr="000465AF">
        <w:tc>
          <w:tcPr>
            <w:tcW w:w="9570" w:type="dxa"/>
          </w:tcPr>
          <w:p w:rsidR="00315BA6" w:rsidRPr="00411CA6" w:rsidRDefault="00315BA6" w:rsidP="000465AF">
            <w:pPr>
              <w:pStyle w:val="cn"/>
              <w:tabs>
                <w:tab w:val="left" w:pos="270"/>
                <w:tab w:val="left" w:pos="420"/>
                <w:tab w:val="left" w:pos="709"/>
              </w:tabs>
              <w:ind w:firstLine="426"/>
              <w:jc w:val="both"/>
              <w:rPr>
                <w:sz w:val="28"/>
                <w:szCs w:val="28"/>
              </w:rPr>
            </w:pPr>
            <w:r w:rsidRPr="007F41BC">
              <w:rPr>
                <w:sz w:val="28"/>
                <w:szCs w:val="28"/>
              </w:rPr>
              <w:t xml:space="preserve">Implementarea </w:t>
            </w:r>
            <w:r>
              <w:rPr>
                <w:sz w:val="28"/>
                <w:szCs w:val="28"/>
              </w:rPr>
              <w:t xml:space="preserve">prevederilor </w:t>
            </w:r>
            <w:r w:rsidRPr="007F41BC">
              <w:rPr>
                <w:sz w:val="28"/>
                <w:szCs w:val="28"/>
              </w:rPr>
              <w:t>proiect</w:t>
            </w:r>
            <w:r>
              <w:rPr>
                <w:sz w:val="28"/>
                <w:szCs w:val="28"/>
              </w:rPr>
              <w:t>ului</w:t>
            </w:r>
            <w:r w:rsidRPr="007F41BC">
              <w:rPr>
                <w:sz w:val="28"/>
                <w:szCs w:val="28"/>
              </w:rPr>
              <w:t xml:space="preserve"> nu </w:t>
            </w:r>
            <w:r>
              <w:rPr>
                <w:sz w:val="28"/>
                <w:szCs w:val="28"/>
              </w:rPr>
              <w:t>necesită</w:t>
            </w:r>
            <w:r w:rsidRPr="007F41BC">
              <w:rPr>
                <w:sz w:val="28"/>
                <w:szCs w:val="28"/>
              </w:rPr>
              <w:t xml:space="preserve"> cheltuieli financiare suplimentare.</w:t>
            </w:r>
          </w:p>
        </w:tc>
      </w:tr>
      <w:tr w:rsidR="00315BA6" w:rsidTr="000465AF">
        <w:tc>
          <w:tcPr>
            <w:tcW w:w="9570" w:type="dxa"/>
          </w:tcPr>
          <w:p w:rsidR="00315BA6" w:rsidRPr="00125802" w:rsidRDefault="00315BA6" w:rsidP="00315BA6">
            <w:pPr>
              <w:pStyle w:val="a4"/>
              <w:numPr>
                <w:ilvl w:val="0"/>
                <w:numId w:val="1"/>
              </w:numPr>
              <w:jc w:val="both"/>
              <w:rPr>
                <w:b/>
                <w:sz w:val="28"/>
                <w:szCs w:val="28"/>
                <w:lang w:val="ro-RO"/>
              </w:rPr>
            </w:pPr>
            <w:r w:rsidRPr="00FD6A73">
              <w:rPr>
                <w:b/>
                <w:sz w:val="28"/>
                <w:szCs w:val="28"/>
                <w:lang w:val="ro-RO"/>
              </w:rPr>
              <w:t>Modul de încorporare a actului în cadrul normativ în vigoare</w:t>
            </w:r>
          </w:p>
        </w:tc>
      </w:tr>
      <w:tr w:rsidR="00315BA6" w:rsidTr="000465AF">
        <w:tc>
          <w:tcPr>
            <w:tcW w:w="9570" w:type="dxa"/>
          </w:tcPr>
          <w:p w:rsidR="00315BA6" w:rsidRPr="000C42CB" w:rsidRDefault="00315BA6" w:rsidP="000465AF">
            <w:pPr>
              <w:pStyle w:val="a4"/>
              <w:ind w:firstLine="426"/>
              <w:jc w:val="both"/>
              <w:rPr>
                <w:sz w:val="28"/>
                <w:szCs w:val="28"/>
                <w:lang w:val="ro-RO"/>
              </w:rPr>
            </w:pPr>
            <w:r>
              <w:rPr>
                <w:sz w:val="28"/>
                <w:szCs w:val="28"/>
                <w:lang w:val="ro-RO"/>
              </w:rPr>
              <w:t>Urmare aprobării proiectului de lege nu va fi necesară modificarea și completarea altor acte normative.</w:t>
            </w:r>
          </w:p>
        </w:tc>
      </w:tr>
      <w:tr w:rsidR="00315BA6" w:rsidTr="000465AF">
        <w:tc>
          <w:tcPr>
            <w:tcW w:w="9570" w:type="dxa"/>
          </w:tcPr>
          <w:p w:rsidR="00315BA6" w:rsidRPr="00125802" w:rsidRDefault="00315BA6" w:rsidP="00315BA6">
            <w:pPr>
              <w:pStyle w:val="a4"/>
              <w:numPr>
                <w:ilvl w:val="0"/>
                <w:numId w:val="1"/>
              </w:numPr>
              <w:jc w:val="both"/>
              <w:rPr>
                <w:b/>
                <w:sz w:val="28"/>
                <w:szCs w:val="28"/>
                <w:lang w:val="ro-RO"/>
              </w:rPr>
            </w:pPr>
            <w:r w:rsidRPr="00125802">
              <w:rPr>
                <w:b/>
                <w:sz w:val="28"/>
                <w:szCs w:val="28"/>
                <w:lang w:val="ro-RO"/>
              </w:rPr>
              <w:t>Avizarea și consultarea publică a proiectului</w:t>
            </w:r>
          </w:p>
        </w:tc>
      </w:tr>
      <w:tr w:rsidR="00315BA6" w:rsidTr="000465AF">
        <w:tc>
          <w:tcPr>
            <w:tcW w:w="9570" w:type="dxa"/>
          </w:tcPr>
          <w:p w:rsidR="00315BA6" w:rsidRDefault="00315BA6" w:rsidP="000465AF">
            <w:pPr>
              <w:pStyle w:val="a4"/>
              <w:ind w:firstLine="426"/>
              <w:jc w:val="both"/>
              <w:rPr>
                <w:sz w:val="28"/>
                <w:szCs w:val="28"/>
                <w:lang w:val="ro-RO"/>
              </w:rPr>
            </w:pPr>
            <w:r w:rsidRPr="000031D6">
              <w:rPr>
                <w:sz w:val="28"/>
                <w:szCs w:val="28"/>
                <w:lang w:val="ro-RO"/>
              </w:rPr>
              <w:t xml:space="preserve">În </w:t>
            </w:r>
            <w:r>
              <w:rPr>
                <w:sz w:val="28"/>
                <w:szCs w:val="28"/>
                <w:lang w:val="ro-RO"/>
              </w:rPr>
              <w:t>vederea</w:t>
            </w:r>
            <w:r w:rsidRPr="000031D6">
              <w:rPr>
                <w:sz w:val="28"/>
                <w:szCs w:val="28"/>
                <w:lang w:val="ro-RO"/>
              </w:rPr>
              <w:t xml:space="preserve"> respectării prevederilor Legii </w:t>
            </w:r>
            <w:r>
              <w:rPr>
                <w:sz w:val="28"/>
                <w:szCs w:val="28"/>
                <w:lang w:val="ro-RO"/>
              </w:rPr>
              <w:t>nr. 239/</w:t>
            </w:r>
            <w:r w:rsidRPr="000031D6">
              <w:rPr>
                <w:sz w:val="28"/>
                <w:szCs w:val="28"/>
                <w:lang w:val="ro-RO"/>
              </w:rPr>
              <w:t>2008 privind tran</w:t>
            </w:r>
            <w:r>
              <w:rPr>
                <w:sz w:val="28"/>
                <w:szCs w:val="28"/>
                <w:lang w:val="ro-RO"/>
              </w:rPr>
              <w:t>sparența în procesul decizional</w:t>
            </w:r>
            <w:r w:rsidRPr="000031D6">
              <w:rPr>
                <w:sz w:val="28"/>
                <w:szCs w:val="28"/>
                <w:lang w:val="ro-RO"/>
              </w:rPr>
              <w:t xml:space="preserve">, </w:t>
            </w:r>
            <w:r w:rsidRPr="009C50C2">
              <w:rPr>
                <w:sz w:val="28"/>
                <w:szCs w:val="28"/>
                <w:lang w:val="ro-RO"/>
              </w:rPr>
              <w:t>proiectul urmează să fie plasat pe pagina-web oficială a Ministerului Afacerilor Interne în rețeaua Internet</w:t>
            </w:r>
            <w:hyperlink r:id="rId6" w:history="1">
              <w:r w:rsidRPr="009C50C2">
                <w:rPr>
                  <w:rStyle w:val="a5"/>
                  <w:sz w:val="28"/>
                  <w:szCs w:val="28"/>
                  <w:lang w:val="ro-RO"/>
                </w:rPr>
                <w:t>www.mai.gov.md</w:t>
              </w:r>
            </w:hyperlink>
            <w:r w:rsidRPr="009C50C2">
              <w:rPr>
                <w:sz w:val="28"/>
                <w:szCs w:val="28"/>
                <w:u w:val="single"/>
                <w:lang w:val="ro-RO"/>
              </w:rPr>
              <w:t>,</w:t>
            </w:r>
            <w:r w:rsidRPr="009C50C2">
              <w:rPr>
                <w:sz w:val="28"/>
                <w:szCs w:val="28"/>
                <w:lang w:val="ro-RO"/>
              </w:rPr>
              <w:t xml:space="preserve">la compartimentul„Transparența”, secțiunea „Consultăripublice”, rubrica „Consultăripublice” și pe pagina-web </w:t>
            </w:r>
            <w:hyperlink r:id="rId7" w:history="1">
              <w:r w:rsidRPr="009C50C2">
                <w:rPr>
                  <w:rStyle w:val="a5"/>
                  <w:sz w:val="28"/>
                  <w:szCs w:val="28"/>
                  <w:lang w:val="ro-RO"/>
                </w:rPr>
                <w:t>www.particip.gov.md</w:t>
              </w:r>
            </w:hyperlink>
            <w:r w:rsidRPr="009C50C2">
              <w:rPr>
                <w:sz w:val="28"/>
                <w:szCs w:val="28"/>
                <w:lang w:val="ro-RO"/>
              </w:rPr>
              <w:t>.</w:t>
            </w:r>
          </w:p>
          <w:p w:rsidR="00315BA6" w:rsidRPr="000031D6" w:rsidRDefault="00315BA6" w:rsidP="000465AF">
            <w:pPr>
              <w:pStyle w:val="a4"/>
              <w:ind w:firstLine="567"/>
              <w:jc w:val="both"/>
              <w:rPr>
                <w:sz w:val="28"/>
                <w:szCs w:val="28"/>
                <w:lang w:val="ro-RO"/>
              </w:rPr>
            </w:pPr>
            <w:r>
              <w:rPr>
                <w:sz w:val="28"/>
                <w:szCs w:val="28"/>
                <w:lang w:val="ro-RO"/>
              </w:rPr>
              <w:t xml:space="preserve">În temeiul </w:t>
            </w:r>
            <w:r w:rsidRPr="0040124B">
              <w:rPr>
                <w:sz w:val="28"/>
                <w:szCs w:val="28"/>
                <w:lang w:val="ro-RO"/>
              </w:rPr>
              <w:t>art. 3</w:t>
            </w:r>
            <w:r>
              <w:rPr>
                <w:sz w:val="28"/>
                <w:szCs w:val="28"/>
                <w:lang w:val="ro-RO"/>
              </w:rPr>
              <w:t>2 și</w:t>
            </w:r>
            <w:r w:rsidRPr="0040124B">
              <w:rPr>
                <w:sz w:val="28"/>
                <w:szCs w:val="28"/>
                <w:lang w:val="ro-RO"/>
              </w:rPr>
              <w:t xml:space="preserve"> 3</w:t>
            </w:r>
            <w:r>
              <w:rPr>
                <w:sz w:val="28"/>
                <w:szCs w:val="28"/>
                <w:lang w:val="ro-RO"/>
              </w:rPr>
              <w:t>3 din Legea nr. 100/</w:t>
            </w:r>
            <w:r w:rsidRPr="0040124B">
              <w:rPr>
                <w:sz w:val="28"/>
                <w:szCs w:val="28"/>
                <w:lang w:val="ro-RO"/>
              </w:rPr>
              <w:t>2017 cu privire la actele normative</w:t>
            </w:r>
            <w:r>
              <w:rPr>
                <w:sz w:val="28"/>
                <w:szCs w:val="28"/>
                <w:lang w:val="ro-RO"/>
              </w:rPr>
              <w:t xml:space="preserve"> proiectul urmează să fie transmis spre avizare autorităților publice responsabile de implementarea prevederilor conținute în proiect, instituțiilor interesate, precum și reprezentanților societății civile.</w:t>
            </w:r>
          </w:p>
        </w:tc>
      </w:tr>
      <w:tr w:rsidR="00315BA6" w:rsidTr="000465AF">
        <w:tc>
          <w:tcPr>
            <w:tcW w:w="9570" w:type="dxa"/>
          </w:tcPr>
          <w:p w:rsidR="00315BA6" w:rsidRPr="00125802" w:rsidRDefault="00315BA6" w:rsidP="00315BA6">
            <w:pPr>
              <w:pStyle w:val="a4"/>
              <w:numPr>
                <w:ilvl w:val="0"/>
                <w:numId w:val="1"/>
              </w:numPr>
              <w:jc w:val="both"/>
              <w:rPr>
                <w:b/>
                <w:sz w:val="28"/>
                <w:szCs w:val="28"/>
                <w:lang w:val="ro-RO"/>
              </w:rPr>
            </w:pPr>
            <w:r w:rsidRPr="00125802">
              <w:rPr>
                <w:b/>
                <w:sz w:val="28"/>
                <w:szCs w:val="28"/>
                <w:lang w:val="ro-RO"/>
              </w:rPr>
              <w:t>Constatările expertizei anticorupție</w:t>
            </w:r>
          </w:p>
        </w:tc>
      </w:tr>
      <w:tr w:rsidR="00315BA6" w:rsidTr="000465AF">
        <w:tc>
          <w:tcPr>
            <w:tcW w:w="9570" w:type="dxa"/>
          </w:tcPr>
          <w:p w:rsidR="00315BA6" w:rsidRPr="00125802" w:rsidRDefault="00315BA6" w:rsidP="000465AF">
            <w:pPr>
              <w:pStyle w:val="a4"/>
              <w:ind w:firstLine="426"/>
              <w:jc w:val="both"/>
              <w:rPr>
                <w:b/>
                <w:sz w:val="28"/>
                <w:szCs w:val="28"/>
                <w:lang w:val="ro-RO"/>
              </w:rPr>
            </w:pPr>
            <w:r>
              <w:rPr>
                <w:sz w:val="28"/>
                <w:szCs w:val="28"/>
                <w:lang w:val="ro-RO"/>
              </w:rPr>
              <w:t xml:space="preserve">În temeiul </w:t>
            </w:r>
            <w:r w:rsidRPr="0040124B">
              <w:rPr>
                <w:sz w:val="28"/>
                <w:szCs w:val="28"/>
                <w:lang w:val="ro-RO"/>
              </w:rPr>
              <w:t xml:space="preserve">art. </w:t>
            </w:r>
            <w:r>
              <w:rPr>
                <w:sz w:val="28"/>
                <w:szCs w:val="28"/>
                <w:lang w:val="ro-RO"/>
              </w:rPr>
              <w:t>34 și 38 din Legea nr. 100/</w:t>
            </w:r>
            <w:r w:rsidRPr="0040124B">
              <w:rPr>
                <w:sz w:val="28"/>
                <w:szCs w:val="28"/>
                <w:lang w:val="ro-RO"/>
              </w:rPr>
              <w:t>2017 cu privire la actele normative</w:t>
            </w:r>
            <w:r>
              <w:rPr>
                <w:sz w:val="28"/>
                <w:szCs w:val="28"/>
                <w:lang w:val="ro-RO"/>
              </w:rPr>
              <w:t>proiectul urmează să fie expediat Centrului Național Anticorupție pentru a fi supus expertizei anticorupție.</w:t>
            </w:r>
          </w:p>
        </w:tc>
      </w:tr>
      <w:tr w:rsidR="00315BA6" w:rsidTr="000465AF">
        <w:tc>
          <w:tcPr>
            <w:tcW w:w="9570" w:type="dxa"/>
          </w:tcPr>
          <w:p w:rsidR="00315BA6" w:rsidRPr="00125802" w:rsidRDefault="00315BA6" w:rsidP="00315BA6">
            <w:pPr>
              <w:pStyle w:val="a4"/>
              <w:numPr>
                <w:ilvl w:val="0"/>
                <w:numId w:val="1"/>
              </w:numPr>
              <w:jc w:val="both"/>
              <w:rPr>
                <w:b/>
                <w:sz w:val="28"/>
                <w:szCs w:val="28"/>
                <w:lang w:val="ro-RO"/>
              </w:rPr>
            </w:pPr>
            <w:r w:rsidRPr="00125802">
              <w:rPr>
                <w:b/>
                <w:sz w:val="28"/>
                <w:szCs w:val="28"/>
                <w:lang w:val="ro-RO"/>
              </w:rPr>
              <w:t>Constatările expertizei juridice</w:t>
            </w:r>
          </w:p>
        </w:tc>
      </w:tr>
      <w:tr w:rsidR="00315BA6" w:rsidTr="000465AF">
        <w:tc>
          <w:tcPr>
            <w:tcW w:w="9570" w:type="dxa"/>
          </w:tcPr>
          <w:p w:rsidR="00315BA6" w:rsidRDefault="00315BA6" w:rsidP="000465AF">
            <w:pPr>
              <w:pStyle w:val="a4"/>
              <w:ind w:firstLine="426"/>
              <w:jc w:val="both"/>
              <w:rPr>
                <w:b/>
                <w:sz w:val="28"/>
                <w:szCs w:val="28"/>
                <w:lang w:val="ro-RO"/>
              </w:rPr>
            </w:pPr>
            <w:r>
              <w:rPr>
                <w:sz w:val="28"/>
                <w:szCs w:val="28"/>
                <w:lang w:val="ro-RO"/>
              </w:rPr>
              <w:t xml:space="preserve">În temeiul </w:t>
            </w:r>
            <w:r w:rsidRPr="0040124B">
              <w:rPr>
                <w:sz w:val="28"/>
                <w:szCs w:val="28"/>
                <w:lang w:val="ro-RO"/>
              </w:rPr>
              <w:t xml:space="preserve">art. </w:t>
            </w:r>
            <w:r>
              <w:rPr>
                <w:sz w:val="28"/>
                <w:szCs w:val="28"/>
                <w:lang w:val="ro-RO"/>
              </w:rPr>
              <w:t>34 și 38 din Legea nr. 100/</w:t>
            </w:r>
            <w:r w:rsidRPr="0040124B">
              <w:rPr>
                <w:sz w:val="28"/>
                <w:szCs w:val="28"/>
                <w:lang w:val="ro-RO"/>
              </w:rPr>
              <w:t>2017 cu privire la actele normative</w:t>
            </w:r>
            <w:r>
              <w:rPr>
                <w:sz w:val="28"/>
                <w:szCs w:val="28"/>
                <w:lang w:val="ro-RO"/>
              </w:rPr>
              <w:t>proiectul urmează să fie expediat Ministerului Justiției pentru a fi supus expertizei juridice.</w:t>
            </w:r>
          </w:p>
        </w:tc>
      </w:tr>
    </w:tbl>
    <w:p w:rsidR="00315BA6" w:rsidRDefault="00315BA6" w:rsidP="00315BA6">
      <w:pPr>
        <w:tabs>
          <w:tab w:val="left" w:pos="0"/>
        </w:tabs>
        <w:jc w:val="both"/>
        <w:rPr>
          <w:sz w:val="28"/>
          <w:szCs w:val="28"/>
        </w:rPr>
      </w:pPr>
    </w:p>
    <w:p w:rsidR="00315BA6" w:rsidRDefault="00315BA6" w:rsidP="00315BA6">
      <w:pPr>
        <w:tabs>
          <w:tab w:val="left" w:pos="0"/>
        </w:tabs>
        <w:jc w:val="both"/>
        <w:rPr>
          <w:sz w:val="28"/>
          <w:szCs w:val="28"/>
        </w:rPr>
      </w:pPr>
    </w:p>
    <w:p w:rsidR="00315BA6" w:rsidRPr="00903ABC" w:rsidRDefault="00315BA6" w:rsidP="00315BA6">
      <w:pPr>
        <w:tabs>
          <w:tab w:val="left" w:pos="0"/>
        </w:tabs>
        <w:jc w:val="both"/>
        <w:rPr>
          <w:b/>
          <w:sz w:val="28"/>
          <w:szCs w:val="28"/>
        </w:rPr>
      </w:pPr>
    </w:p>
    <w:p w:rsidR="00315BA6" w:rsidRPr="00CF6AE7" w:rsidRDefault="00315BA6" w:rsidP="00315BA6">
      <w:pPr>
        <w:tabs>
          <w:tab w:val="left" w:pos="0"/>
        </w:tabs>
        <w:ind w:firstLine="709"/>
        <w:jc w:val="both"/>
        <w:rPr>
          <w:rStyle w:val="docsign1"/>
          <w:b/>
          <w:color w:val="000000" w:themeColor="text1"/>
          <w:sz w:val="28"/>
          <w:szCs w:val="28"/>
        </w:rPr>
      </w:pPr>
      <w:r w:rsidRPr="00CF6AE7">
        <w:rPr>
          <w:rStyle w:val="docsign1"/>
          <w:b/>
          <w:color w:val="000000" w:themeColor="text1"/>
          <w:sz w:val="28"/>
          <w:szCs w:val="28"/>
        </w:rPr>
        <w:t xml:space="preserve">Viceprim-ministru, </w:t>
      </w:r>
    </w:p>
    <w:p w:rsidR="00315BA6" w:rsidRPr="00CF6AE7" w:rsidRDefault="00315BA6" w:rsidP="00315BA6">
      <w:pPr>
        <w:tabs>
          <w:tab w:val="left" w:pos="0"/>
        </w:tabs>
        <w:ind w:firstLine="709"/>
        <w:jc w:val="both"/>
        <w:rPr>
          <w:rStyle w:val="docsign1"/>
          <w:b/>
          <w:color w:val="000000" w:themeColor="text1"/>
          <w:sz w:val="28"/>
          <w:szCs w:val="28"/>
        </w:rPr>
      </w:pPr>
      <w:r w:rsidRPr="00CF6AE7">
        <w:rPr>
          <w:rStyle w:val="docsign1"/>
          <w:b/>
          <w:color w:val="000000" w:themeColor="text1"/>
          <w:sz w:val="28"/>
          <w:szCs w:val="28"/>
        </w:rPr>
        <w:t>Ministrul afacerilor interne</w:t>
      </w:r>
      <w:r w:rsidRPr="00CF6AE7">
        <w:rPr>
          <w:rStyle w:val="docsign1"/>
          <w:b/>
          <w:color w:val="000000" w:themeColor="text1"/>
          <w:sz w:val="28"/>
          <w:szCs w:val="28"/>
        </w:rPr>
        <w:tab/>
      </w:r>
      <w:r w:rsidRPr="00CF6AE7">
        <w:rPr>
          <w:rStyle w:val="docsign1"/>
          <w:b/>
          <w:color w:val="000000" w:themeColor="text1"/>
          <w:sz w:val="28"/>
          <w:szCs w:val="28"/>
        </w:rPr>
        <w:tab/>
      </w:r>
      <w:r w:rsidRPr="00CF6AE7">
        <w:rPr>
          <w:rStyle w:val="docsign1"/>
          <w:b/>
          <w:color w:val="000000" w:themeColor="text1"/>
          <w:sz w:val="28"/>
          <w:szCs w:val="28"/>
        </w:rPr>
        <w:tab/>
      </w:r>
      <w:r w:rsidRPr="00CF6AE7">
        <w:rPr>
          <w:rStyle w:val="docsign1"/>
          <w:b/>
          <w:color w:val="000000" w:themeColor="text1"/>
          <w:sz w:val="28"/>
          <w:szCs w:val="28"/>
        </w:rPr>
        <w:tab/>
        <w:t>Andrei Năstase</w:t>
      </w:r>
    </w:p>
    <w:p w:rsidR="00315BA6" w:rsidRPr="00CF6AE7" w:rsidRDefault="00315BA6" w:rsidP="00315BA6">
      <w:pPr>
        <w:tabs>
          <w:tab w:val="left" w:pos="0"/>
        </w:tabs>
        <w:jc w:val="both"/>
        <w:rPr>
          <w:b/>
          <w:sz w:val="28"/>
          <w:szCs w:val="32"/>
        </w:rPr>
      </w:pPr>
    </w:p>
    <w:p w:rsidR="00315BA6" w:rsidRPr="007F41BC" w:rsidRDefault="00315BA6" w:rsidP="00315BA6">
      <w:pPr>
        <w:jc w:val="both"/>
        <w:rPr>
          <w:sz w:val="28"/>
          <w:szCs w:val="28"/>
        </w:rPr>
      </w:pPr>
    </w:p>
    <w:p w:rsidR="00315BA6" w:rsidRDefault="00315BA6" w:rsidP="00315BA6">
      <w:pPr>
        <w:rPr>
          <w:b/>
          <w:color w:val="000000" w:themeColor="text1"/>
          <w:sz w:val="28"/>
          <w:szCs w:val="28"/>
        </w:rPr>
      </w:pPr>
    </w:p>
    <w:p w:rsidR="00315BA6" w:rsidRDefault="00315BA6"/>
    <w:sectPr w:rsidR="00315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A523E"/>
    <w:multiLevelType w:val="hybridMultilevel"/>
    <w:tmpl w:val="8048DD66"/>
    <w:lvl w:ilvl="0" w:tplc="327E7416">
      <w:start w:val="1"/>
      <w:numFmt w:val="decimal"/>
      <w:lvlText w:val="%1."/>
      <w:lvlJc w:val="left"/>
      <w:pPr>
        <w:ind w:left="720" w:hanging="360"/>
      </w:pPr>
      <w:rPr>
        <w:rFonts w:hint="default"/>
        <w:b/>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A6"/>
    <w:rsid w:val="00315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BA6"/>
    <w:pPr>
      <w:spacing w:after="0" w:line="240" w:lineRule="auto"/>
    </w:pPr>
    <w:rPr>
      <w:rFonts w:ascii="Times New Roman" w:eastAsia="Times New Roman" w:hAnsi="Times New Roman" w:cs="Times New Roman"/>
      <w:sz w:val="20"/>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sign1">
    <w:name w:val="doc_sign1"/>
    <w:basedOn w:val="a0"/>
    <w:rsid w:val="00315BA6"/>
  </w:style>
  <w:style w:type="character" w:customStyle="1" w:styleId="docheader">
    <w:name w:val="doc_header"/>
    <w:basedOn w:val="a0"/>
    <w:rsid w:val="00315BA6"/>
  </w:style>
  <w:style w:type="table" w:styleId="a3">
    <w:name w:val="Table Grid"/>
    <w:basedOn w:val="a1"/>
    <w:uiPriority w:val="59"/>
    <w:rsid w:val="00315BA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qFormat/>
    <w:rsid w:val="00315BA6"/>
    <w:pPr>
      <w:spacing w:after="0" w:line="240" w:lineRule="auto"/>
    </w:pPr>
    <w:rPr>
      <w:lang w:val="en-US"/>
    </w:rPr>
  </w:style>
  <w:style w:type="character" w:styleId="a5">
    <w:name w:val="Hyperlink"/>
    <w:basedOn w:val="a0"/>
    <w:uiPriority w:val="99"/>
    <w:unhideWhenUsed/>
    <w:rsid w:val="00315BA6"/>
    <w:rPr>
      <w:color w:val="0000FF"/>
      <w:u w:val="single"/>
    </w:rPr>
  </w:style>
  <w:style w:type="paragraph" w:customStyle="1" w:styleId="tt">
    <w:name w:val="tt"/>
    <w:basedOn w:val="a"/>
    <w:rsid w:val="00315BA6"/>
    <w:pPr>
      <w:jc w:val="center"/>
    </w:pPr>
    <w:rPr>
      <w:rFonts w:eastAsiaTheme="minorEastAsia"/>
      <w:b/>
      <w:bCs/>
      <w:sz w:val="24"/>
      <w:szCs w:val="24"/>
      <w:lang w:eastAsia="ro-RO"/>
    </w:rPr>
  </w:style>
  <w:style w:type="paragraph" w:customStyle="1" w:styleId="cn">
    <w:name w:val="cn"/>
    <w:basedOn w:val="a"/>
    <w:rsid w:val="00315BA6"/>
    <w:pPr>
      <w:jc w:val="center"/>
    </w:pPr>
    <w:rPr>
      <w:rFonts w:eastAsiaTheme="minorEastAsia"/>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BA6"/>
    <w:pPr>
      <w:spacing w:after="0" w:line="240" w:lineRule="auto"/>
    </w:pPr>
    <w:rPr>
      <w:rFonts w:ascii="Times New Roman" w:eastAsia="Times New Roman" w:hAnsi="Times New Roman" w:cs="Times New Roman"/>
      <w:sz w:val="20"/>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sign1">
    <w:name w:val="doc_sign1"/>
    <w:basedOn w:val="a0"/>
    <w:rsid w:val="00315BA6"/>
  </w:style>
  <w:style w:type="character" w:customStyle="1" w:styleId="docheader">
    <w:name w:val="doc_header"/>
    <w:basedOn w:val="a0"/>
    <w:rsid w:val="00315BA6"/>
  </w:style>
  <w:style w:type="table" w:styleId="a3">
    <w:name w:val="Table Grid"/>
    <w:basedOn w:val="a1"/>
    <w:uiPriority w:val="59"/>
    <w:rsid w:val="00315BA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qFormat/>
    <w:rsid w:val="00315BA6"/>
    <w:pPr>
      <w:spacing w:after="0" w:line="240" w:lineRule="auto"/>
    </w:pPr>
    <w:rPr>
      <w:lang w:val="en-US"/>
    </w:rPr>
  </w:style>
  <w:style w:type="character" w:styleId="a5">
    <w:name w:val="Hyperlink"/>
    <w:basedOn w:val="a0"/>
    <w:uiPriority w:val="99"/>
    <w:unhideWhenUsed/>
    <w:rsid w:val="00315BA6"/>
    <w:rPr>
      <w:color w:val="0000FF"/>
      <w:u w:val="single"/>
    </w:rPr>
  </w:style>
  <w:style w:type="paragraph" w:customStyle="1" w:styleId="tt">
    <w:name w:val="tt"/>
    <w:basedOn w:val="a"/>
    <w:rsid w:val="00315BA6"/>
    <w:pPr>
      <w:jc w:val="center"/>
    </w:pPr>
    <w:rPr>
      <w:rFonts w:eastAsiaTheme="minorEastAsia"/>
      <w:b/>
      <w:bCs/>
      <w:sz w:val="24"/>
      <w:szCs w:val="24"/>
      <w:lang w:eastAsia="ro-RO"/>
    </w:rPr>
  </w:style>
  <w:style w:type="paragraph" w:customStyle="1" w:styleId="cn">
    <w:name w:val="cn"/>
    <w:basedOn w:val="a"/>
    <w:rsid w:val="00315BA6"/>
    <w:pPr>
      <w:jc w:val="center"/>
    </w:pPr>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Galina</cp:lastModifiedBy>
  <cp:revision>1</cp:revision>
  <dcterms:created xsi:type="dcterms:W3CDTF">2019-07-11T14:03:00Z</dcterms:created>
  <dcterms:modified xsi:type="dcterms:W3CDTF">2019-07-11T14:03:00Z</dcterms:modified>
</cp:coreProperties>
</file>