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1C" w:rsidRPr="00953680" w:rsidRDefault="000D459B" w:rsidP="00953680">
      <w:pPr>
        <w:tabs>
          <w:tab w:val="left" w:pos="720"/>
          <w:tab w:val="left" w:pos="900"/>
        </w:tabs>
        <w:ind w:firstLine="540"/>
        <w:jc w:val="center"/>
        <w:rPr>
          <w:color w:val="000000" w:themeColor="text1"/>
          <w:sz w:val="28"/>
          <w:szCs w:val="28"/>
          <w:lang w:val="ro-MD"/>
        </w:rPr>
      </w:pPr>
      <w:r>
        <w:rPr>
          <w:b/>
          <w:sz w:val="28"/>
          <w:szCs w:val="28"/>
        </w:rPr>
        <w:t>NOT</w:t>
      </w:r>
      <w:r w:rsidR="001F4813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 xml:space="preserve"> INFORMATIVĂ</w:t>
      </w:r>
      <w:r w:rsidR="00FA431D">
        <w:rPr>
          <w:b/>
          <w:sz w:val="28"/>
          <w:szCs w:val="28"/>
        </w:rPr>
        <w:br/>
        <w:t>la</w:t>
      </w:r>
      <w:r w:rsidR="001F611C" w:rsidRPr="007F41BC">
        <w:rPr>
          <w:b/>
          <w:sz w:val="28"/>
          <w:szCs w:val="28"/>
        </w:rPr>
        <w:t xml:space="preserve"> proiectul </w:t>
      </w:r>
      <w:proofErr w:type="spellStart"/>
      <w:r w:rsidR="001F611C" w:rsidRPr="007F41BC">
        <w:rPr>
          <w:b/>
          <w:sz w:val="28"/>
          <w:szCs w:val="28"/>
        </w:rPr>
        <w:t>hotăr</w:t>
      </w:r>
      <w:r w:rsidR="002A6AB8">
        <w:rPr>
          <w:b/>
          <w:sz w:val="28"/>
          <w:szCs w:val="28"/>
        </w:rPr>
        <w:t>î</w:t>
      </w:r>
      <w:r w:rsidR="001F611C" w:rsidRPr="007F41BC">
        <w:rPr>
          <w:b/>
          <w:sz w:val="28"/>
          <w:szCs w:val="28"/>
        </w:rPr>
        <w:t>rii</w:t>
      </w:r>
      <w:proofErr w:type="spellEnd"/>
      <w:r w:rsidR="001F611C" w:rsidRPr="007F41BC">
        <w:rPr>
          <w:b/>
          <w:sz w:val="28"/>
          <w:szCs w:val="28"/>
        </w:rPr>
        <w:t xml:space="preserve"> Gu</w:t>
      </w:r>
      <w:r w:rsidR="008702F7">
        <w:rPr>
          <w:b/>
          <w:sz w:val="28"/>
          <w:szCs w:val="28"/>
        </w:rPr>
        <w:t xml:space="preserve">vernului </w:t>
      </w:r>
      <w:r w:rsidR="008900B7" w:rsidRPr="00B5514B">
        <w:rPr>
          <w:rFonts w:eastAsia="Calibri"/>
          <w:b/>
          <w:color w:val="000000"/>
          <w:sz w:val="28"/>
          <w:szCs w:val="28"/>
          <w:lang w:val="ro-MD"/>
        </w:rPr>
        <w:t xml:space="preserve">cu privire la </w:t>
      </w:r>
      <w:r w:rsidR="000B7682">
        <w:rPr>
          <w:rFonts w:eastAsia="Calibri"/>
          <w:b/>
          <w:color w:val="000000"/>
          <w:sz w:val="28"/>
          <w:szCs w:val="28"/>
          <w:lang w:val="ro-MD"/>
        </w:rPr>
        <w:t>aprobarea</w:t>
      </w:r>
      <w:r w:rsidR="008900B7" w:rsidRPr="00B5514B">
        <w:rPr>
          <w:rFonts w:eastAsia="Calibri"/>
          <w:b/>
          <w:color w:val="000000"/>
          <w:sz w:val="28"/>
          <w:szCs w:val="28"/>
          <w:lang w:val="ro-MD"/>
        </w:rPr>
        <w:t xml:space="preserve"> normelor de asigurare cu </w:t>
      </w:r>
      <w:r w:rsidR="000B7682">
        <w:rPr>
          <w:rFonts w:eastAsia="Calibri"/>
          <w:b/>
          <w:color w:val="000000"/>
          <w:sz w:val="28"/>
          <w:szCs w:val="28"/>
          <w:lang w:val="ro-MD"/>
        </w:rPr>
        <w:t>uniformă</w:t>
      </w:r>
      <w:r w:rsidR="008900B7" w:rsidRPr="00B5514B">
        <w:rPr>
          <w:rFonts w:eastAsia="Calibri"/>
          <w:b/>
          <w:color w:val="000000"/>
          <w:sz w:val="28"/>
          <w:szCs w:val="28"/>
          <w:lang w:val="ro-MD"/>
        </w:rPr>
        <w:t xml:space="preserve"> a polițiștilor de frontieră</w:t>
      </w:r>
      <w:r w:rsidR="008900B7" w:rsidRPr="00B5514B">
        <w:rPr>
          <w:color w:val="000000" w:themeColor="text1"/>
          <w:sz w:val="28"/>
          <w:szCs w:val="28"/>
          <w:lang w:val="ro-MD"/>
        </w:rPr>
        <w:t xml:space="preserve"> </w:t>
      </w:r>
    </w:p>
    <w:p w:rsidR="008229E0" w:rsidRPr="00953680" w:rsidRDefault="008229E0" w:rsidP="009C50C2">
      <w:pPr>
        <w:pStyle w:val="tt"/>
        <w:rPr>
          <w:color w:val="FF0000"/>
          <w:sz w:val="28"/>
          <w:szCs w:val="28"/>
          <w:lang w:val="ro-MD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286"/>
      </w:tblGrid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Denumirea autorului și, după </w:t>
            </w:r>
            <w:r w:rsidR="00125802"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caz</w:t>
            </w:r>
            <w:r w:rsidR="001D7D5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, a participanților la</w:t>
            </w: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elaborarea proiectului </w:t>
            </w:r>
          </w:p>
        </w:tc>
      </w:tr>
      <w:tr w:rsidR="00AF7A4E" w:rsidTr="00AF7A4E">
        <w:tc>
          <w:tcPr>
            <w:tcW w:w="9570" w:type="dxa"/>
          </w:tcPr>
          <w:p w:rsidR="00AF7A4E" w:rsidRPr="004614B8" w:rsidRDefault="00125802" w:rsidP="000B7682">
            <w:pPr>
              <w:pStyle w:val="Frspaiere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580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="004614B8" w:rsidRPr="004614B8">
              <w:rPr>
                <w:rFonts w:ascii="Times New Roman" w:hAnsi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="004614B8" w:rsidRPr="004614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</w:t>
            </w:r>
            <w:r w:rsidR="008900B7" w:rsidRPr="008900B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cu privire la </w:t>
            </w:r>
            <w:r w:rsidR="000B7682">
              <w:rPr>
                <w:rFonts w:ascii="Times New Roman" w:hAnsi="Times New Roman"/>
                <w:sz w:val="28"/>
                <w:szCs w:val="28"/>
                <w:lang w:val="ro-RO"/>
              </w:rPr>
              <w:t>aprobarea</w:t>
            </w:r>
            <w:r w:rsidR="008900B7" w:rsidRPr="008900B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normelor de asigurare cu </w:t>
            </w:r>
            <w:r w:rsidR="000B7682">
              <w:rPr>
                <w:rFonts w:ascii="Times New Roman" w:hAnsi="Times New Roman"/>
                <w:sz w:val="28"/>
                <w:szCs w:val="28"/>
                <w:lang w:val="ro-RO"/>
              </w:rPr>
              <w:t>uniformă</w:t>
            </w:r>
            <w:r w:rsidR="008900B7" w:rsidRPr="008900B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polițiștilor de frontieră</w:t>
            </w:r>
            <w:r w:rsidR="004614B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25802">
              <w:rPr>
                <w:rFonts w:ascii="Times New Roman" w:hAnsi="Times New Roman"/>
                <w:sz w:val="28"/>
                <w:szCs w:val="28"/>
                <w:lang w:val="ro-RO"/>
              </w:rPr>
              <w:t>a fost elaborat de către Ministerul Afacerilor Interne</w:t>
            </w:r>
            <w:r w:rsidR="008900B7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="004614B8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AF7A4E" w:rsidTr="00AF7A4E">
        <w:tc>
          <w:tcPr>
            <w:tcW w:w="9570" w:type="dxa"/>
          </w:tcPr>
          <w:p w:rsidR="008900B7" w:rsidRDefault="008900B7" w:rsidP="008900B7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Normele de asigurare cu echipament a polițiștilor de frontieră</w:t>
            </w:r>
            <w:r w:rsidRPr="00915C41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sunt </w:t>
            </w:r>
            <w:r w:rsidR="002637DC">
              <w:rPr>
                <w:rFonts w:eastAsia="Times New Roman"/>
                <w:sz w:val="28"/>
                <w:szCs w:val="28"/>
                <w:lang w:eastAsia="ru-RU"/>
              </w:rPr>
              <w:t>aprobate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prin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>Hotăr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î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>rea</w:t>
            </w:r>
            <w:proofErr w:type="spellEnd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 Guvernului nr.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434/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2012 cu privire la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Poliția de Frontieră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</w:p>
          <w:p w:rsidR="008900B7" w:rsidRDefault="008D46E9" w:rsidP="008900B7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Conform normelor aprobate</w:t>
            </w:r>
            <w:r w:rsidR="008900B7">
              <w:rPr>
                <w:rFonts w:eastAsia="Times New Roman"/>
                <w:sz w:val="28"/>
                <w:szCs w:val="28"/>
                <w:lang w:eastAsia="ru-RU"/>
              </w:rPr>
              <w:t xml:space="preserve"> polițiștii de frontieră sunt asigurați cu echipament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8900B7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900B7">
              <w:rPr>
                <w:rFonts w:eastAsia="Times New Roman"/>
                <w:sz w:val="28"/>
                <w:szCs w:val="28"/>
                <w:lang w:eastAsia="ru-RU"/>
              </w:rPr>
              <w:t>încep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î</w:t>
            </w:r>
            <w:r w:rsidR="008900B7">
              <w:rPr>
                <w:rFonts w:eastAsia="Times New Roman"/>
                <w:sz w:val="28"/>
                <w:szCs w:val="28"/>
                <w:lang w:eastAsia="ru-RU"/>
              </w:rPr>
              <w:t>nd</w:t>
            </w:r>
            <w:proofErr w:type="spellEnd"/>
            <w:r w:rsidR="008900B7">
              <w:rPr>
                <w:rFonts w:eastAsia="Times New Roman"/>
                <w:sz w:val="28"/>
                <w:szCs w:val="28"/>
                <w:lang w:eastAsia="ru-RU"/>
              </w:rPr>
              <w:t xml:space="preserve"> cu 01.06.2013 </w:t>
            </w:r>
            <w:proofErr w:type="spellStart"/>
            <w:r w:rsidR="008900B7">
              <w:rPr>
                <w:rFonts w:eastAsia="Times New Roman"/>
                <w:sz w:val="28"/>
                <w:szCs w:val="28"/>
                <w:lang w:eastAsia="ru-RU"/>
              </w:rPr>
              <w:t>p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î</w:t>
            </w:r>
            <w:r w:rsidR="008900B7">
              <w:rPr>
                <w:rFonts w:eastAsia="Times New Roman"/>
                <w:sz w:val="28"/>
                <w:szCs w:val="28"/>
                <w:lang w:eastAsia="ru-RU"/>
              </w:rPr>
              <w:t>nă</w:t>
            </w:r>
            <w:proofErr w:type="spellEnd"/>
            <w:r w:rsidR="008900B7">
              <w:rPr>
                <w:rFonts w:eastAsia="Times New Roman"/>
                <w:sz w:val="28"/>
                <w:szCs w:val="28"/>
                <w:lang w:eastAsia="ru-RU"/>
              </w:rPr>
              <w:t xml:space="preserve"> în prezent. Astfel, în procesul de asigurare și port al echipamentului s-a constatat că unele obiecte, datorită condițiilor, factorilor climaterici și de mediu în care se utilizează, se uzează înainte de termenul stabilit,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fiind necesară micșorarea termenului de utilizare, </w:t>
            </w:r>
            <w:r w:rsidR="008900B7">
              <w:rPr>
                <w:rFonts w:eastAsia="Times New Roman"/>
                <w:sz w:val="28"/>
                <w:szCs w:val="28"/>
                <w:lang w:eastAsia="ru-RU"/>
              </w:rPr>
              <w:t>iar pentru altele necesită a fi stabilit un termen de utilizare mai îndelungat.</w:t>
            </w:r>
          </w:p>
          <w:p w:rsidR="008900B7" w:rsidRDefault="008900B7" w:rsidP="008900B7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Prin urmare, în scopul asigurării polițiștilor de frontieră cu </w:t>
            </w:r>
            <w:r w:rsidR="002637DC">
              <w:rPr>
                <w:rFonts w:eastAsia="Times New Roman"/>
                <w:sz w:val="28"/>
                <w:szCs w:val="28"/>
                <w:lang w:eastAsia="ru-RU"/>
              </w:rPr>
              <w:t>uniformă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conform necesităților, considerăm oportună modificarea normelor</w:t>
            </w:r>
            <w:r w:rsidRPr="00A700E2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de asigurare cu </w:t>
            </w:r>
            <w:r w:rsidR="002637DC">
              <w:rPr>
                <w:rFonts w:eastAsia="Calibri"/>
                <w:color w:val="000000"/>
                <w:sz w:val="28"/>
                <w:szCs w:val="28"/>
              </w:rPr>
              <w:t>uniformă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a polițiștilor de frontieră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  <w:p w:rsidR="00A63458" w:rsidRPr="008900B7" w:rsidRDefault="008900B7" w:rsidP="008D46E9">
            <w:pPr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Totodată, reieșind din faptul că denumirea </w:t>
            </w:r>
            <w:proofErr w:type="spellStart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>Hotăr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î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>r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ii</w:t>
            </w:r>
            <w:proofErr w:type="spellEnd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 Guvernului nr.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434/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2012 cu privire la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Poliția de Frontieră nu mai reprezintă obiectul reglementării, datorită abrogării Anexelor nr. 1-5</w:t>
            </w:r>
            <w:r w:rsidRPr="006603BB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prin </w:t>
            </w:r>
            <w:proofErr w:type="spellStart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>Hotăr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î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>r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ile</w:t>
            </w:r>
            <w:proofErr w:type="spellEnd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 Guvernului nr.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1145/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>201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 și 1231/2018, iar punctul 3 al acesteia este în conflict cu articolul 15, alineatul (6), litera g¹) al Legii nr 98/2012 privind administrația publică centrală de specialitate (</w:t>
            </w:r>
            <w:r w:rsidRPr="00785422">
              <w:rPr>
                <w:rFonts w:eastAsia="Times New Roman"/>
                <w:i/>
                <w:sz w:val="28"/>
                <w:szCs w:val="28"/>
                <w:lang w:eastAsia="ru-RU"/>
              </w:rPr>
              <w:t>litera  g¹) introdusă prin Legea nr. 275/2016, în vigoare din 13.01.2017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 w:rsidR="008D46E9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se impune aprobarea unei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Hotăr</w:t>
            </w:r>
            <w:r w:rsidR="002E5BDA">
              <w:rPr>
                <w:rFonts w:eastAsia="Calibri"/>
                <w:color w:val="000000"/>
                <w:sz w:val="28"/>
                <w:szCs w:val="28"/>
              </w:rPr>
              <w:t>î</w:t>
            </w:r>
            <w:r>
              <w:rPr>
                <w:rFonts w:eastAsia="Calibri"/>
                <w:color w:val="000000"/>
                <w:sz w:val="28"/>
                <w:szCs w:val="28"/>
              </w:rPr>
              <w:t>ri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a</w:t>
            </w:r>
            <w:r w:rsidRPr="002B7ED9">
              <w:rPr>
                <w:rFonts w:eastAsia="Calibri"/>
                <w:color w:val="000000"/>
                <w:sz w:val="28"/>
                <w:szCs w:val="28"/>
              </w:rPr>
              <w:t xml:space="preserve"> Guvernului </w:t>
            </w:r>
            <w:r>
              <w:rPr>
                <w:rFonts w:eastAsia="Calibri"/>
                <w:color w:val="000000"/>
                <w:sz w:val="28"/>
                <w:szCs w:val="28"/>
              </w:rPr>
              <w:t>prin care</w:t>
            </w:r>
            <w:r w:rsidRPr="002B7ED9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8D46E9">
              <w:rPr>
                <w:rFonts w:eastAsia="Calibri"/>
                <w:color w:val="000000"/>
                <w:sz w:val="28"/>
                <w:szCs w:val="28"/>
              </w:rPr>
              <w:t xml:space="preserve">se 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vor </w:t>
            </w:r>
            <w:r w:rsidR="002637DC">
              <w:rPr>
                <w:rFonts w:eastAsia="Calibri"/>
                <w:color w:val="000000"/>
                <w:sz w:val="28"/>
                <w:szCs w:val="28"/>
              </w:rPr>
              <w:t>ap</w:t>
            </w:r>
            <w:r w:rsidR="008D46E9">
              <w:rPr>
                <w:rFonts w:eastAsia="Calibri"/>
                <w:color w:val="000000"/>
                <w:sz w:val="28"/>
                <w:szCs w:val="28"/>
              </w:rPr>
              <w:t>roba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normele de asigurare cu </w:t>
            </w:r>
            <w:r w:rsidR="002637DC">
              <w:rPr>
                <w:rFonts w:eastAsia="Calibri"/>
                <w:color w:val="000000"/>
                <w:sz w:val="28"/>
                <w:szCs w:val="28"/>
              </w:rPr>
              <w:t>uniformă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a polițiștilor de frontieră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și </w:t>
            </w:r>
            <w:r w:rsidR="008D46E9">
              <w:rPr>
                <w:rFonts w:eastAsia="Times New Roman"/>
                <w:sz w:val="28"/>
                <w:szCs w:val="28"/>
                <w:lang w:eastAsia="ru-RU"/>
              </w:rPr>
              <w:t xml:space="preserve">se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va </w:t>
            </w:r>
            <w:r w:rsidR="008D46E9">
              <w:rPr>
                <w:rFonts w:eastAsia="Times New Roman"/>
                <w:sz w:val="28"/>
                <w:szCs w:val="28"/>
                <w:lang w:eastAsia="ru-RU"/>
              </w:rPr>
              <w:t>abroga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>Hotăr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î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>r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ea</w:t>
            </w:r>
            <w:proofErr w:type="spellEnd"/>
            <w:r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 Guvernului nr.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434/</w:t>
            </w:r>
            <w:r w:rsidRPr="00055C8A">
              <w:rPr>
                <w:rFonts w:eastAsia="Times New Roman"/>
                <w:sz w:val="28"/>
                <w:szCs w:val="28"/>
                <w:lang w:eastAsia="ru-RU"/>
              </w:rPr>
              <w:t>2012</w:t>
            </w:r>
            <w:r w:rsidR="002E5BDA"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 cu privire la 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Poliția de Frontieră</w:t>
            </w:r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Principalele prevederi ale proiectului și evidențierea elementelor noi</w:t>
            </w:r>
          </w:p>
        </w:tc>
      </w:tr>
      <w:tr w:rsidR="00AF7A4E" w:rsidTr="00AF7A4E">
        <w:tc>
          <w:tcPr>
            <w:tcW w:w="9570" w:type="dxa"/>
          </w:tcPr>
          <w:p w:rsidR="00953680" w:rsidRPr="00953680" w:rsidRDefault="00953680" w:rsidP="00953680">
            <w:pPr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  <w:lang w:val="ro-MD"/>
              </w:rPr>
            </w:pPr>
            <w:r w:rsidRPr="00953680">
              <w:rPr>
                <w:color w:val="000000"/>
                <w:sz w:val="28"/>
                <w:szCs w:val="28"/>
                <w:lang w:val="ro-MD"/>
              </w:rPr>
              <w:t xml:space="preserve">Proiectul </w:t>
            </w:r>
            <w:r>
              <w:rPr>
                <w:color w:val="000000"/>
                <w:sz w:val="28"/>
                <w:szCs w:val="28"/>
                <w:lang w:val="ro-MD"/>
              </w:rPr>
              <w:t xml:space="preserve">prevede </w:t>
            </w:r>
            <w:r w:rsidR="002637DC">
              <w:rPr>
                <w:rFonts w:eastAsia="Calibri"/>
                <w:color w:val="000000"/>
                <w:sz w:val="28"/>
                <w:szCs w:val="28"/>
              </w:rPr>
              <w:t>aprobarea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normelor de asigurare cu </w:t>
            </w:r>
            <w:r w:rsidR="002637DC">
              <w:rPr>
                <w:rFonts w:eastAsia="Calibri"/>
                <w:color w:val="000000"/>
                <w:sz w:val="28"/>
                <w:szCs w:val="28"/>
              </w:rPr>
              <w:t>uniformă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a polițiștilor de frontieră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 xml:space="preserve"> și abrogarea </w:t>
            </w:r>
            <w:proofErr w:type="spellStart"/>
            <w:r w:rsidR="002E5BDA" w:rsidRPr="00055C8A">
              <w:rPr>
                <w:rFonts w:eastAsia="Times New Roman"/>
                <w:sz w:val="28"/>
                <w:szCs w:val="28"/>
                <w:lang w:eastAsia="ru-RU"/>
              </w:rPr>
              <w:t>Hotăr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î</w:t>
            </w:r>
            <w:r w:rsidR="002E5BDA" w:rsidRPr="00055C8A">
              <w:rPr>
                <w:rFonts w:eastAsia="Times New Roman"/>
                <w:sz w:val="28"/>
                <w:szCs w:val="28"/>
                <w:lang w:eastAsia="ru-RU"/>
              </w:rPr>
              <w:t>r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ii</w:t>
            </w:r>
            <w:proofErr w:type="spellEnd"/>
            <w:r w:rsidR="002E5BDA"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 Guvernului nr.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 xml:space="preserve"> 434/</w:t>
            </w:r>
            <w:r w:rsidR="002E5BDA" w:rsidRPr="00055C8A">
              <w:rPr>
                <w:rFonts w:eastAsia="Times New Roman"/>
                <w:sz w:val="28"/>
                <w:szCs w:val="28"/>
                <w:lang w:eastAsia="ru-RU"/>
              </w:rPr>
              <w:t xml:space="preserve">2012 cu privire la </w:t>
            </w:r>
            <w:r w:rsidR="002E5BDA">
              <w:rPr>
                <w:rFonts w:eastAsia="Times New Roman"/>
                <w:sz w:val="28"/>
                <w:szCs w:val="28"/>
                <w:lang w:eastAsia="ru-RU"/>
              </w:rPr>
              <w:t>Poliția de Frontieră</w:t>
            </w:r>
            <w:r w:rsidRPr="00953680">
              <w:rPr>
                <w:color w:val="000000" w:themeColor="text1"/>
                <w:sz w:val="28"/>
                <w:szCs w:val="28"/>
                <w:lang w:val="ro-MD"/>
              </w:rPr>
              <w:t>.</w:t>
            </w:r>
          </w:p>
          <w:p w:rsidR="002E5BDA" w:rsidRDefault="00953680" w:rsidP="00953680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o-MD"/>
              </w:rPr>
            </w:pPr>
            <w:r w:rsidRPr="00953680">
              <w:rPr>
                <w:color w:val="000000"/>
                <w:sz w:val="28"/>
                <w:szCs w:val="28"/>
                <w:lang w:val="ro-MD"/>
              </w:rPr>
              <w:t xml:space="preserve">Astfel, </w:t>
            </w:r>
            <w:r w:rsidR="002E5BDA">
              <w:rPr>
                <w:color w:val="000000"/>
                <w:sz w:val="28"/>
                <w:szCs w:val="28"/>
                <w:lang w:val="ro-MD"/>
              </w:rPr>
              <w:t>se propun</w:t>
            </w:r>
            <w:r w:rsidR="006A2EEB">
              <w:rPr>
                <w:color w:val="000000"/>
                <w:sz w:val="28"/>
                <w:szCs w:val="28"/>
                <w:lang w:val="ro-MD"/>
              </w:rPr>
              <w:t>e</w:t>
            </w:r>
            <w:r w:rsidR="002E5BDA">
              <w:rPr>
                <w:color w:val="000000"/>
                <w:sz w:val="28"/>
                <w:szCs w:val="28"/>
                <w:lang w:val="ro-MD"/>
              </w:rPr>
              <w:t xml:space="preserve"> a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aproba</w:t>
            </w:r>
            <w:r w:rsidR="002E5BDA">
              <w:rPr>
                <w:color w:val="000000"/>
                <w:sz w:val="28"/>
                <w:szCs w:val="28"/>
                <w:lang w:val="ro-MD"/>
              </w:rPr>
              <w:t xml:space="preserve"> următoarele norme de asigurare cu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="002E5BDA">
              <w:rPr>
                <w:color w:val="000000"/>
                <w:sz w:val="28"/>
                <w:szCs w:val="28"/>
                <w:lang w:val="ro-MD"/>
              </w:rPr>
              <w:t xml:space="preserve"> a polițiștilor de frontieră:</w:t>
            </w:r>
          </w:p>
          <w:p w:rsidR="00B15D7F" w:rsidRPr="00B15D7F" w:rsidRDefault="002E5BDA" w:rsidP="00B15D7F">
            <w:pPr>
              <w:pStyle w:val="Listparagraf"/>
              <w:numPr>
                <w:ilvl w:val="0"/>
                <w:numId w:val="4"/>
              </w:numPr>
              <w:tabs>
                <w:tab w:val="left" w:pos="1110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2E5BDA">
              <w:rPr>
                <w:color w:val="000000"/>
                <w:sz w:val="28"/>
                <w:szCs w:val="28"/>
                <w:lang w:val="ro-MD"/>
              </w:rPr>
              <w:t xml:space="preserve">norma nr. 1 de asigurare cu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Pr="002E5BDA">
              <w:rPr>
                <w:color w:val="000000"/>
                <w:sz w:val="28"/>
                <w:szCs w:val="28"/>
                <w:lang w:val="ro-MD"/>
              </w:rPr>
              <w:t xml:space="preserve"> a polițiștilor</w:t>
            </w:r>
            <w:r w:rsidR="008D46E9">
              <w:rPr>
                <w:color w:val="000000"/>
                <w:sz w:val="28"/>
                <w:szCs w:val="28"/>
                <w:lang w:val="ro-MD"/>
              </w:rPr>
              <w:t xml:space="preserve"> de frontieră care dețin grade</w:t>
            </w:r>
            <w:r w:rsidRPr="002E5BDA">
              <w:rPr>
                <w:color w:val="000000"/>
                <w:sz w:val="28"/>
                <w:szCs w:val="28"/>
                <w:lang w:val="ro-MD"/>
              </w:rPr>
              <w:t xml:space="preserve"> speciale de chestor aferente corpului de ofițeri</w:t>
            </w:r>
            <w:r w:rsidR="009D5740">
              <w:rPr>
                <w:color w:val="000000"/>
                <w:sz w:val="28"/>
                <w:szCs w:val="28"/>
                <w:lang w:val="ro-MD"/>
              </w:rPr>
              <w:t>;</w:t>
            </w:r>
          </w:p>
          <w:p w:rsidR="00B15D7F" w:rsidRPr="00B15D7F" w:rsidRDefault="009D5740" w:rsidP="00B15D7F">
            <w:pPr>
              <w:pStyle w:val="Listparagraf"/>
              <w:numPr>
                <w:ilvl w:val="0"/>
                <w:numId w:val="4"/>
              </w:numPr>
              <w:tabs>
                <w:tab w:val="left" w:pos="1110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B15D7F">
              <w:rPr>
                <w:color w:val="000000"/>
                <w:sz w:val="28"/>
                <w:szCs w:val="28"/>
                <w:lang w:val="ro-MD"/>
              </w:rPr>
              <w:t xml:space="preserve">norma nr. 2 de asigurare cu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="002637DC" w:rsidRPr="002E5BDA">
              <w:rPr>
                <w:color w:val="000000"/>
                <w:sz w:val="28"/>
                <w:szCs w:val="28"/>
                <w:lang w:val="ro-MD"/>
              </w:rPr>
              <w:t xml:space="preserve"> </w:t>
            </w:r>
            <w:r w:rsidRPr="00B15D7F">
              <w:rPr>
                <w:color w:val="000000"/>
                <w:sz w:val="28"/>
                <w:szCs w:val="28"/>
                <w:lang w:val="ro-MD"/>
              </w:rPr>
              <w:t>a polițiștilor de frontieră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>;</w:t>
            </w:r>
          </w:p>
          <w:p w:rsidR="00B15D7F" w:rsidRPr="00B15D7F" w:rsidRDefault="00B15D7F" w:rsidP="00B15D7F">
            <w:pPr>
              <w:pStyle w:val="Listparagraf"/>
              <w:numPr>
                <w:ilvl w:val="0"/>
                <w:numId w:val="4"/>
              </w:numPr>
              <w:tabs>
                <w:tab w:val="left" w:pos="1110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B15D7F">
              <w:rPr>
                <w:color w:val="000000"/>
                <w:sz w:val="28"/>
                <w:szCs w:val="28"/>
                <w:lang w:val="ro-MD"/>
              </w:rPr>
              <w:t>norma nr. 3</w:t>
            </w:r>
            <w:r>
              <w:t xml:space="preserve"> </w:t>
            </w:r>
            <w:r w:rsidRPr="00B15D7F">
              <w:rPr>
                <w:color w:val="000000"/>
                <w:sz w:val="28"/>
                <w:szCs w:val="28"/>
                <w:lang w:val="ro-MD"/>
              </w:rPr>
              <w:t xml:space="preserve">de asigurare cu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="002637DC" w:rsidRPr="002E5BDA">
              <w:rPr>
                <w:color w:val="000000"/>
                <w:sz w:val="28"/>
                <w:szCs w:val="28"/>
                <w:lang w:val="ro-MD"/>
              </w:rPr>
              <w:t xml:space="preserve"> </w:t>
            </w:r>
            <w:r w:rsidRPr="00B15D7F">
              <w:rPr>
                <w:color w:val="000000"/>
                <w:sz w:val="28"/>
                <w:szCs w:val="28"/>
                <w:lang w:val="ro-MD"/>
              </w:rPr>
              <w:t xml:space="preserve">a elevilor din instituțiile de </w:t>
            </w:r>
            <w:proofErr w:type="spellStart"/>
            <w:r w:rsidRPr="00B15D7F">
              <w:rPr>
                <w:color w:val="000000"/>
                <w:sz w:val="28"/>
                <w:szCs w:val="28"/>
                <w:lang w:val="ro-MD"/>
              </w:rPr>
              <w:t>învățămînt</w:t>
            </w:r>
            <w:proofErr w:type="spellEnd"/>
            <w:r w:rsidRPr="00B15D7F">
              <w:rPr>
                <w:color w:val="000000"/>
                <w:sz w:val="28"/>
                <w:szCs w:val="28"/>
                <w:lang w:val="ro-MD"/>
              </w:rPr>
              <w:t xml:space="preserve"> din subordinea Inspectoratului General al Poliției de Frontieră</w:t>
            </w:r>
            <w:r>
              <w:rPr>
                <w:color w:val="000000"/>
                <w:sz w:val="28"/>
                <w:szCs w:val="28"/>
                <w:lang w:val="ro-MD"/>
              </w:rPr>
              <w:t>;</w:t>
            </w:r>
          </w:p>
          <w:p w:rsidR="00B15D7F" w:rsidRPr="00B15D7F" w:rsidRDefault="00B15D7F" w:rsidP="00B15D7F">
            <w:pPr>
              <w:pStyle w:val="Listparagraf"/>
              <w:numPr>
                <w:ilvl w:val="0"/>
                <w:numId w:val="4"/>
              </w:numPr>
              <w:tabs>
                <w:tab w:val="left" w:pos="1110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B15D7F">
              <w:rPr>
                <w:color w:val="000000"/>
                <w:sz w:val="28"/>
                <w:szCs w:val="28"/>
                <w:lang w:val="ro-MD"/>
              </w:rPr>
              <w:t xml:space="preserve">norma nr. 4 </w:t>
            </w:r>
            <w:r w:rsidRPr="00B15D7F">
              <w:rPr>
                <w:bCs/>
                <w:sz w:val="28"/>
                <w:szCs w:val="28"/>
                <w:lang w:val="ro-MD"/>
              </w:rPr>
              <w:t xml:space="preserve">de asigurare cu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="002637DC" w:rsidRPr="002E5BDA">
              <w:rPr>
                <w:color w:val="000000"/>
                <w:sz w:val="28"/>
                <w:szCs w:val="28"/>
                <w:lang w:val="ro-MD"/>
              </w:rPr>
              <w:t xml:space="preserve"> </w:t>
            </w:r>
            <w:r w:rsidRPr="00B15D7F">
              <w:rPr>
                <w:bCs/>
                <w:sz w:val="28"/>
                <w:szCs w:val="28"/>
                <w:lang w:val="ro-MD"/>
              </w:rPr>
              <w:t xml:space="preserve">a absolvenților </w:t>
            </w:r>
            <w:r w:rsidRPr="00B15D7F">
              <w:rPr>
                <w:sz w:val="28"/>
                <w:szCs w:val="28"/>
                <w:lang w:val="ro-MD"/>
              </w:rPr>
              <w:t xml:space="preserve">Academiei „Ștefan cel Mare” a Ministerului Afacerilor Interne, </w:t>
            </w:r>
            <w:r w:rsidRPr="00B15D7F">
              <w:rPr>
                <w:rFonts w:eastAsia="Calibri"/>
                <w:sz w:val="28"/>
                <w:szCs w:val="28"/>
                <w:lang w:val="ro-MD"/>
              </w:rPr>
              <w:t xml:space="preserve">specialitatea ,,Securitatea </w:t>
            </w:r>
            <w:r w:rsidRPr="00B15D7F">
              <w:rPr>
                <w:rFonts w:eastAsia="Calibri"/>
                <w:sz w:val="28"/>
                <w:szCs w:val="28"/>
                <w:lang w:val="ro-MD"/>
              </w:rPr>
              <w:lastRenderedPageBreak/>
              <w:t>frontierei”</w:t>
            </w:r>
            <w:r w:rsidRPr="00B15D7F">
              <w:rPr>
                <w:bCs/>
                <w:sz w:val="28"/>
                <w:szCs w:val="28"/>
                <w:lang w:val="ro-MD"/>
              </w:rPr>
              <w:t>;</w:t>
            </w:r>
          </w:p>
          <w:p w:rsidR="004C75F6" w:rsidRPr="00B15D7F" w:rsidRDefault="00B15D7F" w:rsidP="00B15D7F">
            <w:pPr>
              <w:pStyle w:val="Listparagraf"/>
              <w:numPr>
                <w:ilvl w:val="0"/>
                <w:numId w:val="4"/>
              </w:numPr>
              <w:tabs>
                <w:tab w:val="left" w:pos="1110"/>
              </w:tabs>
              <w:ind w:left="0" w:firstLine="709"/>
              <w:jc w:val="both"/>
              <w:rPr>
                <w:color w:val="000000"/>
                <w:sz w:val="28"/>
                <w:szCs w:val="28"/>
              </w:rPr>
            </w:pPr>
            <w:r w:rsidRPr="00B15D7F">
              <w:rPr>
                <w:color w:val="000000"/>
                <w:sz w:val="28"/>
                <w:szCs w:val="28"/>
                <w:lang w:val="ro-MD"/>
              </w:rPr>
              <w:t>norma nr. 5 de asigurare suplimenta</w:t>
            </w:r>
            <w:r>
              <w:rPr>
                <w:color w:val="000000"/>
                <w:sz w:val="28"/>
                <w:szCs w:val="28"/>
                <w:lang w:val="ro-MD"/>
              </w:rPr>
              <w:t xml:space="preserve">ră cu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="002637DC" w:rsidRPr="002E5BDA">
              <w:rPr>
                <w:color w:val="000000"/>
                <w:sz w:val="28"/>
                <w:szCs w:val="28"/>
                <w:lang w:val="ro-MD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o-MD"/>
              </w:rPr>
              <w:t xml:space="preserve">a personalului </w:t>
            </w:r>
            <w:r w:rsidRPr="00B15D7F">
              <w:rPr>
                <w:color w:val="000000"/>
                <w:sz w:val="28"/>
                <w:szCs w:val="28"/>
                <w:lang w:val="ro-MD"/>
              </w:rPr>
              <w:t>Fanfarei Poliției de Frontieră</w:t>
            </w:r>
            <w:r>
              <w:rPr>
                <w:color w:val="000000"/>
                <w:sz w:val="28"/>
                <w:szCs w:val="28"/>
                <w:lang w:val="ro-MD"/>
              </w:rPr>
              <w:t>.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Fundamentarea </w:t>
            </w:r>
            <w:proofErr w:type="spellStart"/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-fina</w:t>
            </w:r>
            <w:r w:rsidR="001C7181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</w:t>
            </w: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ciară</w:t>
            </w:r>
          </w:p>
        </w:tc>
      </w:tr>
      <w:tr w:rsidR="00AF7A4E" w:rsidTr="00AF7A4E">
        <w:tc>
          <w:tcPr>
            <w:tcW w:w="9570" w:type="dxa"/>
          </w:tcPr>
          <w:p w:rsidR="00990257" w:rsidRDefault="008D46E9" w:rsidP="00990257">
            <w:pPr>
              <w:pStyle w:val="cn"/>
              <w:tabs>
                <w:tab w:val="left" w:pos="270"/>
                <w:tab w:val="left" w:pos="420"/>
                <w:tab w:val="left" w:pos="709"/>
              </w:tabs>
              <w:ind w:firstLine="709"/>
              <w:jc w:val="both"/>
              <w:rPr>
                <w:color w:val="000000"/>
                <w:sz w:val="28"/>
                <w:szCs w:val="28"/>
                <w:lang w:val="ro-MD"/>
              </w:rPr>
            </w:pPr>
            <w:r>
              <w:rPr>
                <w:color w:val="000000"/>
                <w:sz w:val="28"/>
                <w:szCs w:val="28"/>
                <w:lang w:val="ro-MD"/>
              </w:rPr>
              <w:t>Actualmente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suma necesară pentru procurarea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uniformei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în decurs de un an pentru un </w:t>
            </w:r>
            <w:r w:rsidR="00B15D7F">
              <w:rPr>
                <w:color w:val="000000"/>
                <w:sz w:val="28"/>
                <w:szCs w:val="28"/>
                <w:lang w:val="ro-MD"/>
              </w:rPr>
              <w:t>polițist de frontieră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constituie 8</w:t>
            </w:r>
            <w:r w:rsidR="00B15D7F">
              <w:rPr>
                <w:color w:val="000000"/>
                <w:sz w:val="28"/>
                <w:szCs w:val="28"/>
                <w:lang w:val="ro-MD"/>
              </w:rPr>
              <w:t xml:space="preserve"> 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>478,91 lei, iar dup</w:t>
            </w:r>
            <w:r w:rsidR="00B15D7F" w:rsidRPr="00B15D7F">
              <w:rPr>
                <w:color w:val="000000"/>
                <w:sz w:val="28"/>
                <w:szCs w:val="28"/>
              </w:rPr>
              <w:t xml:space="preserve">ă operarea modificărilor </w:t>
            </w:r>
            <w:r w:rsidR="00B15D7F">
              <w:rPr>
                <w:color w:val="000000"/>
                <w:sz w:val="28"/>
                <w:szCs w:val="28"/>
              </w:rPr>
              <w:t xml:space="preserve">aceasta </w:t>
            </w:r>
            <w:r w:rsidR="00B15D7F" w:rsidRPr="00B15D7F">
              <w:rPr>
                <w:color w:val="000000"/>
                <w:sz w:val="28"/>
                <w:szCs w:val="28"/>
              </w:rPr>
              <w:t>se va majora cu 69,4</w:t>
            </w:r>
            <w:r w:rsidR="00B15D7F">
              <w:rPr>
                <w:color w:val="000000"/>
                <w:sz w:val="28"/>
                <w:szCs w:val="28"/>
              </w:rPr>
              <w:t>5</w:t>
            </w:r>
            <w:r w:rsidR="00B15D7F">
              <w:rPr>
                <w:color w:val="000000"/>
                <w:sz w:val="28"/>
                <w:szCs w:val="28"/>
                <w:lang w:val="ro-MD"/>
              </w:rPr>
              <w:t xml:space="preserve"> lei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și va constitui 8</w:t>
            </w:r>
            <w:r w:rsidR="00B15D7F">
              <w:rPr>
                <w:color w:val="000000"/>
                <w:sz w:val="28"/>
                <w:szCs w:val="28"/>
                <w:lang w:val="ro-MD"/>
              </w:rPr>
              <w:t xml:space="preserve"> 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>548,3</w:t>
            </w:r>
            <w:r w:rsidR="00B15D7F">
              <w:rPr>
                <w:color w:val="000000"/>
                <w:sz w:val="28"/>
                <w:szCs w:val="28"/>
                <w:lang w:val="ro-MD"/>
              </w:rPr>
              <w:t>6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lei anual. Această majorare se datorează faptului că au fost adăugate un șir de obiecte de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="00B15D7F">
              <w:rPr>
                <w:color w:val="000000"/>
                <w:sz w:val="28"/>
                <w:szCs w:val="28"/>
                <w:lang w:val="ro-MD"/>
              </w:rPr>
              <w:t xml:space="preserve"> noi</w:t>
            </w:r>
            <w:r>
              <w:rPr>
                <w:color w:val="000000"/>
                <w:sz w:val="28"/>
                <w:szCs w:val="28"/>
                <w:lang w:val="ro-MD"/>
              </w:rPr>
              <w:t>,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care sunt absolut necesare pentru echiparea corespunzătoare a polițiștilor de frontieră.</w:t>
            </w:r>
            <w:r w:rsidR="00B15D7F" w:rsidRPr="00B15D7F">
              <w:rPr>
                <w:color w:val="000000"/>
                <w:sz w:val="28"/>
                <w:szCs w:val="28"/>
              </w:rPr>
              <w:t xml:space="preserve"> </w:t>
            </w:r>
            <w:r w:rsidR="00990257">
              <w:rPr>
                <w:color w:val="000000"/>
                <w:sz w:val="28"/>
                <w:szCs w:val="28"/>
                <w:lang w:val="ro-MD"/>
              </w:rPr>
              <w:t>Totodată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, o parte din cheltuielile pentru procurarea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uniformei</w:t>
            </w:r>
            <w:r>
              <w:rPr>
                <w:color w:val="000000"/>
                <w:sz w:val="28"/>
                <w:szCs w:val="28"/>
                <w:lang w:val="ro-MD"/>
              </w:rPr>
              <w:t>,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la care termenul de port se micșorează</w:t>
            </w:r>
            <w:r>
              <w:rPr>
                <w:color w:val="000000"/>
                <w:sz w:val="28"/>
                <w:szCs w:val="28"/>
                <w:lang w:val="ro-MD"/>
              </w:rPr>
              <w:t>,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vor fi acoperite din economiile ce se vor </w:t>
            </w:r>
            <w:r>
              <w:rPr>
                <w:color w:val="000000"/>
                <w:sz w:val="28"/>
                <w:szCs w:val="28"/>
                <w:lang w:val="ro-MD"/>
              </w:rPr>
              <w:t>efectua,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 urmare a măririi termenului de port pentru alte obiecte de </w:t>
            </w:r>
            <w:r w:rsidR="002637DC">
              <w:rPr>
                <w:color w:val="000000"/>
                <w:sz w:val="28"/>
                <w:szCs w:val="28"/>
                <w:lang w:val="ro-MD"/>
              </w:rPr>
              <w:t>uniformă</w:t>
            </w:r>
            <w:r w:rsidR="00B15D7F" w:rsidRPr="00B15D7F">
              <w:rPr>
                <w:color w:val="000000"/>
                <w:sz w:val="28"/>
                <w:szCs w:val="28"/>
                <w:lang w:val="ro-MD"/>
              </w:rPr>
              <w:t xml:space="preserve">. </w:t>
            </w:r>
          </w:p>
          <w:p w:rsidR="00AF7A4E" w:rsidRPr="00B15D7F" w:rsidRDefault="00AD38B6" w:rsidP="00AD38B6">
            <w:pPr>
              <w:pStyle w:val="cn"/>
              <w:tabs>
                <w:tab w:val="left" w:pos="270"/>
                <w:tab w:val="left" w:pos="420"/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o-MD"/>
              </w:rPr>
              <w:t>I</w:t>
            </w:r>
            <w:r w:rsidRPr="00B15D7F">
              <w:rPr>
                <w:color w:val="000000" w:themeColor="text1"/>
                <w:sz w:val="28"/>
                <w:szCs w:val="28"/>
                <w:lang w:val="ro-MD"/>
              </w:rPr>
              <w:t xml:space="preserve">mplementarea </w:t>
            </w:r>
            <w:r w:rsidR="00990257">
              <w:rPr>
                <w:color w:val="000000" w:themeColor="text1"/>
                <w:sz w:val="28"/>
                <w:szCs w:val="28"/>
                <w:lang w:val="ro-MD"/>
              </w:rPr>
              <w:t xml:space="preserve">prevederilor noului act normativ </w:t>
            </w:r>
            <w:r w:rsidR="00B15D7F" w:rsidRPr="00B15D7F">
              <w:rPr>
                <w:color w:val="000000" w:themeColor="text1"/>
                <w:sz w:val="28"/>
                <w:szCs w:val="28"/>
                <w:lang w:val="ro-MD"/>
              </w:rPr>
              <w:t xml:space="preserve">se va </w:t>
            </w:r>
            <w:r w:rsidR="00990257">
              <w:rPr>
                <w:color w:val="000000" w:themeColor="text1"/>
                <w:sz w:val="28"/>
                <w:szCs w:val="28"/>
                <w:lang w:val="ro-MD"/>
              </w:rPr>
              <w:t>asigura</w:t>
            </w:r>
            <w:r w:rsidR="00B15D7F" w:rsidRPr="00B15D7F">
              <w:rPr>
                <w:color w:val="000000" w:themeColor="text1"/>
                <w:sz w:val="28"/>
                <w:szCs w:val="28"/>
                <w:lang w:val="ro-MD"/>
              </w:rPr>
              <w:t xml:space="preserve"> din contul și în limitele mijloacelor alocate Poliției de Frontieră de la bugetul de stat.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FD6A73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AF7A4E" w:rsidTr="00AF7A4E">
        <w:tc>
          <w:tcPr>
            <w:tcW w:w="9570" w:type="dxa"/>
          </w:tcPr>
          <w:p w:rsidR="00AF7A4E" w:rsidRPr="000C42CB" w:rsidRDefault="000C42CB" w:rsidP="009C50C2">
            <w:pPr>
              <w:pStyle w:val="Frspaiere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Urmare aprobării proiectului de lege nu va fi necesară modificarea și</w:t>
            </w:r>
            <w:r w:rsidR="00B15D7F">
              <w:rPr>
                <w:rFonts w:ascii="Times New Roman" w:hAnsi="Times New Roman"/>
                <w:sz w:val="28"/>
                <w:szCs w:val="28"/>
                <w:lang w:val="ro-RO"/>
              </w:rPr>
              <w:t>/sau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completarea altor acte normative.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AF7A4E" w:rsidTr="00AF7A4E">
        <w:tc>
          <w:tcPr>
            <w:tcW w:w="9570" w:type="dxa"/>
          </w:tcPr>
          <w:p w:rsidR="00AF7A4E" w:rsidRDefault="000031D6" w:rsidP="009C50C2">
            <w:pPr>
              <w:pStyle w:val="Frspaiere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</w:t>
            </w:r>
            <w:r w:rsidR="000C42CB">
              <w:rPr>
                <w:rFonts w:ascii="Times New Roman" w:hAnsi="Times New Roman"/>
                <w:sz w:val="28"/>
                <w:szCs w:val="28"/>
                <w:lang w:val="ro-RO"/>
              </w:rPr>
              <w:t>vederea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respectării prevederilor </w:t>
            </w:r>
            <w:r w:rsidR="00FA431D"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Legii </w:t>
            </w:r>
            <w:r w:rsidR="000C42CB">
              <w:rPr>
                <w:rFonts w:ascii="Times New Roman" w:hAnsi="Times New Roman"/>
                <w:sz w:val="28"/>
                <w:szCs w:val="28"/>
                <w:lang w:val="ro-RO"/>
              </w:rPr>
              <w:t>nr. 239/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>2008 privind tran</w:t>
            </w:r>
            <w:r w:rsidR="000C42CB">
              <w:rPr>
                <w:rFonts w:ascii="Times New Roman" w:hAnsi="Times New Roman"/>
                <w:sz w:val="28"/>
                <w:szCs w:val="28"/>
                <w:lang w:val="ro-RO"/>
              </w:rPr>
              <w:t>sparența în procesul decizional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384C5E">
              <w:rPr>
                <w:rFonts w:ascii="Times New Roman" w:hAnsi="Times New Roman"/>
                <w:sz w:val="28"/>
                <w:szCs w:val="28"/>
                <w:lang w:val="ro-RO"/>
              </w:rPr>
              <w:t>s-a</w:t>
            </w:r>
            <w:r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plasat pe pagina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  <w:r w:rsidRPr="009C50C2">
              <w:rPr>
                <w:rFonts w:ascii="Times New Roman" w:hAnsi="Times New Roman"/>
                <w:sz w:val="28"/>
                <w:szCs w:val="28"/>
                <w:lang w:val="ro-RO"/>
              </w:rPr>
              <w:t>web oficială a Ministerului Afacerilor Interne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rețeaua Internet</w:t>
            </w:r>
            <w:r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hyperlink r:id="rId5" w:history="1">
              <w:r w:rsidRPr="009C50C2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www.mai.gov.md</w:t>
              </w:r>
            </w:hyperlink>
            <w:r w:rsidR="00844680" w:rsidRPr="009C50C2">
              <w:rPr>
                <w:rFonts w:ascii="Times New Roman" w:hAnsi="Times New Roman"/>
                <w:sz w:val="28"/>
                <w:szCs w:val="28"/>
                <w:u w:val="single"/>
                <w:lang w:val="ro-RO"/>
              </w:rPr>
              <w:t>,</w:t>
            </w:r>
            <w:r w:rsidR="00844680"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la 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compartimentul</w:t>
            </w:r>
            <w:r w:rsidR="00844680"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„</w:t>
            </w:r>
            <w:r w:rsidR="00844680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Transparența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”</w:t>
            </w:r>
            <w:r w:rsidR="00844680"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secțiunea 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„</w:t>
            </w:r>
            <w:r w:rsidR="00844680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Consultări</w:t>
            </w:r>
            <w:r w:rsidR="00844680" w:rsidRPr="009C50C2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</w:t>
            </w:r>
            <w:r w:rsidR="00844680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publice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”, rubrica „Consultări</w:t>
            </w:r>
            <w:r w:rsidR="000C42CB" w:rsidRPr="009C50C2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 </w:t>
            </w:r>
            <w:r w:rsidR="000C42CB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publice”</w:t>
            </w:r>
            <w:r w:rsidR="00844680"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pe </w:t>
            </w:r>
            <w:r w:rsidR="008A0888" w:rsidRPr="009C50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pagina-web </w:t>
            </w:r>
            <w:hyperlink r:id="rId6" w:history="1">
              <w:r w:rsidR="008A0888" w:rsidRPr="009C50C2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="009C50C2" w:rsidRPr="009C50C2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9C50C2" w:rsidRPr="000031D6" w:rsidRDefault="009C50C2" w:rsidP="00384C5E">
            <w:pPr>
              <w:pStyle w:val="Frspaiere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temeiul </w:t>
            </w:r>
            <w:r w:rsidRPr="0040124B">
              <w:rPr>
                <w:rFonts w:ascii="Times New Roman" w:hAnsi="Times New Roman"/>
                <w:sz w:val="28"/>
                <w:szCs w:val="28"/>
                <w:lang w:val="ro-RO"/>
              </w:rPr>
              <w:t>art. 3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2 și</w:t>
            </w:r>
            <w:r w:rsidRPr="0040124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3 din Legea nr. 100/</w:t>
            </w:r>
            <w:r w:rsidRPr="0040124B">
              <w:rPr>
                <w:rFonts w:ascii="Times New Roman" w:hAnsi="Times New Roman"/>
                <w:sz w:val="28"/>
                <w:szCs w:val="28"/>
                <w:lang w:val="ro-RO"/>
              </w:rPr>
              <w:t>2017 cu privire la actele normative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384C5E">
              <w:rPr>
                <w:rFonts w:ascii="Times New Roman" w:hAnsi="Times New Roman"/>
                <w:sz w:val="28"/>
                <w:szCs w:val="28"/>
                <w:lang w:val="ro-RO"/>
              </w:rPr>
              <w:t>s-a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transmis spre avizare </w:t>
            </w:r>
            <w:r w:rsidR="009C2476">
              <w:rPr>
                <w:rFonts w:ascii="Times New Roman" w:hAnsi="Times New Roman"/>
                <w:sz w:val="28"/>
                <w:szCs w:val="28"/>
                <w:lang w:val="ro-RO"/>
              </w:rPr>
              <w:t>Ministerului Finanțelor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anticorupție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9C50C2" w:rsidP="00384C5E">
            <w:pPr>
              <w:pStyle w:val="Frspaiere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temeiul </w:t>
            </w:r>
            <w:r w:rsidRPr="0040124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art. </w:t>
            </w:r>
            <w:r w:rsidR="002637D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34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și 38 din Legea nr. 100/</w:t>
            </w:r>
            <w:r w:rsidRPr="0040124B">
              <w:rPr>
                <w:rFonts w:ascii="Times New Roman" w:hAnsi="Times New Roman"/>
                <w:sz w:val="28"/>
                <w:szCs w:val="28"/>
                <w:lang w:val="ro-RO"/>
              </w:rPr>
              <w:t>2017 cu privire la actele normative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384C5E">
              <w:rPr>
                <w:rFonts w:ascii="Times New Roman" w:hAnsi="Times New Roman"/>
                <w:sz w:val="28"/>
                <w:szCs w:val="28"/>
                <w:lang w:val="ro-RO"/>
              </w:rPr>
              <w:t>s-a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expediat Centrului Național Anticorupție</w:t>
            </w:r>
            <w:r w:rsidR="008D46E9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pentru a fi supus expertizei anticorupție.</w:t>
            </w:r>
          </w:p>
        </w:tc>
      </w:tr>
      <w:tr w:rsidR="00AF7A4E" w:rsidTr="00AF7A4E">
        <w:tc>
          <w:tcPr>
            <w:tcW w:w="9570" w:type="dxa"/>
          </w:tcPr>
          <w:p w:rsidR="00AF7A4E" w:rsidRPr="00125802" w:rsidRDefault="00AF7A4E" w:rsidP="009C50C2">
            <w:pPr>
              <w:pStyle w:val="Frspaiere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12580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AF7A4E" w:rsidTr="00AF7A4E">
        <w:tc>
          <w:tcPr>
            <w:tcW w:w="9570" w:type="dxa"/>
          </w:tcPr>
          <w:p w:rsidR="00AF7A4E" w:rsidRDefault="009C50C2" w:rsidP="00384C5E">
            <w:pPr>
              <w:pStyle w:val="Frspaiere"/>
              <w:ind w:firstLine="426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temeiul </w:t>
            </w:r>
            <w:r w:rsidRPr="0040124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art. </w:t>
            </w:r>
            <w:r w:rsidR="002637DC">
              <w:rPr>
                <w:rFonts w:ascii="Times New Roman" w:hAnsi="Times New Roman"/>
                <w:sz w:val="28"/>
                <w:szCs w:val="28"/>
                <w:lang w:val="ro-RO"/>
              </w:rPr>
              <w:t>34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38 din Legea nr. 100/</w:t>
            </w:r>
            <w:r w:rsidRPr="0040124B">
              <w:rPr>
                <w:rFonts w:ascii="Times New Roman" w:hAnsi="Times New Roman"/>
                <w:sz w:val="28"/>
                <w:szCs w:val="28"/>
                <w:lang w:val="ro-RO"/>
              </w:rPr>
              <w:t>2017 cu privire la actele normative</w:t>
            </w:r>
            <w:r w:rsidRPr="000031D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384C5E">
              <w:rPr>
                <w:rFonts w:ascii="Times New Roman" w:hAnsi="Times New Roman"/>
                <w:sz w:val="28"/>
                <w:szCs w:val="28"/>
                <w:lang w:val="ro-RO"/>
              </w:rPr>
              <w:t>s-a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expediat </w:t>
            </w:r>
            <w:r w:rsidR="00D77C7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Ministerului </w:t>
            </w:r>
            <w:r w:rsidR="00B15D7F">
              <w:rPr>
                <w:rFonts w:ascii="Times New Roman" w:hAnsi="Times New Roman"/>
                <w:sz w:val="28"/>
                <w:szCs w:val="28"/>
                <w:lang w:val="ro-RO"/>
              </w:rPr>
              <w:t>Justiției</w:t>
            </w:r>
            <w:r w:rsidR="008D46E9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pentru a fi supus expertizei </w:t>
            </w:r>
            <w:r w:rsidR="00D77C70">
              <w:rPr>
                <w:rFonts w:ascii="Times New Roman" w:hAnsi="Times New Roman"/>
                <w:sz w:val="28"/>
                <w:szCs w:val="28"/>
                <w:lang w:val="ro-RO"/>
              </w:rPr>
              <w:t>juridice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</w:tbl>
    <w:p w:rsidR="00725332" w:rsidRDefault="00725332" w:rsidP="009C50C2">
      <w:pPr>
        <w:tabs>
          <w:tab w:val="left" w:pos="0"/>
        </w:tabs>
        <w:jc w:val="both"/>
        <w:rPr>
          <w:sz w:val="28"/>
          <w:szCs w:val="28"/>
        </w:rPr>
      </w:pPr>
    </w:p>
    <w:p w:rsidR="00725332" w:rsidRDefault="00725332" w:rsidP="009C50C2">
      <w:pPr>
        <w:tabs>
          <w:tab w:val="left" w:pos="0"/>
        </w:tabs>
        <w:jc w:val="both"/>
        <w:rPr>
          <w:sz w:val="28"/>
          <w:szCs w:val="28"/>
        </w:rPr>
      </w:pPr>
    </w:p>
    <w:p w:rsidR="00725332" w:rsidRDefault="00725332" w:rsidP="009C50C2">
      <w:pPr>
        <w:tabs>
          <w:tab w:val="left" w:pos="0"/>
        </w:tabs>
        <w:jc w:val="both"/>
        <w:rPr>
          <w:sz w:val="28"/>
          <w:szCs w:val="28"/>
        </w:rPr>
      </w:pPr>
    </w:p>
    <w:p w:rsidR="002637DC" w:rsidRPr="002637DC" w:rsidRDefault="002637DC" w:rsidP="002637DC">
      <w:pPr>
        <w:tabs>
          <w:tab w:val="left" w:pos="0"/>
        </w:tabs>
        <w:jc w:val="both"/>
        <w:rPr>
          <w:rStyle w:val="docsign1"/>
          <w:b/>
          <w:color w:val="000000" w:themeColor="text1"/>
          <w:sz w:val="28"/>
          <w:szCs w:val="28"/>
        </w:rPr>
      </w:pPr>
      <w:r w:rsidRPr="002637DC">
        <w:rPr>
          <w:rStyle w:val="docsign1"/>
          <w:b/>
          <w:color w:val="000000" w:themeColor="text1"/>
          <w:sz w:val="28"/>
          <w:szCs w:val="28"/>
        </w:rPr>
        <w:t xml:space="preserve">Viceprim-ministru, </w:t>
      </w:r>
      <w:bookmarkStart w:id="0" w:name="_GoBack"/>
      <w:bookmarkEnd w:id="0"/>
    </w:p>
    <w:p w:rsidR="002637DC" w:rsidRPr="002637DC" w:rsidRDefault="002637DC" w:rsidP="002637DC">
      <w:pPr>
        <w:tabs>
          <w:tab w:val="left" w:pos="0"/>
        </w:tabs>
        <w:jc w:val="both"/>
        <w:rPr>
          <w:rStyle w:val="docsign1"/>
          <w:b/>
          <w:color w:val="000000" w:themeColor="text1"/>
          <w:sz w:val="28"/>
          <w:szCs w:val="28"/>
        </w:rPr>
      </w:pPr>
      <w:r w:rsidRPr="002637DC">
        <w:rPr>
          <w:rStyle w:val="docsign1"/>
          <w:b/>
          <w:color w:val="000000" w:themeColor="text1"/>
          <w:sz w:val="28"/>
          <w:szCs w:val="28"/>
        </w:rPr>
        <w:t>Ministru</w:t>
      </w:r>
      <w:r w:rsidR="00A76F1A">
        <w:rPr>
          <w:rStyle w:val="docsign1"/>
          <w:b/>
          <w:color w:val="000000" w:themeColor="text1"/>
          <w:sz w:val="28"/>
          <w:szCs w:val="28"/>
        </w:rPr>
        <w:t xml:space="preserve"> a</w:t>
      </w:r>
      <w:r w:rsidRPr="002637DC">
        <w:rPr>
          <w:rStyle w:val="docsign1"/>
          <w:b/>
          <w:color w:val="000000" w:themeColor="text1"/>
          <w:sz w:val="28"/>
          <w:szCs w:val="28"/>
        </w:rPr>
        <w:t>l afacerilor interne</w:t>
      </w:r>
      <w:r w:rsidRPr="002637DC">
        <w:rPr>
          <w:rStyle w:val="docsign1"/>
          <w:b/>
          <w:color w:val="000000" w:themeColor="text1"/>
          <w:sz w:val="28"/>
          <w:szCs w:val="28"/>
        </w:rPr>
        <w:tab/>
      </w:r>
      <w:r w:rsidRPr="002637DC">
        <w:rPr>
          <w:rStyle w:val="docsign1"/>
          <w:b/>
          <w:color w:val="000000" w:themeColor="text1"/>
          <w:sz w:val="28"/>
          <w:szCs w:val="28"/>
        </w:rPr>
        <w:tab/>
      </w:r>
      <w:r w:rsidRPr="002637DC">
        <w:rPr>
          <w:rStyle w:val="docsign1"/>
          <w:b/>
          <w:color w:val="000000" w:themeColor="text1"/>
          <w:sz w:val="28"/>
          <w:szCs w:val="28"/>
        </w:rPr>
        <w:tab/>
      </w:r>
      <w:r w:rsidRPr="002637DC">
        <w:rPr>
          <w:rStyle w:val="docsign1"/>
          <w:b/>
          <w:color w:val="000000" w:themeColor="text1"/>
          <w:sz w:val="28"/>
          <w:szCs w:val="28"/>
        </w:rPr>
        <w:tab/>
      </w:r>
      <w:r w:rsidRPr="002637DC">
        <w:rPr>
          <w:rStyle w:val="docsign1"/>
          <w:b/>
          <w:color w:val="000000" w:themeColor="text1"/>
          <w:sz w:val="28"/>
          <w:szCs w:val="28"/>
        </w:rPr>
        <w:tab/>
        <w:t>Andrei NĂSTASE</w:t>
      </w:r>
    </w:p>
    <w:p w:rsidR="001F611C" w:rsidRPr="007F41BC" w:rsidRDefault="001F611C" w:rsidP="009C50C2">
      <w:pPr>
        <w:jc w:val="both"/>
        <w:rPr>
          <w:sz w:val="28"/>
          <w:szCs w:val="28"/>
        </w:rPr>
      </w:pPr>
    </w:p>
    <w:p w:rsidR="001F611C" w:rsidRPr="007F41BC" w:rsidRDefault="001F611C" w:rsidP="009C50C2">
      <w:pPr>
        <w:jc w:val="both"/>
        <w:rPr>
          <w:sz w:val="28"/>
          <w:szCs w:val="28"/>
        </w:rPr>
      </w:pPr>
    </w:p>
    <w:sectPr w:rsidR="001F611C" w:rsidRPr="007F41BC" w:rsidSect="00725332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B47"/>
    <w:multiLevelType w:val="hybridMultilevel"/>
    <w:tmpl w:val="E4E238DE"/>
    <w:lvl w:ilvl="0" w:tplc="74D0CE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40833"/>
    <w:multiLevelType w:val="hybridMultilevel"/>
    <w:tmpl w:val="DB58432E"/>
    <w:lvl w:ilvl="0" w:tplc="47EA6CE4">
      <w:start w:val="6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21E76C9"/>
    <w:multiLevelType w:val="hybridMultilevel"/>
    <w:tmpl w:val="AAA4FBB6"/>
    <w:lvl w:ilvl="0" w:tplc="93861AF0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9AA523E"/>
    <w:multiLevelType w:val="hybridMultilevel"/>
    <w:tmpl w:val="8048DD66"/>
    <w:lvl w:ilvl="0" w:tplc="327E741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11C"/>
    <w:rsid w:val="000031D6"/>
    <w:rsid w:val="0004033F"/>
    <w:rsid w:val="000670DA"/>
    <w:rsid w:val="000864B1"/>
    <w:rsid w:val="000A0AA6"/>
    <w:rsid w:val="000B7682"/>
    <w:rsid w:val="000C42CB"/>
    <w:rsid w:val="000D0ACC"/>
    <w:rsid w:val="000D459B"/>
    <w:rsid w:val="000F1B34"/>
    <w:rsid w:val="00125802"/>
    <w:rsid w:val="001701CB"/>
    <w:rsid w:val="00184928"/>
    <w:rsid w:val="001C7181"/>
    <w:rsid w:val="001D7D51"/>
    <w:rsid w:val="001E6706"/>
    <w:rsid w:val="001E75DA"/>
    <w:rsid w:val="001F4813"/>
    <w:rsid w:val="001F611C"/>
    <w:rsid w:val="002128B1"/>
    <w:rsid w:val="002637DC"/>
    <w:rsid w:val="00282D27"/>
    <w:rsid w:val="002849C0"/>
    <w:rsid w:val="002A448E"/>
    <w:rsid w:val="002A6AB8"/>
    <w:rsid w:val="002E0B2F"/>
    <w:rsid w:val="002E5BDA"/>
    <w:rsid w:val="00306D09"/>
    <w:rsid w:val="003339CD"/>
    <w:rsid w:val="00341793"/>
    <w:rsid w:val="00343F83"/>
    <w:rsid w:val="0036179C"/>
    <w:rsid w:val="00371CE7"/>
    <w:rsid w:val="00384C5E"/>
    <w:rsid w:val="00387741"/>
    <w:rsid w:val="003A1E44"/>
    <w:rsid w:val="00411CA6"/>
    <w:rsid w:val="004250FF"/>
    <w:rsid w:val="00425D8C"/>
    <w:rsid w:val="004355ED"/>
    <w:rsid w:val="00454634"/>
    <w:rsid w:val="0045528F"/>
    <w:rsid w:val="004614B8"/>
    <w:rsid w:val="00470371"/>
    <w:rsid w:val="0047749A"/>
    <w:rsid w:val="00486166"/>
    <w:rsid w:val="004C75F6"/>
    <w:rsid w:val="004F3D61"/>
    <w:rsid w:val="0055069E"/>
    <w:rsid w:val="00561621"/>
    <w:rsid w:val="00566D5E"/>
    <w:rsid w:val="005947AC"/>
    <w:rsid w:val="005A2C2A"/>
    <w:rsid w:val="005C3528"/>
    <w:rsid w:val="005C7C1D"/>
    <w:rsid w:val="005D4C6D"/>
    <w:rsid w:val="00635AED"/>
    <w:rsid w:val="00664F9D"/>
    <w:rsid w:val="00665456"/>
    <w:rsid w:val="00690A6B"/>
    <w:rsid w:val="00691F6C"/>
    <w:rsid w:val="0069683F"/>
    <w:rsid w:val="006A2EEB"/>
    <w:rsid w:val="006A5EE4"/>
    <w:rsid w:val="006B6876"/>
    <w:rsid w:val="006C6283"/>
    <w:rsid w:val="006D4B9B"/>
    <w:rsid w:val="006F6242"/>
    <w:rsid w:val="006F68A7"/>
    <w:rsid w:val="00706068"/>
    <w:rsid w:val="00725332"/>
    <w:rsid w:val="00762BB3"/>
    <w:rsid w:val="00764592"/>
    <w:rsid w:val="007C629D"/>
    <w:rsid w:val="008214B6"/>
    <w:rsid w:val="008229E0"/>
    <w:rsid w:val="00844680"/>
    <w:rsid w:val="00850AFC"/>
    <w:rsid w:val="00857BD8"/>
    <w:rsid w:val="008702F7"/>
    <w:rsid w:val="008900B7"/>
    <w:rsid w:val="00892065"/>
    <w:rsid w:val="008A0888"/>
    <w:rsid w:val="008B1575"/>
    <w:rsid w:val="008B7D10"/>
    <w:rsid w:val="008D46E9"/>
    <w:rsid w:val="008E34AD"/>
    <w:rsid w:val="00904D2B"/>
    <w:rsid w:val="00953680"/>
    <w:rsid w:val="00967D87"/>
    <w:rsid w:val="0097111E"/>
    <w:rsid w:val="00990257"/>
    <w:rsid w:val="009A6BFC"/>
    <w:rsid w:val="009C2476"/>
    <w:rsid w:val="009C50C2"/>
    <w:rsid w:val="009D2257"/>
    <w:rsid w:val="009D5740"/>
    <w:rsid w:val="009E6763"/>
    <w:rsid w:val="009F1F96"/>
    <w:rsid w:val="00A24665"/>
    <w:rsid w:val="00A32A19"/>
    <w:rsid w:val="00A37441"/>
    <w:rsid w:val="00A63458"/>
    <w:rsid w:val="00A76F1A"/>
    <w:rsid w:val="00AD38B6"/>
    <w:rsid w:val="00AF7A4E"/>
    <w:rsid w:val="00B00852"/>
    <w:rsid w:val="00B15D7F"/>
    <w:rsid w:val="00B1650F"/>
    <w:rsid w:val="00B43770"/>
    <w:rsid w:val="00B60A4A"/>
    <w:rsid w:val="00B8774A"/>
    <w:rsid w:val="00BA1B87"/>
    <w:rsid w:val="00BB3514"/>
    <w:rsid w:val="00C0592B"/>
    <w:rsid w:val="00C36B46"/>
    <w:rsid w:val="00C57E0D"/>
    <w:rsid w:val="00C82B54"/>
    <w:rsid w:val="00C94DF1"/>
    <w:rsid w:val="00CC1869"/>
    <w:rsid w:val="00CF4417"/>
    <w:rsid w:val="00D44713"/>
    <w:rsid w:val="00D77C70"/>
    <w:rsid w:val="00D82F63"/>
    <w:rsid w:val="00D9730A"/>
    <w:rsid w:val="00DA79EB"/>
    <w:rsid w:val="00DB15BE"/>
    <w:rsid w:val="00E064D3"/>
    <w:rsid w:val="00E4156C"/>
    <w:rsid w:val="00E46678"/>
    <w:rsid w:val="00EA4688"/>
    <w:rsid w:val="00EB2A6B"/>
    <w:rsid w:val="00EE5C5A"/>
    <w:rsid w:val="00F45BD4"/>
    <w:rsid w:val="00F53415"/>
    <w:rsid w:val="00F943CE"/>
    <w:rsid w:val="00F96D03"/>
    <w:rsid w:val="00FA431D"/>
    <w:rsid w:val="00FC7AED"/>
    <w:rsid w:val="00FD31BE"/>
    <w:rsid w:val="00FD6A73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B934F-881E-46FA-AFE2-515E8ED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11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1F611C"/>
    <w:pPr>
      <w:jc w:val="center"/>
    </w:pPr>
    <w:rPr>
      <w:b/>
      <w:bCs/>
    </w:rPr>
  </w:style>
  <w:style w:type="paragraph" w:customStyle="1" w:styleId="cn">
    <w:name w:val="cn"/>
    <w:basedOn w:val="Normal"/>
    <w:rsid w:val="001F611C"/>
    <w:pPr>
      <w:jc w:val="center"/>
    </w:pPr>
  </w:style>
  <w:style w:type="paragraph" w:styleId="Frspaiere">
    <w:name w:val="No Spacing"/>
    <w:uiPriority w:val="1"/>
    <w:qFormat/>
    <w:rsid w:val="001F611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59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59B"/>
    <w:rPr>
      <w:rFonts w:ascii="Segoe UI" w:eastAsiaTheme="minorEastAsia" w:hAnsi="Segoe UI" w:cs="Segoe UI"/>
      <w:sz w:val="18"/>
      <w:szCs w:val="18"/>
      <w:lang w:val="ro-RO" w:eastAsia="ro-RO"/>
    </w:rPr>
  </w:style>
  <w:style w:type="table" w:styleId="Tabelgril">
    <w:name w:val="Table Grid"/>
    <w:basedOn w:val="TabelNormal"/>
    <w:uiPriority w:val="59"/>
    <w:rsid w:val="00AF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031D6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1E75DA"/>
    <w:pPr>
      <w:ind w:left="720"/>
      <w:contextualSpacing/>
    </w:pPr>
  </w:style>
  <w:style w:type="character" w:customStyle="1" w:styleId="docsign1">
    <w:name w:val="doc_sign1"/>
    <w:basedOn w:val="Fontdeparagrafimplicit"/>
    <w:rsid w:val="00263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hyperlink" Target="http://www.mai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740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Mihalachi</dc:creator>
  <cp:lastModifiedBy>SS</cp:lastModifiedBy>
  <cp:revision>64</cp:revision>
  <cp:lastPrinted>2019-07-11T08:03:00Z</cp:lastPrinted>
  <dcterms:created xsi:type="dcterms:W3CDTF">2018-05-02T08:07:00Z</dcterms:created>
  <dcterms:modified xsi:type="dcterms:W3CDTF">2019-07-23T13:08:00Z</dcterms:modified>
</cp:coreProperties>
</file>