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15" w:rsidRPr="00862BC8" w:rsidRDefault="00A85615" w:rsidP="00A85615">
      <w:pPr>
        <w:spacing w:after="0"/>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SINTEZA</w:t>
      </w:r>
    </w:p>
    <w:p w:rsidR="00A85615" w:rsidRPr="00862BC8" w:rsidRDefault="00A85615" w:rsidP="00A85615">
      <w:pPr>
        <w:spacing w:after="0"/>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obiecţiilor şi propunerilor/recomandărilor</w:t>
      </w:r>
    </w:p>
    <w:p w:rsidR="00A85615" w:rsidRPr="00862BC8" w:rsidRDefault="00A85615" w:rsidP="00A85615">
      <w:pPr>
        <w:spacing w:after="0"/>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 xml:space="preserve">la proiectul de hotărâre a Guvernului pentru modificarea unor hotărâri ale </w:t>
      </w:r>
    </w:p>
    <w:p w:rsidR="00A85615" w:rsidRPr="00862BC8" w:rsidRDefault="00A85615" w:rsidP="00A85615">
      <w:pPr>
        <w:spacing w:after="0"/>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Guvernului şi abrogarea unei hotărâri de Guvern</w:t>
      </w:r>
    </w:p>
    <w:p w:rsidR="00A85615" w:rsidRPr="00862BC8" w:rsidRDefault="00A85615" w:rsidP="00A85615">
      <w:pPr>
        <w:spacing w:after="0"/>
        <w:rPr>
          <w:rFonts w:ascii="Times New Roman" w:hAnsi="Times New Roman" w:cs="Times New Roman"/>
          <w:sz w:val="28"/>
          <w:szCs w:val="28"/>
          <w:lang w:val="ro-MO"/>
        </w:rPr>
      </w:pPr>
    </w:p>
    <w:tbl>
      <w:tblPr>
        <w:tblStyle w:val="a3"/>
        <w:tblW w:w="13833" w:type="dxa"/>
        <w:tblInd w:w="675" w:type="dxa"/>
        <w:tblLayout w:type="fixed"/>
        <w:tblLook w:val="04A0"/>
      </w:tblPr>
      <w:tblGrid>
        <w:gridCol w:w="3119"/>
        <w:gridCol w:w="7513"/>
        <w:gridCol w:w="3201"/>
      </w:tblGrid>
      <w:tr w:rsidR="00A85615" w:rsidRPr="00862BC8" w:rsidTr="000C2D81">
        <w:tc>
          <w:tcPr>
            <w:tcW w:w="3119" w:type="dxa"/>
          </w:tcPr>
          <w:p w:rsidR="00A85615" w:rsidRPr="00862BC8" w:rsidRDefault="00A85615" w:rsidP="0014138A">
            <w:pPr>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participantul la avizare (expertizare)/consultare publică</w:t>
            </w:r>
          </w:p>
        </w:tc>
        <w:tc>
          <w:tcPr>
            <w:tcW w:w="7513" w:type="dxa"/>
          </w:tcPr>
          <w:p w:rsidR="000D2932" w:rsidRDefault="000D2932" w:rsidP="0014138A">
            <w:pPr>
              <w:jc w:val="center"/>
              <w:rPr>
                <w:rFonts w:ascii="Times New Roman" w:hAnsi="Times New Roman" w:cs="Times New Roman"/>
                <w:b/>
                <w:sz w:val="28"/>
                <w:szCs w:val="28"/>
                <w:lang w:val="ro-MO"/>
              </w:rPr>
            </w:pPr>
          </w:p>
          <w:p w:rsidR="00A85615" w:rsidRPr="00862BC8" w:rsidRDefault="00A85615" w:rsidP="0014138A">
            <w:pPr>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conţinutul obiecţiei/ propunerii/ recomandării</w:t>
            </w:r>
          </w:p>
        </w:tc>
        <w:tc>
          <w:tcPr>
            <w:tcW w:w="3201" w:type="dxa"/>
          </w:tcPr>
          <w:p w:rsidR="00A85615" w:rsidRPr="00862BC8" w:rsidRDefault="00A85615" w:rsidP="0014138A">
            <w:pPr>
              <w:jc w:val="center"/>
              <w:rPr>
                <w:rFonts w:ascii="Times New Roman" w:hAnsi="Times New Roman" w:cs="Times New Roman"/>
                <w:b/>
                <w:sz w:val="28"/>
                <w:szCs w:val="28"/>
                <w:lang w:val="ro-MO"/>
              </w:rPr>
            </w:pPr>
            <w:r w:rsidRPr="00862BC8">
              <w:rPr>
                <w:rFonts w:ascii="Times New Roman" w:hAnsi="Times New Roman" w:cs="Times New Roman"/>
                <w:b/>
                <w:sz w:val="28"/>
                <w:szCs w:val="28"/>
                <w:lang w:val="ro-MO"/>
              </w:rPr>
              <w:t>argumentarea autorului proiectului</w:t>
            </w:r>
          </w:p>
        </w:tc>
      </w:tr>
      <w:tr w:rsidR="00A85615" w:rsidRPr="00862BC8" w:rsidTr="000C2D81">
        <w:tc>
          <w:tcPr>
            <w:tcW w:w="3119" w:type="dxa"/>
          </w:tcPr>
          <w:p w:rsidR="00862BC8" w:rsidRPr="00862BC8" w:rsidRDefault="00862BC8" w:rsidP="0014138A">
            <w:pPr>
              <w:rPr>
                <w:rFonts w:ascii="Times New Roman" w:hAnsi="Times New Roman" w:cs="Times New Roman"/>
                <w:b/>
                <w:sz w:val="28"/>
                <w:szCs w:val="28"/>
                <w:lang w:val="ro-MO"/>
              </w:rPr>
            </w:pPr>
          </w:p>
          <w:p w:rsidR="00862BC8" w:rsidRPr="00862BC8" w:rsidRDefault="00862BC8" w:rsidP="0014138A">
            <w:pPr>
              <w:rPr>
                <w:rFonts w:ascii="Times New Roman" w:hAnsi="Times New Roman" w:cs="Times New Roman"/>
                <w:b/>
                <w:sz w:val="28"/>
                <w:szCs w:val="28"/>
                <w:lang w:val="ro-MO"/>
              </w:rPr>
            </w:pPr>
          </w:p>
          <w:p w:rsidR="00A85615" w:rsidRPr="00862BC8" w:rsidRDefault="00A85615" w:rsidP="0014138A">
            <w:pPr>
              <w:rPr>
                <w:rFonts w:ascii="Times New Roman" w:hAnsi="Times New Roman" w:cs="Times New Roman"/>
                <w:b/>
                <w:sz w:val="28"/>
                <w:szCs w:val="28"/>
                <w:lang w:val="ro-MO"/>
              </w:rPr>
            </w:pPr>
            <w:r w:rsidRPr="00862BC8">
              <w:rPr>
                <w:rFonts w:ascii="Times New Roman" w:hAnsi="Times New Roman" w:cs="Times New Roman"/>
                <w:b/>
                <w:sz w:val="28"/>
                <w:szCs w:val="28"/>
                <w:lang w:val="ro-MO"/>
              </w:rPr>
              <w:t>Ministerul Economiei şi Infrastructurii</w:t>
            </w:r>
          </w:p>
        </w:tc>
        <w:tc>
          <w:tcPr>
            <w:tcW w:w="7513" w:type="dxa"/>
          </w:tcPr>
          <w:p w:rsidR="00F25FA3" w:rsidRPr="00862BC8" w:rsidRDefault="002A487C" w:rsidP="00862BC8">
            <w:pPr>
              <w:pStyle w:val="Default"/>
              <w:jc w:val="both"/>
              <w:rPr>
                <w:sz w:val="28"/>
                <w:szCs w:val="28"/>
                <w:lang w:val="ro-MO"/>
              </w:rPr>
            </w:pPr>
            <w:r>
              <w:rPr>
                <w:sz w:val="28"/>
                <w:szCs w:val="28"/>
                <w:lang w:val="ro-MO"/>
              </w:rPr>
              <w:tab/>
            </w:r>
            <w:r w:rsidR="00F25FA3" w:rsidRPr="00862BC8">
              <w:rPr>
                <w:sz w:val="28"/>
                <w:szCs w:val="28"/>
                <w:lang w:val="ro-MO"/>
              </w:rPr>
              <w:t xml:space="preserve">Regula generală privind intrarea în vigoare a actelor normative, statuată în art. 56 alin. (1) din </w:t>
            </w:r>
            <w:r w:rsidR="00F25FA3" w:rsidRPr="00862BC8">
              <w:rPr>
                <w:i/>
                <w:iCs/>
                <w:sz w:val="28"/>
                <w:szCs w:val="28"/>
                <w:lang w:val="ro-MO"/>
              </w:rPr>
              <w:t xml:space="preserve">Legea nr. 100/2017 </w:t>
            </w:r>
            <w:r w:rsidR="00F25FA3" w:rsidRPr="00862BC8">
              <w:rPr>
                <w:sz w:val="28"/>
                <w:szCs w:val="28"/>
                <w:lang w:val="ro-MO"/>
              </w:rPr>
              <w:t xml:space="preserve">prevede că </w:t>
            </w:r>
            <w:r w:rsidR="00F25FA3" w:rsidRPr="00862BC8">
              <w:rPr>
                <w:i/>
                <w:iCs/>
                <w:sz w:val="28"/>
                <w:szCs w:val="28"/>
                <w:lang w:val="ro-MO"/>
              </w:rPr>
              <w:t>actele normative intră în vigoare peste o lună de la data publicării în Monitorul Oficial al Republicii Moldova, sau la data indicată în textul actului normativ, care nu poate fi anterioară datei publicării</w:t>
            </w:r>
            <w:r w:rsidR="00F25FA3" w:rsidRPr="00862BC8">
              <w:rPr>
                <w:sz w:val="28"/>
                <w:szCs w:val="28"/>
                <w:lang w:val="ro-MO"/>
              </w:rPr>
              <w:t xml:space="preserve">. </w:t>
            </w:r>
          </w:p>
          <w:p w:rsidR="00F25FA3" w:rsidRPr="00862BC8" w:rsidRDefault="00366528" w:rsidP="00862BC8">
            <w:pPr>
              <w:pStyle w:val="Default"/>
              <w:jc w:val="both"/>
              <w:rPr>
                <w:sz w:val="28"/>
                <w:szCs w:val="28"/>
                <w:lang w:val="ro-MO"/>
              </w:rPr>
            </w:pPr>
            <w:r>
              <w:rPr>
                <w:sz w:val="28"/>
                <w:szCs w:val="28"/>
                <w:lang w:val="ro-MO"/>
              </w:rPr>
              <w:tab/>
            </w:r>
            <w:r w:rsidR="00F25FA3" w:rsidRPr="00862BC8">
              <w:rPr>
                <w:sz w:val="28"/>
                <w:szCs w:val="28"/>
                <w:lang w:val="ro-MO"/>
              </w:rPr>
              <w:t>Totodată, alin. (3) al acestui articol dispune că ”</w:t>
            </w:r>
            <w:r w:rsidR="00F25FA3" w:rsidRPr="00862BC8">
              <w:rPr>
                <w:i/>
                <w:iCs/>
                <w:sz w:val="28"/>
                <w:szCs w:val="28"/>
                <w:lang w:val="ro-MO"/>
              </w:rPr>
              <w:t>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w:t>
            </w:r>
            <w:r w:rsidR="002A487C">
              <w:rPr>
                <w:i/>
                <w:iCs/>
                <w:sz w:val="28"/>
                <w:szCs w:val="28"/>
                <w:lang w:val="ro-MO"/>
              </w:rPr>
              <w:t>â</w:t>
            </w:r>
            <w:r w:rsidR="00F25FA3" w:rsidRPr="00862BC8">
              <w:rPr>
                <w:i/>
                <w:iCs/>
                <w:sz w:val="28"/>
                <w:szCs w:val="28"/>
                <w:lang w:val="ro-MO"/>
              </w:rPr>
              <w:t>rilor Curţii Constituţionale, eliminarea unor lacune din legislație sau contradicţii între actele normative ori dacă există alte circumstanţe obiective</w:t>
            </w:r>
            <w:r w:rsidR="00F25FA3" w:rsidRPr="00862BC8">
              <w:rPr>
                <w:sz w:val="28"/>
                <w:szCs w:val="28"/>
                <w:lang w:val="ro-MO"/>
              </w:rPr>
              <w:t xml:space="preserve">”. </w:t>
            </w:r>
          </w:p>
          <w:p w:rsidR="00A85615" w:rsidRPr="00862BC8" w:rsidRDefault="00366528" w:rsidP="00862BC8">
            <w:pPr>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F25FA3" w:rsidRPr="00862BC8">
              <w:rPr>
                <w:rFonts w:ascii="Times New Roman" w:hAnsi="Times New Roman" w:cs="Times New Roman"/>
                <w:sz w:val="28"/>
                <w:szCs w:val="28"/>
                <w:lang w:val="ro-MO"/>
              </w:rPr>
              <w:t>Astfel, intrarea în vigoare a proiectului la o anumită dată trebuie să fie argumentată în nota informativă</w:t>
            </w:r>
          </w:p>
        </w:tc>
        <w:tc>
          <w:tcPr>
            <w:tcW w:w="3201" w:type="dxa"/>
          </w:tcPr>
          <w:p w:rsidR="00B458FF" w:rsidRDefault="00B458FF" w:rsidP="0014138A">
            <w:pPr>
              <w:rPr>
                <w:rFonts w:ascii="Times New Roman" w:hAnsi="Times New Roman" w:cs="Times New Roman"/>
                <w:sz w:val="28"/>
                <w:szCs w:val="28"/>
                <w:lang w:val="ro-MO"/>
              </w:rPr>
            </w:pPr>
          </w:p>
          <w:p w:rsidR="00B458FF" w:rsidRDefault="00B458FF" w:rsidP="0014138A">
            <w:pPr>
              <w:rPr>
                <w:rFonts w:ascii="Times New Roman" w:hAnsi="Times New Roman" w:cs="Times New Roman"/>
                <w:sz w:val="28"/>
                <w:szCs w:val="28"/>
                <w:lang w:val="ro-MO"/>
              </w:rPr>
            </w:pPr>
          </w:p>
          <w:p w:rsidR="00A85615" w:rsidRPr="00862BC8" w:rsidRDefault="002A487C" w:rsidP="0014138A">
            <w:pPr>
              <w:rPr>
                <w:rFonts w:ascii="Times New Roman" w:hAnsi="Times New Roman" w:cs="Times New Roman"/>
                <w:sz w:val="28"/>
                <w:szCs w:val="28"/>
                <w:lang w:val="ro-MO"/>
              </w:rPr>
            </w:pPr>
            <w:r>
              <w:rPr>
                <w:rFonts w:ascii="Times New Roman" w:hAnsi="Times New Roman" w:cs="Times New Roman"/>
                <w:sz w:val="28"/>
                <w:szCs w:val="28"/>
                <w:lang w:val="ro-MO"/>
              </w:rPr>
              <w:t>obiecţia se acceptă</w:t>
            </w:r>
          </w:p>
        </w:tc>
      </w:tr>
      <w:tr w:rsidR="00A85615" w:rsidRPr="00FB404D" w:rsidTr="000C2D81">
        <w:tc>
          <w:tcPr>
            <w:tcW w:w="3119" w:type="dxa"/>
          </w:tcPr>
          <w:p w:rsidR="00862BC8" w:rsidRPr="00862BC8" w:rsidRDefault="00862BC8" w:rsidP="0014138A">
            <w:pPr>
              <w:rPr>
                <w:rFonts w:ascii="Times New Roman" w:hAnsi="Times New Roman" w:cs="Times New Roman"/>
                <w:b/>
                <w:sz w:val="28"/>
                <w:szCs w:val="28"/>
                <w:lang w:val="ro-MO"/>
              </w:rPr>
            </w:pPr>
          </w:p>
          <w:p w:rsidR="00A85615" w:rsidRPr="00862BC8" w:rsidRDefault="00A85615" w:rsidP="0014138A">
            <w:pPr>
              <w:rPr>
                <w:rFonts w:ascii="Times New Roman" w:hAnsi="Times New Roman" w:cs="Times New Roman"/>
                <w:b/>
                <w:sz w:val="28"/>
                <w:szCs w:val="28"/>
                <w:lang w:val="ro-MO"/>
              </w:rPr>
            </w:pPr>
            <w:r w:rsidRPr="00862BC8">
              <w:rPr>
                <w:rFonts w:ascii="Times New Roman" w:hAnsi="Times New Roman" w:cs="Times New Roman"/>
                <w:b/>
                <w:sz w:val="28"/>
                <w:szCs w:val="28"/>
                <w:lang w:val="ro-MO"/>
              </w:rPr>
              <w:t>Ministerul Finanţelor</w:t>
            </w:r>
          </w:p>
        </w:tc>
        <w:tc>
          <w:tcPr>
            <w:tcW w:w="7513" w:type="dxa"/>
          </w:tcPr>
          <w:p w:rsidR="00A85615" w:rsidRPr="00862BC8" w:rsidRDefault="00366528" w:rsidP="00862BC8">
            <w:pPr>
              <w:pStyle w:val="a4"/>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2D39C4" w:rsidRPr="00862BC8">
              <w:rPr>
                <w:rFonts w:ascii="Times New Roman" w:hAnsi="Times New Roman" w:cs="Times New Roman"/>
                <w:sz w:val="28"/>
                <w:szCs w:val="28"/>
                <w:lang w:val="ro-MO"/>
              </w:rPr>
              <w:t xml:space="preserve">La proiectul hotărârii Guvernului, la propunerile de la pct.1, prin care se operează modificări la Hotărârea Guvernului nr. 778/2009, la subpct.1), litera a) și litera b), se atrage atenția că, potrivit Statului de personal al Agenției Rezerve Materiale, aprobat de Cancelaria de Stat și prezentat la înregistrarea schemei de încadrare, după reorganizare și trecerea Agenției în </w:t>
            </w:r>
            <w:r w:rsidR="002D39C4" w:rsidRPr="00862BC8">
              <w:rPr>
                <w:rFonts w:ascii="Times New Roman" w:hAnsi="Times New Roman" w:cs="Times New Roman"/>
                <w:sz w:val="28"/>
                <w:szCs w:val="28"/>
                <w:lang w:val="ro-MO"/>
              </w:rPr>
              <w:lastRenderedPageBreak/>
              <w:t>subordinea Ministerului Afacerilor Interne, din totalul de 65 de unități de personal, 10 unități sunt personal auxiliar și 55 unități - personal de specialitate și de deservire tehnică. În acest context, urmează a fi modificat fie numărul de personal auxiliar, fie categoria personalului, fiind indicate toate (auxiliar, de deservire tehnică, de specialitate), cu modificarea respectivă a numărului de unități.</w:t>
            </w:r>
          </w:p>
        </w:tc>
        <w:tc>
          <w:tcPr>
            <w:tcW w:w="3201" w:type="dxa"/>
          </w:tcPr>
          <w:p w:rsidR="00A85615" w:rsidRDefault="00A85615" w:rsidP="0014138A">
            <w:pPr>
              <w:rPr>
                <w:rFonts w:ascii="Times New Roman" w:hAnsi="Times New Roman" w:cs="Times New Roman"/>
                <w:sz w:val="28"/>
                <w:szCs w:val="28"/>
                <w:lang w:val="ro-MO"/>
              </w:rPr>
            </w:pPr>
            <w:r w:rsidRPr="00862BC8">
              <w:rPr>
                <w:rFonts w:ascii="Times New Roman" w:hAnsi="Times New Roman" w:cs="Times New Roman"/>
                <w:sz w:val="28"/>
                <w:szCs w:val="28"/>
                <w:lang w:val="ro-MO"/>
              </w:rPr>
              <w:lastRenderedPageBreak/>
              <w:t xml:space="preserve"> </w:t>
            </w:r>
            <w:r w:rsidR="00B458FF">
              <w:rPr>
                <w:rFonts w:ascii="Times New Roman" w:hAnsi="Times New Roman" w:cs="Times New Roman"/>
                <w:sz w:val="28"/>
                <w:szCs w:val="28"/>
                <w:lang w:val="ro-MO"/>
              </w:rPr>
              <w:t xml:space="preserve">se acceptă parţial, </w:t>
            </w:r>
          </w:p>
          <w:p w:rsidR="00102163" w:rsidRDefault="00102163" w:rsidP="0014138A">
            <w:pPr>
              <w:rPr>
                <w:rFonts w:ascii="Times New Roman" w:hAnsi="Times New Roman" w:cs="Times New Roman"/>
                <w:sz w:val="28"/>
                <w:szCs w:val="28"/>
                <w:lang w:val="ro-MO"/>
              </w:rPr>
            </w:pPr>
          </w:p>
          <w:p w:rsidR="00B458FF" w:rsidRPr="00862BC8" w:rsidRDefault="00B458FF" w:rsidP="0014138A">
            <w:pPr>
              <w:rPr>
                <w:rFonts w:ascii="Times New Roman" w:hAnsi="Times New Roman" w:cs="Times New Roman"/>
                <w:sz w:val="28"/>
                <w:szCs w:val="28"/>
                <w:lang w:val="ro-MO"/>
              </w:rPr>
            </w:pPr>
            <w:r>
              <w:rPr>
                <w:rFonts w:ascii="Times New Roman" w:hAnsi="Times New Roman" w:cs="Times New Roman"/>
                <w:sz w:val="28"/>
                <w:szCs w:val="28"/>
                <w:lang w:val="ro-MO"/>
              </w:rPr>
              <w:t xml:space="preserve">deoarece HG nr. 778/2009 nu prevede delimitarea personalului de specialitate şi a celui de </w:t>
            </w:r>
            <w:r>
              <w:rPr>
                <w:rFonts w:ascii="Times New Roman" w:hAnsi="Times New Roman" w:cs="Times New Roman"/>
                <w:sz w:val="28"/>
                <w:szCs w:val="28"/>
                <w:lang w:val="ro-MO"/>
              </w:rPr>
              <w:lastRenderedPageBreak/>
              <w:t>deservire tehnică. Din aceste considerente, se indică doar personalul auxiliar al ARM – 10 unităţi.</w:t>
            </w:r>
          </w:p>
          <w:p w:rsidR="00A85615" w:rsidRPr="00862BC8" w:rsidRDefault="00A85615" w:rsidP="0014138A">
            <w:pPr>
              <w:rPr>
                <w:rFonts w:ascii="Times New Roman" w:hAnsi="Times New Roman" w:cs="Times New Roman"/>
                <w:sz w:val="28"/>
                <w:szCs w:val="28"/>
                <w:lang w:val="ro-MO"/>
              </w:rPr>
            </w:pPr>
          </w:p>
        </w:tc>
      </w:tr>
      <w:tr w:rsidR="00292370" w:rsidRPr="00FB404D" w:rsidTr="000C2D81">
        <w:tc>
          <w:tcPr>
            <w:tcW w:w="3119" w:type="dxa"/>
          </w:tcPr>
          <w:p w:rsidR="00862BC8" w:rsidRDefault="00862BC8" w:rsidP="00CB30AF">
            <w:pPr>
              <w:rPr>
                <w:rFonts w:ascii="Times New Roman" w:hAnsi="Times New Roman" w:cs="Times New Roman"/>
                <w:sz w:val="28"/>
                <w:szCs w:val="28"/>
                <w:lang w:val="ro-MO"/>
              </w:rPr>
            </w:pPr>
          </w:p>
          <w:p w:rsidR="00292370" w:rsidRPr="00862BC8" w:rsidRDefault="00292370" w:rsidP="00CB30AF">
            <w:pPr>
              <w:rPr>
                <w:rFonts w:ascii="Times New Roman" w:hAnsi="Times New Roman" w:cs="Times New Roman"/>
                <w:b/>
                <w:sz w:val="28"/>
                <w:szCs w:val="28"/>
                <w:lang w:val="ro-MO"/>
              </w:rPr>
            </w:pPr>
            <w:r w:rsidRPr="00862BC8">
              <w:rPr>
                <w:rFonts w:ascii="Times New Roman" w:hAnsi="Times New Roman" w:cs="Times New Roman"/>
                <w:b/>
                <w:sz w:val="28"/>
                <w:szCs w:val="28"/>
                <w:lang w:val="ro-MO"/>
              </w:rPr>
              <w:t>Centrul de Implementare a Reformelor</w:t>
            </w:r>
          </w:p>
        </w:tc>
        <w:tc>
          <w:tcPr>
            <w:tcW w:w="7513" w:type="dxa"/>
          </w:tcPr>
          <w:p w:rsidR="00292370" w:rsidRPr="00862BC8" w:rsidRDefault="00292370" w:rsidP="00862BC8">
            <w:pPr>
              <w:pStyle w:val="a6"/>
              <w:numPr>
                <w:ilvl w:val="0"/>
                <w:numId w:val="1"/>
              </w:numPr>
              <w:tabs>
                <w:tab w:val="left" w:pos="1260"/>
              </w:tabs>
              <w:spacing w:after="120"/>
              <w:ind w:left="0" w:firstLine="907"/>
              <w:contextualSpacing w:val="0"/>
              <w:jc w:val="both"/>
              <w:rPr>
                <w:sz w:val="28"/>
                <w:szCs w:val="28"/>
                <w:lang w:val="ro-MO"/>
              </w:rPr>
            </w:pPr>
            <w:r w:rsidRPr="00862BC8">
              <w:rPr>
                <w:sz w:val="28"/>
                <w:szCs w:val="28"/>
                <w:lang w:val="ro-MO"/>
              </w:rPr>
              <w:t>Referitor la punctul 1 subpunctul 1) urmează a fi revizuită cifra de „746” a efectivului-limită propus pentru personalul auxiliar. Actualmente această cifră este de 668. Diferența constituie pretinsa cifră de 78 de unități de personal auxiliar al Agenției. În același timp, Hotărârea Guvernului nr. 946/2018 „Cu privire la organizarea și funcționarea Agenției Rezerve Materiale”, la pct. 2, din totalul efectivului-limită al A</w:t>
            </w:r>
            <w:bookmarkStart w:id="0" w:name="_GoBack"/>
            <w:bookmarkEnd w:id="0"/>
            <w:r w:rsidRPr="00862BC8">
              <w:rPr>
                <w:sz w:val="28"/>
                <w:szCs w:val="28"/>
                <w:lang w:val="ro-MO"/>
              </w:rPr>
              <w:t>genției de 93 de unități de personal, evidențiază doar 65 de unități de personal de deservire tehnică și personal auxiliar. La soluționarea acestei problematici urmează a se lua în calcul și opțiunea de modificare a sintagmei „personal auxiliar”, ajustând-o la categoriile de personal în conformitate cu terminologia utilizată de Hotărârea Guvernului nr. 201/2009 „Cu privire la punerea în aplicare a prevederilor Legii nr. 158/2008 cu privire la funcția publică și statutul funcționarului public”.</w:t>
            </w:r>
          </w:p>
          <w:p w:rsidR="00292370" w:rsidRPr="00862BC8" w:rsidRDefault="00292370" w:rsidP="00862BC8">
            <w:pPr>
              <w:pStyle w:val="a6"/>
              <w:numPr>
                <w:ilvl w:val="0"/>
                <w:numId w:val="1"/>
              </w:numPr>
              <w:tabs>
                <w:tab w:val="left" w:pos="1260"/>
              </w:tabs>
              <w:ind w:left="0" w:firstLine="900"/>
              <w:jc w:val="both"/>
              <w:rPr>
                <w:sz w:val="28"/>
                <w:szCs w:val="28"/>
                <w:lang w:val="ro-MO"/>
              </w:rPr>
            </w:pPr>
            <w:r w:rsidRPr="00862BC8">
              <w:rPr>
                <w:sz w:val="28"/>
                <w:szCs w:val="28"/>
                <w:lang w:val="ro-MO"/>
              </w:rPr>
              <w:t xml:space="preserve">Cu referire la pct. 1 </w:t>
            </w:r>
            <w:proofErr w:type="spellStart"/>
            <w:r w:rsidRPr="00862BC8">
              <w:rPr>
                <w:sz w:val="28"/>
                <w:szCs w:val="28"/>
                <w:lang w:val="ro-MO"/>
              </w:rPr>
              <w:t>subp</w:t>
            </w:r>
            <w:proofErr w:type="spellEnd"/>
            <w:r w:rsidRPr="00862BC8">
              <w:rPr>
                <w:sz w:val="28"/>
                <w:szCs w:val="28"/>
                <w:lang w:val="ro-MO"/>
              </w:rPr>
              <w:t>. 2) din proiect reiterăm opinia expusă de Centru în avizul nr. 35-05-15 din 28.12.2018, prezentat anterior la acest proiect de hotărâre, și avizul nr. 35-05-8683 din 20.11.2017 la proiectul de hotărâre a Guvernului „Pentru modificarea și completarea Hotărârii Guvernului nr. 693 din 30 august 2017”.</w:t>
            </w:r>
          </w:p>
          <w:p w:rsidR="00292370" w:rsidRDefault="00292370" w:rsidP="00862BC8">
            <w:pPr>
              <w:pStyle w:val="a6"/>
              <w:tabs>
                <w:tab w:val="left" w:pos="1260"/>
              </w:tabs>
              <w:spacing w:after="120"/>
              <w:ind w:left="0" w:firstLine="907"/>
              <w:contextualSpacing w:val="0"/>
              <w:jc w:val="both"/>
              <w:rPr>
                <w:sz w:val="28"/>
                <w:szCs w:val="28"/>
                <w:lang w:val="ro-MO"/>
              </w:rPr>
            </w:pPr>
            <w:r w:rsidRPr="00862BC8">
              <w:rPr>
                <w:sz w:val="28"/>
                <w:szCs w:val="28"/>
                <w:lang w:val="ro-MO"/>
              </w:rPr>
              <w:t xml:space="preserve">Conform acestei opinii adoptarea listei structurilor organizaționale din sfera de competență a Ministerului </w:t>
            </w:r>
            <w:r w:rsidRPr="00862BC8">
              <w:rPr>
                <w:sz w:val="28"/>
                <w:szCs w:val="28"/>
                <w:lang w:val="ro-MO"/>
              </w:rPr>
              <w:lastRenderedPageBreak/>
              <w:t>Afacerilor Interne constituie o ultimă etapă care sintetizează întregul proces de reorganizare a sistemului administrativ al acestui minister. Din această perspectivă, considerăm inutilă completarea anexei nr.</w:t>
            </w:r>
            <w:r w:rsidR="006313CA">
              <w:rPr>
                <w:sz w:val="28"/>
                <w:szCs w:val="28"/>
                <w:lang w:val="ro-MO"/>
              </w:rPr>
              <w:t xml:space="preserve"> </w:t>
            </w:r>
            <w:r w:rsidRPr="00862BC8">
              <w:rPr>
                <w:sz w:val="28"/>
                <w:szCs w:val="28"/>
                <w:lang w:val="ro-MO"/>
              </w:rPr>
              <w:t>3 la Hotărârea Guvernului nr. 778/2009, deoarece aceasta urmează a fi abrogată după finisarea reorganizării întregului sistem administrativ al Ministerului Afacerilor Interne și completarea Hotărârii Guvernului nr. 693/2017 „Cu privire la organizarea și funcționarea Ministerului Afacerilor Interne” cu o nouă listă a structurilor organizaționale din sfera de competență a acestuia.</w:t>
            </w:r>
          </w:p>
          <w:p w:rsidR="003362F0" w:rsidRPr="00862BC8" w:rsidRDefault="003362F0" w:rsidP="00862BC8">
            <w:pPr>
              <w:pStyle w:val="a6"/>
              <w:tabs>
                <w:tab w:val="left" w:pos="1260"/>
              </w:tabs>
              <w:spacing w:after="120"/>
              <w:ind w:left="0" w:firstLine="907"/>
              <w:contextualSpacing w:val="0"/>
              <w:jc w:val="both"/>
              <w:rPr>
                <w:sz w:val="28"/>
                <w:szCs w:val="28"/>
                <w:lang w:val="ro-MO"/>
              </w:rPr>
            </w:pPr>
          </w:p>
          <w:p w:rsidR="00292370" w:rsidRPr="00862BC8" w:rsidRDefault="00292370" w:rsidP="00862BC8">
            <w:pPr>
              <w:pStyle w:val="a6"/>
              <w:numPr>
                <w:ilvl w:val="0"/>
                <w:numId w:val="1"/>
              </w:numPr>
              <w:spacing w:after="120"/>
              <w:ind w:left="0" w:firstLine="907"/>
              <w:contextualSpacing w:val="0"/>
              <w:jc w:val="both"/>
              <w:rPr>
                <w:sz w:val="28"/>
                <w:szCs w:val="28"/>
                <w:lang w:val="ro-MO"/>
              </w:rPr>
            </w:pPr>
            <w:r w:rsidRPr="00862BC8">
              <w:rPr>
                <w:bCs/>
                <w:color w:val="000000"/>
                <w:sz w:val="28"/>
                <w:szCs w:val="28"/>
                <w:shd w:val="clear" w:color="auto" w:fill="FFFFFF"/>
                <w:lang w:val="ro-MO"/>
              </w:rPr>
              <w:t xml:space="preserve">Totodată, considerăm oportună completarea proiectului cu prevederi de modificare a </w:t>
            </w:r>
            <w:r w:rsidRPr="00862BC8">
              <w:rPr>
                <w:bCs/>
                <w:sz w:val="28"/>
                <w:szCs w:val="28"/>
                <w:shd w:val="clear" w:color="auto" w:fill="FFFFFF"/>
                <w:lang w:val="ro-MO"/>
              </w:rPr>
              <w:t>Hotărârii Guvernului nr. 351/2005 „Cu privire la aprobarea listei bunurilor imobile proprietate publică a statului și la transmiterea unor bunuri imobile”</w:t>
            </w:r>
          </w:p>
          <w:p w:rsidR="00292370" w:rsidRPr="00862BC8" w:rsidRDefault="00292370" w:rsidP="00862BC8">
            <w:pPr>
              <w:spacing w:after="120"/>
              <w:jc w:val="both"/>
              <w:rPr>
                <w:rFonts w:ascii="Times New Roman" w:hAnsi="Times New Roman" w:cs="Times New Roman"/>
                <w:bCs/>
                <w:sz w:val="28"/>
                <w:szCs w:val="28"/>
                <w:shd w:val="clear" w:color="auto" w:fill="FFFFFF"/>
                <w:lang w:val="ro-MO"/>
              </w:rPr>
            </w:pPr>
          </w:p>
          <w:p w:rsidR="00292370" w:rsidRDefault="00292370" w:rsidP="00862BC8">
            <w:pPr>
              <w:pStyle w:val="a4"/>
              <w:jc w:val="both"/>
              <w:rPr>
                <w:rFonts w:ascii="Times New Roman" w:hAnsi="Times New Roman" w:cs="Times New Roman"/>
                <w:sz w:val="28"/>
                <w:szCs w:val="28"/>
                <w:shd w:val="clear" w:color="auto" w:fill="FFFFFF"/>
                <w:lang w:val="ro-MO"/>
              </w:rPr>
            </w:pPr>
          </w:p>
          <w:p w:rsidR="005B4D36" w:rsidRDefault="005B4D36" w:rsidP="00862BC8">
            <w:pPr>
              <w:pStyle w:val="a4"/>
              <w:jc w:val="both"/>
              <w:rPr>
                <w:rFonts w:ascii="Times New Roman" w:hAnsi="Times New Roman" w:cs="Times New Roman"/>
                <w:sz w:val="28"/>
                <w:szCs w:val="28"/>
                <w:shd w:val="clear" w:color="auto" w:fill="FFFFFF"/>
                <w:lang w:val="ro-MO"/>
              </w:rPr>
            </w:pPr>
          </w:p>
          <w:p w:rsidR="005B4D36" w:rsidRDefault="005B4D36" w:rsidP="00862BC8">
            <w:pPr>
              <w:pStyle w:val="a4"/>
              <w:jc w:val="both"/>
              <w:rPr>
                <w:rFonts w:ascii="Times New Roman" w:hAnsi="Times New Roman" w:cs="Times New Roman"/>
                <w:sz w:val="28"/>
                <w:szCs w:val="28"/>
                <w:shd w:val="clear" w:color="auto" w:fill="FFFFFF"/>
                <w:lang w:val="ro-MO"/>
              </w:rPr>
            </w:pPr>
          </w:p>
          <w:p w:rsidR="005B4D36" w:rsidRDefault="005B4D36" w:rsidP="00862BC8">
            <w:pPr>
              <w:pStyle w:val="a4"/>
              <w:jc w:val="both"/>
              <w:rPr>
                <w:rFonts w:ascii="Times New Roman" w:hAnsi="Times New Roman" w:cs="Times New Roman"/>
                <w:sz w:val="28"/>
                <w:szCs w:val="28"/>
                <w:shd w:val="clear" w:color="auto" w:fill="FFFFFF"/>
                <w:lang w:val="ro-MO"/>
              </w:rPr>
            </w:pPr>
          </w:p>
          <w:p w:rsidR="005B4D36" w:rsidRDefault="005B4D36" w:rsidP="00862BC8">
            <w:pPr>
              <w:pStyle w:val="a4"/>
              <w:jc w:val="both"/>
              <w:rPr>
                <w:rFonts w:ascii="Times New Roman" w:hAnsi="Times New Roman" w:cs="Times New Roman"/>
                <w:sz w:val="28"/>
                <w:szCs w:val="28"/>
                <w:shd w:val="clear" w:color="auto" w:fill="FFFFFF"/>
                <w:lang w:val="ro-MO"/>
              </w:rPr>
            </w:pPr>
          </w:p>
          <w:p w:rsidR="005B4D36" w:rsidRPr="00862BC8" w:rsidRDefault="005B4D36" w:rsidP="00862BC8">
            <w:pPr>
              <w:pStyle w:val="a4"/>
              <w:jc w:val="both"/>
              <w:rPr>
                <w:rFonts w:ascii="Times New Roman" w:hAnsi="Times New Roman" w:cs="Times New Roman"/>
                <w:sz w:val="28"/>
                <w:szCs w:val="28"/>
                <w:shd w:val="clear" w:color="auto" w:fill="FFFFFF"/>
                <w:lang w:val="ro-MO"/>
              </w:rPr>
            </w:pPr>
          </w:p>
          <w:p w:rsidR="00292370" w:rsidRDefault="00292370" w:rsidP="00862BC8">
            <w:pPr>
              <w:pStyle w:val="a4"/>
              <w:jc w:val="both"/>
              <w:rPr>
                <w:rFonts w:ascii="Times New Roman" w:hAnsi="Times New Roman" w:cs="Times New Roman"/>
                <w:sz w:val="28"/>
                <w:szCs w:val="28"/>
                <w:shd w:val="clear" w:color="auto" w:fill="FFFFFF"/>
                <w:lang w:val="ro-MO"/>
              </w:rPr>
            </w:pPr>
          </w:p>
          <w:p w:rsidR="008969FC" w:rsidRPr="00862BC8" w:rsidRDefault="008969FC" w:rsidP="00862BC8">
            <w:pPr>
              <w:pStyle w:val="a4"/>
              <w:jc w:val="both"/>
              <w:rPr>
                <w:rFonts w:ascii="Times New Roman" w:hAnsi="Times New Roman" w:cs="Times New Roman"/>
                <w:sz w:val="28"/>
                <w:szCs w:val="28"/>
                <w:shd w:val="clear" w:color="auto" w:fill="FFFFFF"/>
                <w:lang w:val="ro-MO"/>
              </w:rPr>
            </w:pPr>
          </w:p>
          <w:p w:rsidR="00292370" w:rsidRDefault="00292370" w:rsidP="00862BC8">
            <w:pPr>
              <w:pStyle w:val="a4"/>
              <w:jc w:val="both"/>
              <w:rPr>
                <w:rFonts w:ascii="Times New Roman" w:hAnsi="Times New Roman" w:cs="Times New Roman"/>
                <w:sz w:val="28"/>
                <w:szCs w:val="28"/>
                <w:shd w:val="clear" w:color="auto" w:fill="FFFFFF"/>
                <w:lang w:val="ro-MO"/>
              </w:rPr>
            </w:pPr>
            <w:r w:rsidRPr="00862BC8">
              <w:rPr>
                <w:rFonts w:ascii="Times New Roman" w:hAnsi="Times New Roman" w:cs="Times New Roman"/>
                <w:sz w:val="28"/>
                <w:szCs w:val="28"/>
                <w:shd w:val="clear" w:color="auto" w:fill="FFFFFF"/>
                <w:lang w:val="ro-MO"/>
              </w:rPr>
              <w:t>și a anexei nr. 2 la Hotărârea Guvernului nr. 255/2013 „Privind instituirea Rețelei interministeriale de parteneriat public-privat”.</w:t>
            </w:r>
          </w:p>
          <w:p w:rsidR="00803990" w:rsidRDefault="00803990" w:rsidP="00862BC8">
            <w:pPr>
              <w:pStyle w:val="a4"/>
              <w:jc w:val="both"/>
              <w:rPr>
                <w:rFonts w:ascii="Times New Roman" w:hAnsi="Times New Roman" w:cs="Times New Roman"/>
                <w:sz w:val="28"/>
                <w:szCs w:val="28"/>
                <w:shd w:val="clear" w:color="auto" w:fill="FFFFFF"/>
                <w:lang w:val="ro-MO"/>
              </w:rPr>
            </w:pPr>
          </w:p>
          <w:p w:rsidR="00803990" w:rsidRDefault="00803990" w:rsidP="00862BC8">
            <w:pPr>
              <w:pStyle w:val="a4"/>
              <w:jc w:val="both"/>
              <w:rPr>
                <w:rFonts w:ascii="Times New Roman" w:hAnsi="Times New Roman" w:cs="Times New Roman"/>
                <w:sz w:val="28"/>
                <w:szCs w:val="28"/>
                <w:shd w:val="clear" w:color="auto" w:fill="FFFFFF"/>
                <w:lang w:val="ro-MO"/>
              </w:rPr>
            </w:pPr>
          </w:p>
          <w:p w:rsidR="00803990" w:rsidRDefault="00803990" w:rsidP="00862BC8">
            <w:pPr>
              <w:pStyle w:val="a4"/>
              <w:jc w:val="both"/>
              <w:rPr>
                <w:rFonts w:ascii="Times New Roman" w:hAnsi="Times New Roman" w:cs="Times New Roman"/>
                <w:sz w:val="28"/>
                <w:szCs w:val="28"/>
                <w:shd w:val="clear" w:color="auto" w:fill="FFFFFF"/>
                <w:lang w:val="ro-MO"/>
              </w:rPr>
            </w:pPr>
          </w:p>
          <w:p w:rsidR="00803990" w:rsidRPr="00862BC8" w:rsidRDefault="00803990" w:rsidP="00862BC8">
            <w:pPr>
              <w:pStyle w:val="a4"/>
              <w:jc w:val="both"/>
              <w:rPr>
                <w:rFonts w:ascii="Times New Roman" w:hAnsi="Times New Roman" w:cs="Times New Roman"/>
                <w:sz w:val="28"/>
                <w:szCs w:val="28"/>
                <w:lang w:val="ro-MO"/>
              </w:rPr>
            </w:pPr>
          </w:p>
          <w:p w:rsidR="00292370" w:rsidRPr="00862BC8" w:rsidRDefault="00292370" w:rsidP="00862BC8">
            <w:pPr>
              <w:pStyle w:val="a6"/>
              <w:numPr>
                <w:ilvl w:val="0"/>
                <w:numId w:val="1"/>
              </w:numPr>
              <w:ind w:left="0" w:firstLine="900"/>
              <w:jc w:val="both"/>
              <w:rPr>
                <w:sz w:val="28"/>
                <w:szCs w:val="28"/>
                <w:lang w:val="ro-MO"/>
              </w:rPr>
            </w:pPr>
            <w:r w:rsidRPr="00862BC8">
              <w:rPr>
                <w:sz w:val="28"/>
                <w:szCs w:val="28"/>
                <w:lang w:val="ro-MO"/>
              </w:rPr>
              <w:t>La punctul 2:</w:t>
            </w:r>
          </w:p>
          <w:p w:rsidR="00292370" w:rsidRDefault="00292370" w:rsidP="00862BC8">
            <w:pPr>
              <w:pStyle w:val="a6"/>
              <w:ind w:left="0" w:firstLine="900"/>
              <w:jc w:val="both"/>
              <w:rPr>
                <w:sz w:val="28"/>
                <w:szCs w:val="28"/>
                <w:lang w:val="ro-MO"/>
              </w:rPr>
            </w:pPr>
            <w:r w:rsidRPr="00862BC8">
              <w:rPr>
                <w:sz w:val="28"/>
                <w:szCs w:val="28"/>
                <w:lang w:val="ro-MO"/>
              </w:rPr>
              <w:t>subpunctul 1) după cuvântul „textului” urmează a se completa cu textul „hotărârii și anexei nr.</w:t>
            </w:r>
            <w:r w:rsidR="00803990">
              <w:rPr>
                <w:sz w:val="28"/>
                <w:szCs w:val="28"/>
                <w:lang w:val="ro-MO"/>
              </w:rPr>
              <w:t xml:space="preserve"> </w:t>
            </w:r>
            <w:r w:rsidRPr="00862BC8">
              <w:rPr>
                <w:sz w:val="28"/>
                <w:szCs w:val="28"/>
                <w:lang w:val="ro-MO"/>
              </w:rPr>
              <w:t>1”;</w:t>
            </w:r>
          </w:p>
          <w:p w:rsidR="003D4DFC" w:rsidRPr="00862BC8" w:rsidRDefault="003D4DFC" w:rsidP="00862BC8">
            <w:pPr>
              <w:pStyle w:val="a6"/>
              <w:ind w:left="0" w:firstLine="900"/>
              <w:jc w:val="both"/>
              <w:rPr>
                <w:sz w:val="28"/>
                <w:szCs w:val="28"/>
                <w:lang w:val="ro-MO"/>
              </w:rPr>
            </w:pPr>
          </w:p>
          <w:p w:rsidR="00292370" w:rsidRDefault="00292370" w:rsidP="00862BC8">
            <w:pPr>
              <w:pStyle w:val="a6"/>
              <w:spacing w:after="120"/>
              <w:ind w:left="0" w:firstLine="907"/>
              <w:contextualSpacing w:val="0"/>
              <w:jc w:val="both"/>
              <w:rPr>
                <w:sz w:val="28"/>
                <w:szCs w:val="28"/>
                <w:lang w:val="ro-MO"/>
              </w:rPr>
            </w:pPr>
            <w:r w:rsidRPr="00862BC8">
              <w:rPr>
                <w:sz w:val="28"/>
                <w:szCs w:val="28"/>
                <w:lang w:val="ro-MO"/>
              </w:rPr>
              <w:t>subpunctul 2), propunem revizuirea literei c), astfel încât denumirea Direcției rezerve materiale ale statului să fie substituită cu o denumire generică, cum ar fi spre exemplu: „subdiviziunea responsabilă de administrarea rezervelor materiale de stat”. Aceasta va asigura stabilitate normei modificate, eliminând cauzalitatea cu eventuala revizuire ulterioară a denumirii acestei subdiviziuni.</w:t>
            </w:r>
          </w:p>
          <w:p w:rsidR="003D4DFC" w:rsidRPr="00862BC8" w:rsidRDefault="003D4DFC" w:rsidP="00862BC8">
            <w:pPr>
              <w:pStyle w:val="a6"/>
              <w:spacing w:after="120"/>
              <w:ind w:left="0" w:firstLine="907"/>
              <w:contextualSpacing w:val="0"/>
              <w:jc w:val="both"/>
              <w:rPr>
                <w:sz w:val="28"/>
                <w:szCs w:val="28"/>
                <w:lang w:val="ro-MO"/>
              </w:rPr>
            </w:pPr>
          </w:p>
          <w:p w:rsidR="00292370" w:rsidRPr="00862BC8" w:rsidRDefault="00292370" w:rsidP="00862BC8">
            <w:pPr>
              <w:pStyle w:val="a6"/>
              <w:numPr>
                <w:ilvl w:val="0"/>
                <w:numId w:val="1"/>
              </w:numPr>
              <w:ind w:left="0" w:firstLine="893"/>
              <w:jc w:val="both"/>
              <w:rPr>
                <w:sz w:val="28"/>
                <w:szCs w:val="28"/>
                <w:lang w:val="ro-MO"/>
              </w:rPr>
            </w:pPr>
            <w:r w:rsidRPr="00862BC8">
              <w:rPr>
                <w:sz w:val="28"/>
                <w:szCs w:val="28"/>
                <w:lang w:val="ro-MO"/>
              </w:rPr>
              <w:t>La punctul 4 subpunctul 2) urmează a fi revizuit, astfel încât prin modificarea propusă prevederile literei d) să se completeze cu punctul 7</w:t>
            </w:r>
            <w:r w:rsidRPr="00862BC8">
              <w:rPr>
                <w:sz w:val="28"/>
                <w:szCs w:val="28"/>
                <w:vertAlign w:val="superscript"/>
                <w:lang w:val="ro-MO"/>
              </w:rPr>
              <w:t>1</w:t>
            </w:r>
            <w:r w:rsidRPr="00862BC8">
              <w:rPr>
                <w:sz w:val="28"/>
                <w:szCs w:val="28"/>
                <w:lang w:val="ro-MO"/>
              </w:rPr>
              <w:t>, deoarece prin Hotărârea Guvernului nr. 120/2019, această literă a fost completată cu punctul 6 „Inspectoratul de Management Operațional”, iar prin Hotărârea Guvernului nr. 214/2019 – cu punctul 7 „Inspectoratul General de Carabinieri”.</w:t>
            </w:r>
          </w:p>
          <w:p w:rsidR="00292370" w:rsidRPr="00862BC8" w:rsidRDefault="00292370" w:rsidP="00862BC8">
            <w:pPr>
              <w:jc w:val="both"/>
              <w:rPr>
                <w:rFonts w:ascii="Times New Roman" w:hAnsi="Times New Roman" w:cs="Times New Roman"/>
                <w:sz w:val="28"/>
                <w:szCs w:val="28"/>
                <w:lang w:val="ro-MO"/>
              </w:rPr>
            </w:pPr>
          </w:p>
        </w:tc>
        <w:tc>
          <w:tcPr>
            <w:tcW w:w="3201" w:type="dxa"/>
          </w:tcPr>
          <w:p w:rsidR="00292370" w:rsidRPr="00862BC8" w:rsidRDefault="000C2D81" w:rsidP="0014138A">
            <w:pPr>
              <w:rPr>
                <w:rFonts w:ascii="Times New Roman" w:hAnsi="Times New Roman" w:cs="Times New Roman"/>
                <w:sz w:val="28"/>
                <w:szCs w:val="28"/>
                <w:lang w:val="ro-MO"/>
              </w:rPr>
            </w:pPr>
            <w:r>
              <w:rPr>
                <w:rFonts w:ascii="Times New Roman" w:hAnsi="Times New Roman" w:cs="Times New Roman"/>
                <w:sz w:val="28"/>
                <w:szCs w:val="28"/>
                <w:lang w:val="ro-MO"/>
              </w:rPr>
              <w:lastRenderedPageBreak/>
              <w:t>se acceptă parţial</w:t>
            </w:r>
          </w:p>
          <w:p w:rsidR="000C2D81" w:rsidRDefault="000C2D81" w:rsidP="0014138A">
            <w:pPr>
              <w:rPr>
                <w:rFonts w:ascii="Times New Roman" w:hAnsi="Times New Roman" w:cs="Times New Roman"/>
                <w:sz w:val="28"/>
                <w:szCs w:val="28"/>
                <w:lang w:val="ro-MO"/>
              </w:rPr>
            </w:pPr>
          </w:p>
          <w:p w:rsidR="00292370" w:rsidRPr="00862BC8" w:rsidRDefault="000C2D81" w:rsidP="0014138A">
            <w:pPr>
              <w:rPr>
                <w:rFonts w:ascii="Times New Roman" w:hAnsi="Times New Roman" w:cs="Times New Roman"/>
                <w:sz w:val="28"/>
                <w:szCs w:val="28"/>
                <w:lang w:val="ro-MO"/>
              </w:rPr>
            </w:pPr>
            <w:r>
              <w:rPr>
                <w:rFonts w:ascii="Times New Roman" w:hAnsi="Times New Roman" w:cs="Times New Roman"/>
                <w:sz w:val="28"/>
                <w:szCs w:val="28"/>
                <w:lang w:val="ro-MO"/>
              </w:rPr>
              <w:t xml:space="preserve">Cifrele  indicate au fost revizuite, însă în partea ce ţine de modificarea sintagmei „personal auxiliar” nu se acceptă, deoarece modificarea acesteia ar duce la modificarea  practic, a întregului conţinut al pct. 2 din HG 778/2009. Cu </w:t>
            </w:r>
            <w:proofErr w:type="spellStart"/>
            <w:r>
              <w:rPr>
                <w:rFonts w:ascii="Times New Roman" w:hAnsi="Times New Roman" w:cs="Times New Roman"/>
                <w:sz w:val="28"/>
                <w:szCs w:val="28"/>
                <w:lang w:val="ro-MO"/>
              </w:rPr>
              <w:t>atît</w:t>
            </w:r>
            <w:proofErr w:type="spellEnd"/>
            <w:r>
              <w:rPr>
                <w:rFonts w:ascii="Times New Roman" w:hAnsi="Times New Roman" w:cs="Times New Roman"/>
                <w:sz w:val="28"/>
                <w:szCs w:val="28"/>
                <w:lang w:val="ro-MO"/>
              </w:rPr>
              <w:t xml:space="preserve"> mai mult,  că această </w:t>
            </w:r>
            <w:proofErr w:type="spellStart"/>
            <w:r>
              <w:rPr>
                <w:rFonts w:ascii="Times New Roman" w:hAnsi="Times New Roman" w:cs="Times New Roman"/>
                <w:sz w:val="28"/>
                <w:szCs w:val="28"/>
                <w:lang w:val="ro-MO"/>
              </w:rPr>
              <w:t>hotărîre</w:t>
            </w:r>
            <w:proofErr w:type="spellEnd"/>
            <w:r>
              <w:rPr>
                <w:rFonts w:ascii="Times New Roman" w:hAnsi="Times New Roman" w:cs="Times New Roman"/>
                <w:sz w:val="28"/>
                <w:szCs w:val="28"/>
                <w:lang w:val="ro-MO"/>
              </w:rPr>
              <w:t xml:space="preserve"> urmează a fi abrogată.</w:t>
            </w:r>
          </w:p>
          <w:p w:rsidR="00292370" w:rsidRPr="00862BC8" w:rsidRDefault="00292370" w:rsidP="0014138A">
            <w:pPr>
              <w:rPr>
                <w:rFonts w:ascii="Times New Roman" w:hAnsi="Times New Roman" w:cs="Times New Roman"/>
                <w:sz w:val="28"/>
                <w:szCs w:val="28"/>
                <w:lang w:val="ro-MO"/>
              </w:rPr>
            </w:pPr>
          </w:p>
          <w:p w:rsidR="00292370" w:rsidRDefault="00292370"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Default="006313CA" w:rsidP="0014138A">
            <w:pPr>
              <w:rPr>
                <w:rFonts w:ascii="Times New Roman" w:hAnsi="Times New Roman" w:cs="Times New Roman"/>
                <w:sz w:val="28"/>
                <w:szCs w:val="28"/>
                <w:lang w:val="ro-MO"/>
              </w:rPr>
            </w:pPr>
            <w:r>
              <w:rPr>
                <w:rFonts w:ascii="Times New Roman" w:hAnsi="Times New Roman" w:cs="Times New Roman"/>
                <w:sz w:val="28"/>
                <w:szCs w:val="28"/>
                <w:lang w:val="ro-MO"/>
              </w:rPr>
              <w:t xml:space="preserve">nu se acceptă, </w:t>
            </w:r>
          </w:p>
          <w:p w:rsidR="006313CA" w:rsidRDefault="006313CA" w:rsidP="0014138A">
            <w:pPr>
              <w:rPr>
                <w:rFonts w:ascii="Times New Roman" w:hAnsi="Times New Roman" w:cs="Times New Roman"/>
                <w:sz w:val="28"/>
                <w:szCs w:val="28"/>
                <w:lang w:val="ro-MO"/>
              </w:rPr>
            </w:pPr>
            <w:r>
              <w:rPr>
                <w:rFonts w:ascii="Times New Roman" w:hAnsi="Times New Roman" w:cs="Times New Roman"/>
                <w:sz w:val="28"/>
                <w:szCs w:val="28"/>
                <w:lang w:val="ro-MO"/>
              </w:rPr>
              <w:t xml:space="preserve">deoarece   procesul de reorganizare al MAI </w:t>
            </w:r>
            <w:r>
              <w:rPr>
                <w:rFonts w:ascii="Times New Roman" w:hAnsi="Times New Roman" w:cs="Times New Roman"/>
                <w:sz w:val="28"/>
                <w:szCs w:val="28"/>
                <w:lang w:val="ro-MO"/>
              </w:rPr>
              <w:lastRenderedPageBreak/>
              <w:t>durează în timp, iar neincluderea  acestor autorităţi în listă, denaturează  informaţia privind autorităţile administrative şi instituţiile din subordinea MAI.</w:t>
            </w:r>
          </w:p>
          <w:p w:rsidR="005B4D36" w:rsidRDefault="005B4D36"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Default="005B4D36" w:rsidP="0014138A">
            <w:pPr>
              <w:rPr>
                <w:rFonts w:ascii="Times New Roman" w:hAnsi="Times New Roman" w:cs="Times New Roman"/>
                <w:sz w:val="28"/>
                <w:szCs w:val="28"/>
                <w:lang w:val="ro-MO"/>
              </w:rPr>
            </w:pPr>
          </w:p>
          <w:p w:rsidR="005B4D36" w:rsidRPr="001975B2" w:rsidRDefault="00292370" w:rsidP="00292370">
            <w:pPr>
              <w:rPr>
                <w:rFonts w:ascii="Times New Roman" w:hAnsi="Times New Roman" w:cs="Times New Roman"/>
                <w:sz w:val="28"/>
                <w:szCs w:val="28"/>
                <w:lang w:val="ro-MO"/>
              </w:rPr>
            </w:pPr>
            <w:r w:rsidRPr="001975B2">
              <w:rPr>
                <w:rFonts w:ascii="Times New Roman" w:hAnsi="Times New Roman" w:cs="Times New Roman"/>
                <w:sz w:val="28"/>
                <w:szCs w:val="28"/>
                <w:lang w:val="ro-MO"/>
              </w:rPr>
              <w:t xml:space="preserve">Nu se acceptă. </w:t>
            </w:r>
          </w:p>
          <w:p w:rsidR="00292370" w:rsidRPr="001975B2" w:rsidRDefault="00292370" w:rsidP="00292370">
            <w:pPr>
              <w:rPr>
                <w:rFonts w:ascii="Times New Roman" w:hAnsi="Times New Roman" w:cs="Times New Roman"/>
                <w:bCs/>
                <w:sz w:val="28"/>
                <w:szCs w:val="28"/>
                <w:shd w:val="clear" w:color="auto" w:fill="FFFFFF"/>
                <w:lang w:val="ro-MO"/>
              </w:rPr>
            </w:pPr>
            <w:r w:rsidRPr="001975B2">
              <w:rPr>
                <w:rFonts w:ascii="Times New Roman" w:hAnsi="Times New Roman" w:cs="Times New Roman"/>
                <w:sz w:val="28"/>
                <w:szCs w:val="28"/>
                <w:lang w:val="ro-MO"/>
              </w:rPr>
              <w:t xml:space="preserve">Anterior, prezentul proiect conținea și  </w:t>
            </w:r>
            <w:r w:rsidRPr="001975B2">
              <w:rPr>
                <w:rFonts w:ascii="Times New Roman" w:hAnsi="Times New Roman" w:cs="Times New Roman"/>
                <w:bCs/>
                <w:sz w:val="28"/>
                <w:szCs w:val="28"/>
                <w:shd w:val="clear" w:color="auto" w:fill="FFFFFF"/>
                <w:lang w:val="ro-MO"/>
              </w:rPr>
              <w:t>modificări la H</w:t>
            </w:r>
            <w:r w:rsidR="005B4D36" w:rsidRPr="001975B2">
              <w:rPr>
                <w:rFonts w:ascii="Times New Roman" w:hAnsi="Times New Roman" w:cs="Times New Roman"/>
                <w:bCs/>
                <w:sz w:val="28"/>
                <w:szCs w:val="28"/>
                <w:shd w:val="clear" w:color="auto" w:fill="FFFFFF"/>
                <w:lang w:val="ro-MO"/>
              </w:rPr>
              <w:t>G</w:t>
            </w:r>
            <w:r w:rsidRPr="001975B2">
              <w:rPr>
                <w:rFonts w:ascii="Times New Roman" w:hAnsi="Times New Roman" w:cs="Times New Roman"/>
                <w:bCs/>
                <w:sz w:val="28"/>
                <w:szCs w:val="28"/>
                <w:shd w:val="clear" w:color="auto" w:fill="FFFFFF"/>
                <w:lang w:val="ro-MO"/>
              </w:rPr>
              <w:t xml:space="preserve"> nr. 351/2005 conform avizului  CIR nr.</w:t>
            </w:r>
            <w:r w:rsidR="003362F0" w:rsidRPr="001975B2">
              <w:rPr>
                <w:rFonts w:ascii="Times New Roman" w:hAnsi="Times New Roman" w:cs="Times New Roman"/>
                <w:bCs/>
                <w:sz w:val="28"/>
                <w:szCs w:val="28"/>
                <w:shd w:val="clear" w:color="auto" w:fill="FFFFFF"/>
                <w:lang w:val="ro-MO"/>
              </w:rPr>
              <w:t xml:space="preserve"> </w:t>
            </w:r>
            <w:r w:rsidRPr="001975B2">
              <w:rPr>
                <w:rFonts w:ascii="Times New Roman" w:hAnsi="Times New Roman" w:cs="Times New Roman"/>
                <w:bCs/>
                <w:sz w:val="28"/>
                <w:szCs w:val="28"/>
                <w:shd w:val="clear" w:color="auto" w:fill="FFFFFF"/>
                <w:lang w:val="ro-MO"/>
              </w:rPr>
              <w:t>35-05-15 din 28.12.2018. Ulterior, modificările respective au  fost comasate într-un proiect elaborat de MAI, cu numărul unic 317/MAI/2019.</w:t>
            </w:r>
          </w:p>
          <w:p w:rsidR="00292370" w:rsidRPr="001975B2" w:rsidRDefault="00292370" w:rsidP="0014138A">
            <w:pPr>
              <w:rPr>
                <w:rFonts w:ascii="Times New Roman" w:hAnsi="Times New Roman" w:cs="Times New Roman"/>
                <w:sz w:val="28"/>
                <w:szCs w:val="28"/>
                <w:lang w:val="ro-MO"/>
              </w:rPr>
            </w:pPr>
          </w:p>
          <w:p w:rsidR="00377FAC" w:rsidRPr="001975B2" w:rsidRDefault="00377FAC" w:rsidP="00292370">
            <w:pPr>
              <w:pStyle w:val="a4"/>
              <w:jc w:val="both"/>
              <w:rPr>
                <w:rFonts w:ascii="Times New Roman" w:hAnsi="Times New Roman" w:cs="Times New Roman"/>
                <w:sz w:val="28"/>
                <w:szCs w:val="28"/>
                <w:shd w:val="clear" w:color="auto" w:fill="FFFFFF"/>
                <w:lang w:val="ro-MO"/>
              </w:rPr>
            </w:pPr>
          </w:p>
          <w:p w:rsidR="000C2D81" w:rsidRPr="001975B2" w:rsidRDefault="000C2D81" w:rsidP="00292370">
            <w:pPr>
              <w:pStyle w:val="a4"/>
              <w:jc w:val="both"/>
              <w:rPr>
                <w:rFonts w:ascii="Times New Roman" w:hAnsi="Times New Roman" w:cs="Times New Roman"/>
                <w:sz w:val="28"/>
                <w:szCs w:val="28"/>
                <w:shd w:val="clear" w:color="auto" w:fill="FFFFFF"/>
                <w:lang w:val="ro-MO"/>
              </w:rPr>
            </w:pPr>
          </w:p>
          <w:p w:rsidR="000C2D81" w:rsidRPr="001975B2" w:rsidRDefault="000C2D81" w:rsidP="00292370">
            <w:pPr>
              <w:pStyle w:val="a4"/>
              <w:jc w:val="both"/>
              <w:rPr>
                <w:rFonts w:ascii="Times New Roman" w:hAnsi="Times New Roman" w:cs="Times New Roman"/>
                <w:sz w:val="28"/>
                <w:szCs w:val="28"/>
                <w:shd w:val="clear" w:color="auto" w:fill="FFFFFF"/>
                <w:lang w:val="ro-MO"/>
              </w:rPr>
            </w:pPr>
          </w:p>
          <w:p w:rsidR="00292370" w:rsidRPr="001975B2" w:rsidRDefault="00292370" w:rsidP="00292370">
            <w:pPr>
              <w:pStyle w:val="a4"/>
              <w:jc w:val="both"/>
              <w:rPr>
                <w:rFonts w:ascii="Times New Roman" w:hAnsi="Times New Roman" w:cs="Times New Roman"/>
                <w:sz w:val="28"/>
                <w:szCs w:val="28"/>
                <w:shd w:val="clear" w:color="auto" w:fill="FFFFFF"/>
                <w:lang w:val="ro-MO"/>
              </w:rPr>
            </w:pPr>
            <w:r w:rsidRPr="001975B2">
              <w:rPr>
                <w:rFonts w:ascii="Times New Roman" w:hAnsi="Times New Roman" w:cs="Times New Roman"/>
                <w:sz w:val="28"/>
                <w:szCs w:val="28"/>
                <w:shd w:val="clear" w:color="auto" w:fill="FFFFFF"/>
                <w:lang w:val="ro-MO"/>
              </w:rPr>
              <w:t xml:space="preserve">Se acceptă. Proiectul a fost completat cu modificările de rigoare la anexa </w:t>
            </w:r>
            <w:r w:rsidR="00803990" w:rsidRPr="001975B2">
              <w:rPr>
                <w:rFonts w:ascii="Times New Roman" w:hAnsi="Times New Roman" w:cs="Times New Roman"/>
                <w:sz w:val="28"/>
                <w:szCs w:val="28"/>
                <w:shd w:val="clear" w:color="auto" w:fill="FFFFFF"/>
                <w:lang w:val="ro-MO"/>
              </w:rPr>
              <w:t xml:space="preserve">nr. </w:t>
            </w:r>
            <w:r w:rsidRPr="001975B2">
              <w:rPr>
                <w:rFonts w:ascii="Times New Roman" w:hAnsi="Times New Roman" w:cs="Times New Roman"/>
                <w:sz w:val="28"/>
                <w:szCs w:val="28"/>
                <w:shd w:val="clear" w:color="auto" w:fill="FFFFFF"/>
                <w:lang w:val="ro-MO"/>
              </w:rPr>
              <w:t>2 a HG nr.</w:t>
            </w:r>
            <w:r w:rsidR="00803990" w:rsidRPr="001975B2">
              <w:rPr>
                <w:rFonts w:ascii="Times New Roman" w:hAnsi="Times New Roman" w:cs="Times New Roman"/>
                <w:sz w:val="28"/>
                <w:szCs w:val="28"/>
                <w:shd w:val="clear" w:color="auto" w:fill="FFFFFF"/>
                <w:lang w:val="ro-MO"/>
              </w:rPr>
              <w:t xml:space="preserve"> </w:t>
            </w:r>
            <w:r w:rsidRPr="001975B2">
              <w:rPr>
                <w:rFonts w:ascii="Times New Roman" w:hAnsi="Times New Roman" w:cs="Times New Roman"/>
                <w:sz w:val="28"/>
                <w:szCs w:val="28"/>
                <w:shd w:val="clear" w:color="auto" w:fill="FFFFFF"/>
                <w:lang w:val="ro-MO"/>
              </w:rPr>
              <w:lastRenderedPageBreak/>
              <w:t>255/2013.</w:t>
            </w:r>
          </w:p>
          <w:p w:rsidR="00292370" w:rsidRPr="001975B2" w:rsidRDefault="00292370" w:rsidP="0014138A">
            <w:pPr>
              <w:rPr>
                <w:rFonts w:ascii="Times New Roman" w:hAnsi="Times New Roman" w:cs="Times New Roman"/>
                <w:sz w:val="28"/>
                <w:szCs w:val="28"/>
                <w:lang w:val="ro-MO"/>
              </w:rPr>
            </w:pPr>
          </w:p>
          <w:p w:rsidR="00292370" w:rsidRPr="001975B2" w:rsidRDefault="00292370" w:rsidP="0014138A">
            <w:pPr>
              <w:rPr>
                <w:rFonts w:ascii="Times New Roman" w:hAnsi="Times New Roman" w:cs="Times New Roman"/>
                <w:sz w:val="28"/>
                <w:szCs w:val="28"/>
                <w:lang w:val="ro-MO"/>
              </w:rPr>
            </w:pPr>
          </w:p>
          <w:p w:rsidR="00292370" w:rsidRPr="001975B2" w:rsidRDefault="00292370" w:rsidP="00292370">
            <w:pPr>
              <w:pStyle w:val="a4"/>
              <w:jc w:val="both"/>
              <w:rPr>
                <w:rFonts w:ascii="Times New Roman" w:hAnsi="Times New Roman" w:cs="Times New Roman"/>
                <w:sz w:val="28"/>
                <w:szCs w:val="28"/>
                <w:shd w:val="clear" w:color="auto" w:fill="FFFFFF"/>
                <w:lang w:val="ro-MO"/>
              </w:rPr>
            </w:pPr>
            <w:r w:rsidRPr="001975B2">
              <w:rPr>
                <w:rFonts w:ascii="Times New Roman" w:hAnsi="Times New Roman" w:cs="Times New Roman"/>
                <w:sz w:val="28"/>
                <w:szCs w:val="28"/>
                <w:shd w:val="clear" w:color="auto" w:fill="FFFFFF"/>
                <w:lang w:val="ro-MO"/>
              </w:rPr>
              <w:t xml:space="preserve">Se acceptă. </w:t>
            </w:r>
          </w:p>
          <w:p w:rsidR="00292370" w:rsidRPr="001975B2" w:rsidRDefault="00292370" w:rsidP="0014138A">
            <w:pPr>
              <w:rPr>
                <w:rFonts w:ascii="Times New Roman" w:hAnsi="Times New Roman" w:cs="Times New Roman"/>
                <w:sz w:val="28"/>
                <w:szCs w:val="28"/>
                <w:lang w:val="ro-MO"/>
              </w:rPr>
            </w:pPr>
          </w:p>
          <w:p w:rsidR="00292370" w:rsidRPr="001975B2" w:rsidRDefault="00292370" w:rsidP="0014138A">
            <w:pPr>
              <w:rPr>
                <w:rFonts w:ascii="Times New Roman" w:hAnsi="Times New Roman" w:cs="Times New Roman"/>
                <w:sz w:val="28"/>
                <w:szCs w:val="28"/>
                <w:lang w:val="ro-MO"/>
              </w:rPr>
            </w:pPr>
          </w:p>
          <w:p w:rsidR="003D4DFC" w:rsidRPr="00862BC8" w:rsidRDefault="003D4DFC" w:rsidP="0014138A">
            <w:pPr>
              <w:rPr>
                <w:rFonts w:ascii="Times New Roman" w:hAnsi="Times New Roman" w:cs="Times New Roman"/>
                <w:sz w:val="28"/>
                <w:szCs w:val="28"/>
                <w:lang w:val="ro-MO"/>
              </w:rPr>
            </w:pPr>
          </w:p>
          <w:p w:rsidR="00292370" w:rsidRPr="001975B2" w:rsidRDefault="004657A1" w:rsidP="00292370">
            <w:pPr>
              <w:pStyle w:val="a4"/>
              <w:jc w:val="both"/>
              <w:rPr>
                <w:rFonts w:ascii="Times New Roman" w:hAnsi="Times New Roman" w:cs="Times New Roman"/>
                <w:sz w:val="28"/>
                <w:szCs w:val="28"/>
                <w:shd w:val="clear" w:color="auto" w:fill="FFFFFF"/>
                <w:lang w:val="ro-MO"/>
              </w:rPr>
            </w:pPr>
            <w:r w:rsidRPr="001975B2">
              <w:rPr>
                <w:rFonts w:ascii="Times New Roman" w:hAnsi="Times New Roman" w:cs="Times New Roman"/>
                <w:sz w:val="28"/>
                <w:szCs w:val="28"/>
                <w:lang w:val="ro-MO"/>
              </w:rPr>
              <w:t xml:space="preserve">Se acceptă. </w:t>
            </w:r>
          </w:p>
          <w:p w:rsidR="00292370" w:rsidRPr="001975B2" w:rsidRDefault="00292370" w:rsidP="0014138A">
            <w:pPr>
              <w:rPr>
                <w:rFonts w:ascii="Times New Roman" w:hAnsi="Times New Roman" w:cs="Times New Roman"/>
                <w:sz w:val="28"/>
                <w:szCs w:val="28"/>
                <w:lang w:val="ro-MO"/>
              </w:rPr>
            </w:pPr>
          </w:p>
          <w:p w:rsidR="00292370" w:rsidRPr="001975B2" w:rsidRDefault="00292370" w:rsidP="0014138A">
            <w:pPr>
              <w:rPr>
                <w:rFonts w:ascii="Times New Roman" w:hAnsi="Times New Roman" w:cs="Times New Roman"/>
                <w:sz w:val="28"/>
                <w:szCs w:val="28"/>
                <w:lang w:val="ro-MO"/>
              </w:rPr>
            </w:pPr>
          </w:p>
          <w:p w:rsidR="00292370" w:rsidRPr="001975B2" w:rsidRDefault="00292370" w:rsidP="0014138A">
            <w:pPr>
              <w:rPr>
                <w:rFonts w:ascii="Times New Roman" w:hAnsi="Times New Roman" w:cs="Times New Roman"/>
                <w:sz w:val="28"/>
                <w:szCs w:val="28"/>
                <w:lang w:val="ro-MO"/>
              </w:rPr>
            </w:pPr>
          </w:p>
          <w:p w:rsidR="00292370" w:rsidRPr="001975B2" w:rsidRDefault="00292370" w:rsidP="0014138A">
            <w:pPr>
              <w:rPr>
                <w:rFonts w:ascii="Times New Roman" w:hAnsi="Times New Roman" w:cs="Times New Roman"/>
                <w:sz w:val="28"/>
                <w:szCs w:val="28"/>
                <w:shd w:val="clear" w:color="auto" w:fill="FFFFFF"/>
                <w:lang w:val="ro-MO"/>
              </w:rPr>
            </w:pPr>
          </w:p>
          <w:p w:rsidR="00292370" w:rsidRPr="001975B2" w:rsidRDefault="00292370" w:rsidP="0014138A">
            <w:pPr>
              <w:rPr>
                <w:rFonts w:ascii="Times New Roman" w:hAnsi="Times New Roman" w:cs="Times New Roman"/>
                <w:sz w:val="28"/>
                <w:szCs w:val="28"/>
                <w:shd w:val="clear" w:color="auto" w:fill="FFFFFF"/>
                <w:lang w:val="ro-MO"/>
              </w:rPr>
            </w:pPr>
          </w:p>
          <w:p w:rsidR="003D4DFC" w:rsidRPr="001975B2" w:rsidRDefault="003D4DFC" w:rsidP="0014138A">
            <w:pPr>
              <w:rPr>
                <w:rFonts w:ascii="Times New Roman" w:hAnsi="Times New Roman" w:cs="Times New Roman"/>
                <w:sz w:val="28"/>
                <w:szCs w:val="28"/>
                <w:shd w:val="clear" w:color="auto" w:fill="FFFFFF"/>
                <w:lang w:val="ro-MO"/>
              </w:rPr>
            </w:pPr>
          </w:p>
          <w:p w:rsidR="00292370" w:rsidRPr="001975B2" w:rsidRDefault="00292370" w:rsidP="0014138A">
            <w:pPr>
              <w:rPr>
                <w:rFonts w:ascii="Times New Roman" w:hAnsi="Times New Roman" w:cs="Times New Roman"/>
                <w:sz w:val="28"/>
                <w:szCs w:val="28"/>
                <w:shd w:val="clear" w:color="auto" w:fill="FFFFFF"/>
                <w:lang w:val="ro-MO"/>
              </w:rPr>
            </w:pPr>
          </w:p>
          <w:p w:rsidR="00292370" w:rsidRPr="001975B2" w:rsidRDefault="00292370" w:rsidP="0014138A">
            <w:pPr>
              <w:rPr>
                <w:rFonts w:ascii="Times New Roman" w:hAnsi="Times New Roman" w:cs="Times New Roman"/>
                <w:sz w:val="28"/>
                <w:szCs w:val="28"/>
                <w:shd w:val="clear" w:color="auto" w:fill="FFFFFF"/>
                <w:lang w:val="ro-MO"/>
              </w:rPr>
            </w:pPr>
          </w:p>
          <w:p w:rsidR="0091731F" w:rsidRPr="001975B2" w:rsidRDefault="00292370" w:rsidP="0014138A">
            <w:pPr>
              <w:rPr>
                <w:rFonts w:ascii="Times New Roman" w:hAnsi="Times New Roman" w:cs="Times New Roman"/>
                <w:sz w:val="28"/>
                <w:szCs w:val="28"/>
                <w:shd w:val="clear" w:color="auto" w:fill="FFFFFF"/>
                <w:lang w:val="ro-MO"/>
              </w:rPr>
            </w:pPr>
            <w:r w:rsidRPr="001975B2">
              <w:rPr>
                <w:rFonts w:ascii="Times New Roman" w:hAnsi="Times New Roman" w:cs="Times New Roman"/>
                <w:sz w:val="28"/>
                <w:szCs w:val="28"/>
                <w:shd w:val="clear" w:color="auto" w:fill="FFFFFF"/>
                <w:lang w:val="ro-MO"/>
              </w:rPr>
              <w:t xml:space="preserve">Se acceptă. </w:t>
            </w:r>
          </w:p>
          <w:p w:rsidR="00292370" w:rsidRPr="00862BC8" w:rsidRDefault="00292370" w:rsidP="0014138A">
            <w:pPr>
              <w:rPr>
                <w:rFonts w:ascii="Times New Roman" w:hAnsi="Times New Roman" w:cs="Times New Roman"/>
                <w:sz w:val="28"/>
                <w:szCs w:val="28"/>
                <w:lang w:val="ro-MO"/>
              </w:rPr>
            </w:pPr>
            <w:r w:rsidRPr="001975B2">
              <w:rPr>
                <w:rFonts w:ascii="Times New Roman" w:hAnsi="Times New Roman" w:cs="Times New Roman"/>
                <w:sz w:val="28"/>
                <w:szCs w:val="28"/>
                <w:shd w:val="clear" w:color="auto" w:fill="FFFFFF"/>
                <w:lang w:val="ro-MO"/>
              </w:rPr>
              <w:t>Agenția Rezerve Materiale este inclusă sub numărul 8.</w:t>
            </w:r>
          </w:p>
        </w:tc>
      </w:tr>
      <w:tr w:rsidR="00292370" w:rsidRPr="00862BC8" w:rsidTr="000C2D81">
        <w:tc>
          <w:tcPr>
            <w:tcW w:w="3119" w:type="dxa"/>
          </w:tcPr>
          <w:p w:rsidR="00292370" w:rsidRPr="00862BC8" w:rsidRDefault="00292370" w:rsidP="00995BA4">
            <w:pPr>
              <w:rPr>
                <w:rFonts w:ascii="Times New Roman" w:hAnsi="Times New Roman" w:cs="Times New Roman"/>
                <w:b/>
                <w:sz w:val="28"/>
                <w:szCs w:val="28"/>
                <w:lang w:val="ro-MO"/>
              </w:rPr>
            </w:pPr>
            <w:r w:rsidRPr="00862BC8">
              <w:rPr>
                <w:rFonts w:ascii="Times New Roman" w:hAnsi="Times New Roman" w:cs="Times New Roman"/>
                <w:b/>
                <w:sz w:val="28"/>
                <w:szCs w:val="28"/>
                <w:lang w:val="ro-MO"/>
              </w:rPr>
              <w:lastRenderedPageBreak/>
              <w:t>Ministerul Justiţiei</w:t>
            </w:r>
          </w:p>
        </w:tc>
        <w:tc>
          <w:tcPr>
            <w:tcW w:w="7513" w:type="dxa"/>
          </w:tcPr>
          <w:p w:rsidR="00292370" w:rsidRDefault="000609A2" w:rsidP="00995BA4">
            <w:pPr>
              <w:pStyle w:val="Default"/>
              <w:jc w:val="both"/>
              <w:rPr>
                <w:sz w:val="28"/>
                <w:szCs w:val="28"/>
                <w:lang w:val="ro-MO"/>
              </w:rPr>
            </w:pPr>
            <w:r>
              <w:rPr>
                <w:sz w:val="28"/>
                <w:szCs w:val="28"/>
                <w:lang w:val="ro-MO"/>
              </w:rPr>
              <w:tab/>
            </w:r>
            <w:r w:rsidR="00292370" w:rsidRPr="00862BC8">
              <w:rPr>
                <w:sz w:val="28"/>
                <w:szCs w:val="28"/>
                <w:lang w:val="ro-MO"/>
              </w:rPr>
              <w:t xml:space="preserve">În privința soluțiilor propuse în proiect comunicăm lipsa observaţiilor de ordin conceptual. </w:t>
            </w:r>
          </w:p>
          <w:p w:rsidR="000C2D81" w:rsidRPr="00862BC8" w:rsidRDefault="000C2D81" w:rsidP="00995BA4">
            <w:pPr>
              <w:pStyle w:val="Default"/>
              <w:jc w:val="both"/>
              <w:rPr>
                <w:sz w:val="28"/>
                <w:szCs w:val="28"/>
                <w:lang w:val="ro-MO"/>
              </w:rPr>
            </w:pPr>
          </w:p>
          <w:p w:rsidR="00292370" w:rsidRDefault="000609A2" w:rsidP="00995BA4">
            <w:pPr>
              <w:pStyle w:val="Default"/>
              <w:jc w:val="both"/>
              <w:rPr>
                <w:i/>
                <w:iCs/>
                <w:sz w:val="28"/>
                <w:szCs w:val="28"/>
                <w:lang w:val="ro-MO"/>
              </w:rPr>
            </w:pPr>
            <w:r>
              <w:rPr>
                <w:sz w:val="28"/>
                <w:szCs w:val="28"/>
                <w:lang w:val="ro-MO"/>
              </w:rPr>
              <w:tab/>
            </w:r>
            <w:r w:rsidR="00292370" w:rsidRPr="00862BC8">
              <w:rPr>
                <w:sz w:val="28"/>
                <w:szCs w:val="28"/>
                <w:lang w:val="ro-MO"/>
              </w:rPr>
              <w:t xml:space="preserve">Totodată, pe plan redacţional, în raport cu normele de tehnică legislativă comunicăm că, prevederile dintr-un act normativ, potrivit procedeelor tehnice aplicabile actelor normative </w:t>
            </w:r>
            <w:r w:rsidR="00292370" w:rsidRPr="00862BC8">
              <w:rPr>
                <w:i/>
                <w:iCs/>
                <w:sz w:val="28"/>
                <w:szCs w:val="28"/>
                <w:lang w:val="ro-MO"/>
              </w:rPr>
              <w:t xml:space="preserve">se abrogă </w:t>
            </w:r>
            <w:r w:rsidR="00292370" w:rsidRPr="00862BC8">
              <w:rPr>
                <w:sz w:val="28"/>
                <w:szCs w:val="28"/>
                <w:lang w:val="ro-MO"/>
              </w:rPr>
              <w:t xml:space="preserve">şi nu </w:t>
            </w:r>
            <w:r w:rsidR="00292370" w:rsidRPr="00862BC8">
              <w:rPr>
                <w:i/>
                <w:iCs/>
                <w:sz w:val="28"/>
                <w:szCs w:val="28"/>
                <w:lang w:val="ro-MO"/>
              </w:rPr>
              <w:t xml:space="preserve">se exclud. </w:t>
            </w:r>
          </w:p>
          <w:p w:rsidR="000C2D81" w:rsidRPr="00862BC8" w:rsidRDefault="000C2D81" w:rsidP="00995BA4">
            <w:pPr>
              <w:pStyle w:val="Default"/>
              <w:jc w:val="both"/>
              <w:rPr>
                <w:sz w:val="28"/>
                <w:szCs w:val="28"/>
                <w:lang w:val="ro-MO"/>
              </w:rPr>
            </w:pPr>
          </w:p>
          <w:p w:rsidR="00292370" w:rsidRPr="00862BC8" w:rsidRDefault="000609A2" w:rsidP="00995BA4">
            <w:pPr>
              <w:pStyle w:val="Default"/>
              <w:jc w:val="both"/>
              <w:rPr>
                <w:sz w:val="28"/>
                <w:szCs w:val="28"/>
                <w:lang w:val="ro-MO"/>
              </w:rPr>
            </w:pPr>
            <w:r>
              <w:rPr>
                <w:sz w:val="28"/>
                <w:szCs w:val="28"/>
                <w:lang w:val="ro-MO"/>
              </w:rPr>
              <w:lastRenderedPageBreak/>
              <w:tab/>
            </w:r>
            <w:r w:rsidR="00292370" w:rsidRPr="00862BC8">
              <w:rPr>
                <w:sz w:val="28"/>
                <w:szCs w:val="28"/>
                <w:lang w:val="ro-MO"/>
              </w:rPr>
              <w:t>La pct.</w:t>
            </w:r>
            <w:r>
              <w:rPr>
                <w:sz w:val="28"/>
                <w:szCs w:val="28"/>
                <w:lang w:val="ro-MO"/>
              </w:rPr>
              <w:t xml:space="preserve"> </w:t>
            </w:r>
            <w:r w:rsidR="00292370" w:rsidRPr="00862BC8">
              <w:rPr>
                <w:sz w:val="28"/>
                <w:szCs w:val="28"/>
                <w:lang w:val="ro-MO"/>
              </w:rPr>
              <w:t xml:space="preserve">2 din proiect </w:t>
            </w:r>
            <w:proofErr w:type="spellStart"/>
            <w:r w:rsidR="00292370" w:rsidRPr="00862BC8">
              <w:rPr>
                <w:sz w:val="28"/>
                <w:szCs w:val="28"/>
                <w:lang w:val="ro-MO"/>
              </w:rPr>
              <w:t>s</w:t>
            </w:r>
            <w:r w:rsidR="001975B2">
              <w:rPr>
                <w:sz w:val="28"/>
                <w:szCs w:val="28"/>
                <w:lang w:val="ro-MO"/>
              </w:rPr>
              <w:t>u</w:t>
            </w:r>
            <w:r w:rsidR="00292370" w:rsidRPr="00862BC8">
              <w:rPr>
                <w:sz w:val="28"/>
                <w:szCs w:val="28"/>
                <w:lang w:val="ro-MO"/>
              </w:rPr>
              <w:t>bp</w:t>
            </w:r>
            <w:proofErr w:type="spellEnd"/>
            <w:r w:rsidR="00292370" w:rsidRPr="00862BC8">
              <w:rPr>
                <w:sz w:val="28"/>
                <w:szCs w:val="28"/>
                <w:lang w:val="ro-MO"/>
              </w:rPr>
              <w:t>.</w:t>
            </w:r>
            <w:r>
              <w:rPr>
                <w:sz w:val="28"/>
                <w:szCs w:val="28"/>
                <w:lang w:val="ro-MO"/>
              </w:rPr>
              <w:t xml:space="preserve"> </w:t>
            </w:r>
            <w:r w:rsidR="00292370" w:rsidRPr="00862BC8">
              <w:rPr>
                <w:sz w:val="28"/>
                <w:szCs w:val="28"/>
                <w:lang w:val="ro-MO"/>
              </w:rPr>
              <w:t xml:space="preserve">1) menţionăm că, în actul normativ supus amendării este utilizat textul </w:t>
            </w:r>
            <w:r w:rsidR="00292370" w:rsidRPr="00862BC8">
              <w:rPr>
                <w:i/>
                <w:iCs/>
                <w:sz w:val="28"/>
                <w:szCs w:val="28"/>
                <w:lang w:val="ro-MO"/>
              </w:rPr>
              <w:t xml:space="preserve">Achiziţii Publice şi Ajutoare Umanitare </w:t>
            </w:r>
            <w:r w:rsidR="00292370" w:rsidRPr="00862BC8">
              <w:rPr>
                <w:sz w:val="28"/>
                <w:szCs w:val="28"/>
                <w:lang w:val="ro-MO"/>
              </w:rPr>
              <w:t xml:space="preserve">şi nu </w:t>
            </w:r>
            <w:r w:rsidR="00292370" w:rsidRPr="00862BC8">
              <w:rPr>
                <w:i/>
                <w:iCs/>
                <w:sz w:val="28"/>
                <w:szCs w:val="28"/>
                <w:lang w:val="ro-MO"/>
              </w:rPr>
              <w:t xml:space="preserve">Materiale. </w:t>
            </w:r>
            <w:r w:rsidR="00292370" w:rsidRPr="00862BC8">
              <w:rPr>
                <w:sz w:val="28"/>
                <w:szCs w:val="28"/>
                <w:lang w:val="ro-MO"/>
              </w:rPr>
              <w:t xml:space="preserve">Prin urmare recomandăm revizuirea </w:t>
            </w:r>
            <w:r w:rsidR="001975B2">
              <w:rPr>
                <w:sz w:val="28"/>
                <w:szCs w:val="28"/>
                <w:lang w:val="ro-MO"/>
              </w:rPr>
              <w:t>amendamentelor propuse la Hotărâ</w:t>
            </w:r>
            <w:r w:rsidR="00292370" w:rsidRPr="00862BC8">
              <w:rPr>
                <w:sz w:val="28"/>
                <w:szCs w:val="28"/>
                <w:lang w:val="ro-MO"/>
              </w:rPr>
              <w:t xml:space="preserve">rea Guvernului nr.268/2009. </w:t>
            </w:r>
          </w:p>
          <w:p w:rsidR="00292370" w:rsidRPr="00862BC8" w:rsidRDefault="00292370" w:rsidP="00995BA4">
            <w:pPr>
              <w:pStyle w:val="Default"/>
              <w:jc w:val="both"/>
              <w:rPr>
                <w:sz w:val="28"/>
                <w:szCs w:val="28"/>
                <w:lang w:val="ro-MO"/>
              </w:rPr>
            </w:pPr>
          </w:p>
          <w:p w:rsidR="00292370" w:rsidRDefault="00292370"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F206AE" w:rsidRDefault="00F206AE" w:rsidP="00995BA4">
            <w:pPr>
              <w:pStyle w:val="Default"/>
              <w:jc w:val="both"/>
              <w:rPr>
                <w:sz w:val="28"/>
                <w:szCs w:val="28"/>
                <w:lang w:val="ro-MO"/>
              </w:rPr>
            </w:pPr>
          </w:p>
          <w:p w:rsidR="00275C16" w:rsidRPr="00862BC8" w:rsidRDefault="00275C16" w:rsidP="00995BA4">
            <w:pPr>
              <w:pStyle w:val="Default"/>
              <w:jc w:val="both"/>
              <w:rPr>
                <w:sz w:val="28"/>
                <w:szCs w:val="28"/>
                <w:lang w:val="ro-MO"/>
              </w:rPr>
            </w:pPr>
          </w:p>
          <w:p w:rsidR="00292370" w:rsidRPr="00862BC8" w:rsidRDefault="00275C16" w:rsidP="00995BA4">
            <w:pPr>
              <w:pStyle w:val="Default"/>
              <w:jc w:val="both"/>
              <w:rPr>
                <w:sz w:val="28"/>
                <w:szCs w:val="28"/>
                <w:lang w:val="ro-MO"/>
              </w:rPr>
            </w:pPr>
            <w:r>
              <w:rPr>
                <w:sz w:val="28"/>
                <w:szCs w:val="28"/>
                <w:lang w:val="ro-MO"/>
              </w:rPr>
              <w:tab/>
            </w:r>
            <w:r w:rsidR="00292370" w:rsidRPr="00862BC8">
              <w:rPr>
                <w:sz w:val="28"/>
                <w:szCs w:val="28"/>
                <w:lang w:val="ro-MO"/>
              </w:rPr>
              <w:t xml:space="preserve">La pct. 9 din proiect, în privința intrării în vigoare a proiectului, atragem atenția că, în corespundere cu prevederile art. 56 alin. (1) din </w:t>
            </w:r>
            <w:r w:rsidR="00292370" w:rsidRPr="00862BC8">
              <w:rPr>
                <w:i/>
                <w:iCs/>
                <w:sz w:val="28"/>
                <w:szCs w:val="28"/>
                <w:lang w:val="ro-MO"/>
              </w:rPr>
              <w:t>Legea nr. 100/2017cu privire la actele normative</w:t>
            </w:r>
            <w:r w:rsidR="00292370" w:rsidRPr="00862BC8">
              <w:rPr>
                <w:sz w:val="28"/>
                <w:szCs w:val="28"/>
                <w:lang w:val="ro-MO"/>
              </w:rPr>
              <w:t xml:space="preserve">, actele normative intră în vigoare peste o lună de la data publicării în Monitorul Oficial al Republicii Moldova sau la data indicată în textul actului normativ, care nu poate fi anterioară datei publicării. Astfel, pentru a fi puse în vigoare de la data publicării, trebuie respectate regulile instituite de </w:t>
            </w:r>
            <w:r w:rsidR="00292370" w:rsidRPr="00862BC8">
              <w:rPr>
                <w:i/>
                <w:iCs/>
                <w:sz w:val="28"/>
                <w:szCs w:val="28"/>
                <w:lang w:val="ro-MO"/>
              </w:rPr>
              <w:t>Legea nr. 100/2017</w:t>
            </w:r>
            <w:r w:rsidR="00292370" w:rsidRPr="00862BC8">
              <w:rPr>
                <w:sz w:val="28"/>
                <w:szCs w:val="28"/>
                <w:lang w:val="ro-MO"/>
              </w:rPr>
              <w:t xml:space="preserve">, și anume cele stipulate la art. 56 alin. (3), în temeiul cărora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w:t>
            </w:r>
            <w:r w:rsidR="00292370" w:rsidRPr="00862BC8">
              <w:rPr>
                <w:sz w:val="28"/>
                <w:szCs w:val="28"/>
                <w:lang w:val="ro-MO"/>
              </w:rPr>
              <w:lastRenderedPageBreak/>
              <w:t xml:space="preserve">Constituționale, eliminarea unor lacune din legislație sau contradicții între actele normative ori dacă există alte circumstanțe obiective”. În acest sens, este necesară completarea notei informative cu argumente pertinente. </w:t>
            </w:r>
          </w:p>
          <w:p w:rsidR="00292370" w:rsidRPr="00862BC8" w:rsidRDefault="00292370" w:rsidP="00995BA4">
            <w:pPr>
              <w:jc w:val="both"/>
              <w:rPr>
                <w:rFonts w:ascii="Times New Roman" w:hAnsi="Times New Roman" w:cs="Times New Roman"/>
                <w:sz w:val="28"/>
                <w:szCs w:val="28"/>
                <w:lang w:val="ro-MO"/>
              </w:rPr>
            </w:pPr>
          </w:p>
        </w:tc>
        <w:tc>
          <w:tcPr>
            <w:tcW w:w="3201" w:type="dxa"/>
          </w:tcPr>
          <w:p w:rsidR="00292370" w:rsidRPr="00862BC8" w:rsidRDefault="00292370" w:rsidP="00995BA4">
            <w:pPr>
              <w:jc w:val="both"/>
              <w:rPr>
                <w:rFonts w:ascii="Times New Roman" w:hAnsi="Times New Roman" w:cs="Times New Roman"/>
                <w:sz w:val="28"/>
                <w:szCs w:val="28"/>
                <w:lang w:val="ro-MO"/>
              </w:rPr>
            </w:pPr>
          </w:p>
          <w:p w:rsidR="00292370" w:rsidRDefault="00292370" w:rsidP="00995BA4">
            <w:pPr>
              <w:jc w:val="both"/>
              <w:rPr>
                <w:rFonts w:ascii="Times New Roman" w:hAnsi="Times New Roman" w:cs="Times New Roman"/>
                <w:sz w:val="28"/>
                <w:szCs w:val="28"/>
                <w:lang w:val="ro-MO"/>
              </w:rPr>
            </w:pPr>
          </w:p>
          <w:p w:rsidR="000C2D81" w:rsidRPr="00862BC8" w:rsidRDefault="000C2D81" w:rsidP="00995BA4">
            <w:pPr>
              <w:jc w:val="both"/>
              <w:rPr>
                <w:rFonts w:ascii="Times New Roman" w:hAnsi="Times New Roman" w:cs="Times New Roman"/>
                <w:sz w:val="28"/>
                <w:szCs w:val="28"/>
                <w:lang w:val="ro-MO"/>
              </w:rPr>
            </w:pPr>
          </w:p>
          <w:p w:rsidR="00292370" w:rsidRPr="00DB5693" w:rsidRDefault="00292370" w:rsidP="00995BA4">
            <w:pPr>
              <w:jc w:val="both"/>
              <w:rPr>
                <w:rFonts w:ascii="Times New Roman" w:hAnsi="Times New Roman" w:cs="Times New Roman"/>
                <w:sz w:val="28"/>
                <w:szCs w:val="28"/>
                <w:lang w:val="ro-MO"/>
              </w:rPr>
            </w:pPr>
            <w:r w:rsidRPr="00DB5693">
              <w:rPr>
                <w:rFonts w:ascii="Times New Roman" w:hAnsi="Times New Roman" w:cs="Times New Roman"/>
                <w:sz w:val="28"/>
                <w:szCs w:val="28"/>
                <w:lang w:val="ro-MO"/>
              </w:rPr>
              <w:t xml:space="preserve">Se acceptă, </w:t>
            </w:r>
          </w:p>
          <w:p w:rsidR="00292370" w:rsidRPr="00DB5693" w:rsidRDefault="00292370" w:rsidP="00995BA4">
            <w:pPr>
              <w:jc w:val="both"/>
              <w:rPr>
                <w:rFonts w:ascii="Times New Roman" w:hAnsi="Times New Roman" w:cs="Times New Roman"/>
                <w:sz w:val="28"/>
                <w:szCs w:val="28"/>
                <w:lang w:val="ro-MO"/>
              </w:rPr>
            </w:pPr>
          </w:p>
          <w:p w:rsidR="00292370" w:rsidRPr="00DB5693" w:rsidRDefault="00292370" w:rsidP="00995BA4">
            <w:pPr>
              <w:jc w:val="both"/>
              <w:rPr>
                <w:rFonts w:ascii="Times New Roman" w:hAnsi="Times New Roman" w:cs="Times New Roman"/>
                <w:sz w:val="28"/>
                <w:szCs w:val="28"/>
                <w:lang w:val="ro-MO"/>
              </w:rPr>
            </w:pPr>
          </w:p>
          <w:p w:rsidR="00292370" w:rsidRDefault="00292370" w:rsidP="00995BA4">
            <w:pPr>
              <w:jc w:val="both"/>
              <w:rPr>
                <w:rFonts w:ascii="Times New Roman" w:hAnsi="Times New Roman" w:cs="Times New Roman"/>
                <w:sz w:val="28"/>
                <w:szCs w:val="28"/>
                <w:lang w:val="ro-MO"/>
              </w:rPr>
            </w:pPr>
          </w:p>
          <w:p w:rsidR="000C2D81" w:rsidRPr="00DB5693" w:rsidRDefault="000C2D81" w:rsidP="00995BA4">
            <w:pPr>
              <w:jc w:val="both"/>
              <w:rPr>
                <w:rFonts w:ascii="Times New Roman" w:hAnsi="Times New Roman" w:cs="Times New Roman"/>
                <w:sz w:val="28"/>
                <w:szCs w:val="28"/>
                <w:lang w:val="ro-MO"/>
              </w:rPr>
            </w:pPr>
          </w:p>
          <w:p w:rsidR="00F206AE" w:rsidRPr="00DB5693" w:rsidRDefault="00292370" w:rsidP="00995BA4">
            <w:pPr>
              <w:jc w:val="both"/>
              <w:rPr>
                <w:rFonts w:ascii="Times New Roman" w:hAnsi="Times New Roman" w:cs="Times New Roman"/>
                <w:sz w:val="28"/>
                <w:szCs w:val="28"/>
                <w:lang w:val="ro-MO"/>
              </w:rPr>
            </w:pPr>
            <w:r w:rsidRPr="00DB5693">
              <w:rPr>
                <w:rFonts w:ascii="Times New Roman" w:hAnsi="Times New Roman" w:cs="Times New Roman"/>
                <w:sz w:val="28"/>
                <w:szCs w:val="28"/>
                <w:lang w:val="ro-MO"/>
              </w:rPr>
              <w:lastRenderedPageBreak/>
              <w:t xml:space="preserve">Se acceptă. </w:t>
            </w:r>
          </w:p>
          <w:p w:rsidR="00292370" w:rsidRPr="00DB5693" w:rsidRDefault="00292370" w:rsidP="00995BA4">
            <w:pPr>
              <w:jc w:val="both"/>
              <w:rPr>
                <w:rFonts w:ascii="Times New Roman" w:hAnsi="Times New Roman" w:cs="Times New Roman"/>
                <w:sz w:val="28"/>
                <w:szCs w:val="28"/>
                <w:lang w:val="ro-MO"/>
              </w:rPr>
            </w:pPr>
            <w:r w:rsidRPr="00DB5693">
              <w:rPr>
                <w:rFonts w:ascii="Times New Roman" w:hAnsi="Times New Roman" w:cs="Times New Roman"/>
                <w:sz w:val="28"/>
                <w:szCs w:val="28"/>
                <w:lang w:val="ro-MO"/>
              </w:rPr>
              <w:t>Au fost operate modificările de rigoare, concomit</w:t>
            </w:r>
            <w:r w:rsidR="00F206AE" w:rsidRPr="00DB5693">
              <w:rPr>
                <w:rFonts w:ascii="Times New Roman" w:hAnsi="Times New Roman" w:cs="Times New Roman"/>
                <w:sz w:val="28"/>
                <w:szCs w:val="28"/>
                <w:lang w:val="ro-MO"/>
              </w:rPr>
              <w:t>ent</w:t>
            </w:r>
            <w:r w:rsidRPr="00DB5693">
              <w:rPr>
                <w:rFonts w:ascii="Times New Roman" w:hAnsi="Times New Roman" w:cs="Times New Roman"/>
                <w:sz w:val="28"/>
                <w:szCs w:val="28"/>
                <w:lang w:val="ro-MO"/>
              </w:rPr>
              <w:t xml:space="preserve">, proiectul a fost completat, respectiv, s-a propus de a fi abrogat </w:t>
            </w:r>
            <w:r w:rsidR="00F206AE" w:rsidRPr="00DB5693">
              <w:rPr>
                <w:rFonts w:ascii="Times New Roman" w:hAnsi="Times New Roman" w:cs="Times New Roman"/>
                <w:sz w:val="28"/>
                <w:szCs w:val="28"/>
                <w:lang w:val="ro-MO"/>
              </w:rPr>
              <w:t>textul</w:t>
            </w:r>
            <w:r w:rsidRPr="00DB5693">
              <w:rPr>
                <w:rFonts w:ascii="Times New Roman" w:hAnsi="Times New Roman" w:cs="Times New Roman"/>
                <w:sz w:val="28"/>
                <w:szCs w:val="28"/>
                <w:lang w:val="ro-MO"/>
              </w:rPr>
              <w:t xml:space="preserve"> ”întreprinderi subord</w:t>
            </w:r>
            <w:r w:rsidR="00F206AE" w:rsidRPr="00DB5693">
              <w:rPr>
                <w:rFonts w:ascii="Times New Roman" w:hAnsi="Times New Roman" w:cs="Times New Roman"/>
                <w:sz w:val="28"/>
                <w:szCs w:val="28"/>
                <w:lang w:val="ro-MO"/>
              </w:rPr>
              <w:t>o</w:t>
            </w:r>
            <w:r w:rsidRPr="00DB5693">
              <w:rPr>
                <w:rFonts w:ascii="Times New Roman" w:hAnsi="Times New Roman" w:cs="Times New Roman"/>
                <w:sz w:val="28"/>
                <w:szCs w:val="28"/>
                <w:lang w:val="ro-MO"/>
              </w:rPr>
              <w:t xml:space="preserve">nate Agenției Rezerve Materiale, Achiziții Publice și Ajutoare Umanitare” și substituit cu </w:t>
            </w:r>
            <w:r w:rsidR="00F206AE" w:rsidRPr="00DB5693">
              <w:rPr>
                <w:rFonts w:ascii="Times New Roman" w:hAnsi="Times New Roman" w:cs="Times New Roman"/>
                <w:sz w:val="28"/>
                <w:szCs w:val="28"/>
                <w:lang w:val="ro-MO"/>
              </w:rPr>
              <w:t>textul</w:t>
            </w:r>
            <w:r w:rsidRPr="00DB5693">
              <w:rPr>
                <w:rFonts w:ascii="Times New Roman" w:hAnsi="Times New Roman" w:cs="Times New Roman"/>
                <w:sz w:val="28"/>
                <w:szCs w:val="28"/>
                <w:lang w:val="ro-MO"/>
              </w:rPr>
              <w:t xml:space="preserve"> ”</w:t>
            </w:r>
            <w:r w:rsidR="00785A16">
              <w:rPr>
                <w:rFonts w:ascii="Times New Roman" w:hAnsi="Times New Roman" w:cs="Times New Roman"/>
                <w:sz w:val="28"/>
                <w:szCs w:val="28"/>
                <w:lang w:val="ro-MO"/>
              </w:rPr>
              <w:t>subdiviziunile</w:t>
            </w:r>
            <w:r w:rsidRPr="00DB5693">
              <w:rPr>
                <w:rFonts w:ascii="Times New Roman" w:hAnsi="Times New Roman" w:cs="Times New Roman"/>
                <w:sz w:val="28"/>
                <w:szCs w:val="28"/>
                <w:lang w:val="ro-MO"/>
              </w:rPr>
              <w:t xml:space="preserve"> Agenției Rezerve Materiale”, conform HG 946/2018 .</w:t>
            </w:r>
          </w:p>
          <w:p w:rsidR="00292370" w:rsidRPr="00DB5693" w:rsidRDefault="00292370" w:rsidP="00995BA4">
            <w:pPr>
              <w:jc w:val="both"/>
              <w:rPr>
                <w:rFonts w:ascii="Times New Roman" w:hAnsi="Times New Roman" w:cs="Times New Roman"/>
                <w:sz w:val="28"/>
                <w:szCs w:val="28"/>
                <w:lang w:val="ro-MO"/>
              </w:rPr>
            </w:pPr>
          </w:p>
          <w:p w:rsidR="00292370" w:rsidRPr="00DB5693" w:rsidRDefault="00292370" w:rsidP="00995BA4">
            <w:pPr>
              <w:jc w:val="both"/>
              <w:rPr>
                <w:rFonts w:ascii="Times New Roman" w:hAnsi="Times New Roman" w:cs="Times New Roman"/>
                <w:sz w:val="28"/>
                <w:szCs w:val="28"/>
                <w:lang w:val="ro-MO"/>
              </w:rPr>
            </w:pPr>
          </w:p>
          <w:p w:rsidR="00292370" w:rsidRPr="00862BC8" w:rsidRDefault="00275C16" w:rsidP="00995BA4">
            <w:pPr>
              <w:jc w:val="both"/>
              <w:rPr>
                <w:rFonts w:ascii="Times New Roman" w:hAnsi="Times New Roman" w:cs="Times New Roman"/>
                <w:sz w:val="28"/>
                <w:szCs w:val="28"/>
                <w:lang w:val="ro-MO"/>
              </w:rPr>
            </w:pPr>
            <w:r>
              <w:rPr>
                <w:rFonts w:ascii="Times New Roman" w:hAnsi="Times New Roman" w:cs="Times New Roman"/>
                <w:sz w:val="28"/>
                <w:szCs w:val="28"/>
                <w:lang w:val="ro-MO"/>
              </w:rPr>
              <w:t>se acceptă</w:t>
            </w:r>
          </w:p>
          <w:p w:rsidR="00292370" w:rsidRPr="00862BC8" w:rsidRDefault="00292370" w:rsidP="00995BA4">
            <w:pPr>
              <w:jc w:val="both"/>
              <w:rPr>
                <w:rFonts w:ascii="Times New Roman" w:hAnsi="Times New Roman" w:cs="Times New Roman"/>
                <w:sz w:val="28"/>
                <w:szCs w:val="28"/>
                <w:lang w:val="ro-MO"/>
              </w:rPr>
            </w:pPr>
          </w:p>
          <w:p w:rsidR="00292370" w:rsidRPr="00862BC8" w:rsidRDefault="00292370" w:rsidP="00995BA4">
            <w:pPr>
              <w:jc w:val="both"/>
              <w:rPr>
                <w:rFonts w:ascii="Times New Roman" w:hAnsi="Times New Roman" w:cs="Times New Roman"/>
                <w:sz w:val="28"/>
                <w:szCs w:val="28"/>
                <w:lang w:val="ro-MO"/>
              </w:rPr>
            </w:pPr>
          </w:p>
          <w:p w:rsidR="00292370" w:rsidRPr="00862BC8" w:rsidRDefault="00292370" w:rsidP="00995BA4">
            <w:pPr>
              <w:jc w:val="both"/>
              <w:rPr>
                <w:rFonts w:ascii="Times New Roman" w:hAnsi="Times New Roman" w:cs="Times New Roman"/>
                <w:sz w:val="28"/>
                <w:szCs w:val="28"/>
                <w:lang w:val="ro-MO"/>
              </w:rPr>
            </w:pPr>
          </w:p>
          <w:p w:rsidR="00292370" w:rsidRPr="00862BC8" w:rsidRDefault="00292370" w:rsidP="00995BA4">
            <w:pPr>
              <w:jc w:val="both"/>
              <w:rPr>
                <w:rFonts w:ascii="Times New Roman" w:hAnsi="Times New Roman" w:cs="Times New Roman"/>
                <w:sz w:val="28"/>
                <w:szCs w:val="28"/>
                <w:lang w:val="ro-MO"/>
              </w:rPr>
            </w:pPr>
          </w:p>
          <w:p w:rsidR="00292370" w:rsidRPr="00862BC8" w:rsidRDefault="00292370" w:rsidP="00995BA4">
            <w:pPr>
              <w:jc w:val="both"/>
              <w:rPr>
                <w:rFonts w:ascii="Times New Roman" w:hAnsi="Times New Roman" w:cs="Times New Roman"/>
                <w:sz w:val="28"/>
                <w:szCs w:val="28"/>
                <w:lang w:val="ro-MO"/>
              </w:rPr>
            </w:pPr>
          </w:p>
        </w:tc>
      </w:tr>
      <w:tr w:rsidR="00862BC8" w:rsidRPr="00FB404D" w:rsidTr="000C2D81">
        <w:tc>
          <w:tcPr>
            <w:tcW w:w="3119" w:type="dxa"/>
          </w:tcPr>
          <w:p w:rsidR="00862BC8" w:rsidRPr="00862BC8" w:rsidRDefault="00862BC8" w:rsidP="00BA271E">
            <w:pPr>
              <w:rPr>
                <w:rFonts w:ascii="Times New Roman" w:hAnsi="Times New Roman" w:cs="Times New Roman"/>
                <w:b/>
                <w:sz w:val="28"/>
                <w:szCs w:val="28"/>
                <w:lang w:val="ro-MO"/>
              </w:rPr>
            </w:pPr>
            <w:r w:rsidRPr="00862BC8">
              <w:rPr>
                <w:rFonts w:ascii="Times New Roman" w:hAnsi="Times New Roman" w:cs="Times New Roman"/>
                <w:b/>
                <w:sz w:val="28"/>
                <w:szCs w:val="28"/>
                <w:lang w:val="ro-MO"/>
              </w:rPr>
              <w:lastRenderedPageBreak/>
              <w:t>Serviciul de Informaţii şi Securitate</w:t>
            </w:r>
          </w:p>
        </w:tc>
        <w:tc>
          <w:tcPr>
            <w:tcW w:w="7513" w:type="dxa"/>
          </w:tcPr>
          <w:p w:rsidR="00862BC8" w:rsidRPr="00862BC8" w:rsidRDefault="00862BC8" w:rsidP="00BA271E">
            <w:pPr>
              <w:rPr>
                <w:rFonts w:ascii="Times New Roman" w:hAnsi="Times New Roman" w:cs="Times New Roman"/>
                <w:sz w:val="28"/>
                <w:szCs w:val="28"/>
                <w:lang w:val="ro-MO"/>
              </w:rPr>
            </w:pPr>
            <w:r w:rsidRPr="00862BC8">
              <w:rPr>
                <w:rFonts w:ascii="Times New Roman" w:hAnsi="Times New Roman" w:cs="Times New Roman"/>
                <w:sz w:val="28"/>
                <w:szCs w:val="28"/>
                <w:lang w:val="ro-MO"/>
              </w:rPr>
              <w:t>lipsa de obiecţii şi propuneri</w:t>
            </w:r>
          </w:p>
        </w:tc>
        <w:tc>
          <w:tcPr>
            <w:tcW w:w="3201" w:type="dxa"/>
          </w:tcPr>
          <w:p w:rsidR="00862BC8" w:rsidRPr="00862BC8" w:rsidRDefault="00862BC8" w:rsidP="00BA271E">
            <w:pPr>
              <w:rPr>
                <w:rFonts w:ascii="Times New Roman" w:hAnsi="Times New Roman" w:cs="Times New Roman"/>
                <w:b/>
                <w:sz w:val="28"/>
                <w:szCs w:val="28"/>
                <w:lang w:val="ro-MO"/>
              </w:rPr>
            </w:pPr>
          </w:p>
        </w:tc>
      </w:tr>
      <w:tr w:rsidR="00292370" w:rsidRPr="00FB404D" w:rsidTr="000C2D81">
        <w:trPr>
          <w:trHeight w:val="890"/>
        </w:trPr>
        <w:tc>
          <w:tcPr>
            <w:tcW w:w="3119" w:type="dxa"/>
          </w:tcPr>
          <w:p w:rsidR="00292370" w:rsidRPr="00862BC8" w:rsidRDefault="00292370" w:rsidP="00955634">
            <w:pPr>
              <w:rPr>
                <w:rFonts w:ascii="Times New Roman" w:hAnsi="Times New Roman" w:cs="Times New Roman"/>
                <w:b/>
                <w:sz w:val="28"/>
                <w:szCs w:val="28"/>
                <w:lang w:val="ro-MO"/>
              </w:rPr>
            </w:pPr>
            <w:r w:rsidRPr="00862BC8">
              <w:rPr>
                <w:rFonts w:ascii="Times New Roman" w:hAnsi="Times New Roman" w:cs="Times New Roman"/>
                <w:b/>
                <w:sz w:val="28"/>
                <w:szCs w:val="28"/>
                <w:lang w:val="ro-MO"/>
              </w:rPr>
              <w:t>Agenția Națională pentru Siguranța Alimentelor</w:t>
            </w:r>
          </w:p>
        </w:tc>
        <w:tc>
          <w:tcPr>
            <w:tcW w:w="7513" w:type="dxa"/>
          </w:tcPr>
          <w:p w:rsidR="00292370" w:rsidRPr="00862BC8" w:rsidRDefault="00292370" w:rsidP="00955634">
            <w:pPr>
              <w:pStyle w:val="Default"/>
              <w:jc w:val="both"/>
              <w:rPr>
                <w:color w:val="auto"/>
                <w:sz w:val="28"/>
                <w:szCs w:val="28"/>
                <w:lang w:val="ro-MO"/>
              </w:rPr>
            </w:pPr>
            <w:r w:rsidRPr="00862BC8">
              <w:rPr>
                <w:color w:val="auto"/>
                <w:sz w:val="28"/>
                <w:szCs w:val="28"/>
                <w:lang w:val="ro-MO"/>
              </w:rPr>
              <w:t>lipsa de obiecţii şi propuneri</w:t>
            </w:r>
          </w:p>
        </w:tc>
        <w:tc>
          <w:tcPr>
            <w:tcW w:w="3201" w:type="dxa"/>
          </w:tcPr>
          <w:p w:rsidR="00292370" w:rsidRPr="00862BC8" w:rsidRDefault="00292370" w:rsidP="0014138A">
            <w:pPr>
              <w:jc w:val="both"/>
              <w:rPr>
                <w:rFonts w:ascii="Times New Roman" w:hAnsi="Times New Roman" w:cs="Times New Roman"/>
                <w:sz w:val="28"/>
                <w:szCs w:val="28"/>
                <w:lang w:val="ro-MO"/>
              </w:rPr>
            </w:pPr>
          </w:p>
        </w:tc>
      </w:tr>
      <w:tr w:rsidR="00292370" w:rsidRPr="00FB404D" w:rsidTr="000C2D81">
        <w:trPr>
          <w:trHeight w:val="800"/>
        </w:trPr>
        <w:tc>
          <w:tcPr>
            <w:tcW w:w="3119" w:type="dxa"/>
          </w:tcPr>
          <w:p w:rsidR="00292370" w:rsidRPr="00862BC8" w:rsidRDefault="00292370" w:rsidP="0014138A">
            <w:pPr>
              <w:rPr>
                <w:rFonts w:ascii="Times New Roman" w:hAnsi="Times New Roman" w:cs="Times New Roman"/>
                <w:b/>
                <w:sz w:val="28"/>
                <w:szCs w:val="28"/>
                <w:lang w:val="ro-MO"/>
              </w:rPr>
            </w:pPr>
            <w:r w:rsidRPr="00862BC8">
              <w:rPr>
                <w:rFonts w:ascii="Times New Roman" w:hAnsi="Times New Roman" w:cs="Times New Roman"/>
                <w:b/>
                <w:sz w:val="28"/>
                <w:szCs w:val="28"/>
                <w:lang w:val="ro-MO"/>
              </w:rPr>
              <w:t>Agenția Proprietății Publice</w:t>
            </w:r>
          </w:p>
        </w:tc>
        <w:tc>
          <w:tcPr>
            <w:tcW w:w="7513" w:type="dxa"/>
          </w:tcPr>
          <w:p w:rsidR="00292370" w:rsidRPr="00862BC8" w:rsidRDefault="004657A1" w:rsidP="00B57D36">
            <w:pPr>
              <w:pStyle w:val="Default"/>
              <w:jc w:val="both"/>
              <w:rPr>
                <w:sz w:val="28"/>
                <w:szCs w:val="28"/>
                <w:lang w:val="ro-MO"/>
              </w:rPr>
            </w:pPr>
            <w:r w:rsidRPr="00862BC8">
              <w:rPr>
                <w:sz w:val="28"/>
                <w:szCs w:val="28"/>
                <w:lang w:val="ro-MO"/>
              </w:rPr>
              <w:t>Lipsa de obiecții și propuneri</w:t>
            </w:r>
          </w:p>
        </w:tc>
        <w:tc>
          <w:tcPr>
            <w:tcW w:w="3201" w:type="dxa"/>
          </w:tcPr>
          <w:p w:rsidR="00292370" w:rsidRPr="00862BC8" w:rsidRDefault="00292370" w:rsidP="0014138A">
            <w:pPr>
              <w:jc w:val="both"/>
              <w:rPr>
                <w:rFonts w:ascii="Times New Roman" w:hAnsi="Times New Roman" w:cs="Times New Roman"/>
                <w:sz w:val="28"/>
                <w:szCs w:val="28"/>
                <w:lang w:val="ro-MO"/>
              </w:rPr>
            </w:pPr>
          </w:p>
        </w:tc>
      </w:tr>
      <w:tr w:rsidR="000C2D81" w:rsidRPr="00862BC8" w:rsidTr="000C2D81">
        <w:trPr>
          <w:trHeight w:val="64"/>
        </w:trPr>
        <w:tc>
          <w:tcPr>
            <w:tcW w:w="3119" w:type="dxa"/>
          </w:tcPr>
          <w:p w:rsidR="000C2D81" w:rsidRPr="00862BC8" w:rsidRDefault="000C2D81" w:rsidP="00BA271E">
            <w:pPr>
              <w:rPr>
                <w:rFonts w:ascii="Times New Roman" w:hAnsi="Times New Roman" w:cs="Times New Roman"/>
                <w:b/>
                <w:sz w:val="28"/>
                <w:szCs w:val="28"/>
                <w:lang w:val="ro-MO"/>
              </w:rPr>
            </w:pPr>
            <w:r w:rsidRPr="00862BC8">
              <w:rPr>
                <w:rFonts w:ascii="Times New Roman" w:hAnsi="Times New Roman" w:cs="Times New Roman"/>
                <w:b/>
                <w:sz w:val="28"/>
                <w:szCs w:val="28"/>
                <w:lang w:val="ro-MO"/>
              </w:rPr>
              <w:t>Centrul Naţional Anticorupţie</w:t>
            </w:r>
          </w:p>
        </w:tc>
        <w:tc>
          <w:tcPr>
            <w:tcW w:w="7513" w:type="dxa"/>
          </w:tcPr>
          <w:p w:rsidR="000C2D81" w:rsidRPr="00862BC8" w:rsidRDefault="000C2D81" w:rsidP="00BA271E">
            <w:pPr>
              <w:jc w:val="both"/>
              <w:rPr>
                <w:rFonts w:ascii="Times New Roman" w:hAnsi="Times New Roman" w:cs="Times New Roman"/>
                <w:sz w:val="28"/>
                <w:szCs w:val="28"/>
                <w:lang w:val="ro-MO"/>
              </w:rPr>
            </w:pPr>
          </w:p>
        </w:tc>
        <w:tc>
          <w:tcPr>
            <w:tcW w:w="3201" w:type="dxa"/>
          </w:tcPr>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sz w:val="28"/>
                <w:szCs w:val="28"/>
                <w:shd w:val="clear" w:color="auto" w:fill="FFFFFF"/>
                <w:lang w:val="ro-MO"/>
              </w:rPr>
            </w:pPr>
          </w:p>
          <w:p w:rsidR="000C2D81" w:rsidRPr="00862BC8" w:rsidRDefault="000C2D81" w:rsidP="00BA271E">
            <w:pPr>
              <w:pStyle w:val="a4"/>
              <w:jc w:val="both"/>
              <w:rPr>
                <w:rFonts w:ascii="Times New Roman" w:hAnsi="Times New Roman" w:cs="Times New Roman"/>
                <w:color w:val="FF0000"/>
                <w:sz w:val="28"/>
                <w:szCs w:val="28"/>
                <w:lang w:val="ro-MO"/>
              </w:rPr>
            </w:pPr>
          </w:p>
        </w:tc>
      </w:tr>
    </w:tbl>
    <w:p w:rsidR="00A85615" w:rsidRDefault="00A85615" w:rsidP="00A85615">
      <w:pPr>
        <w:spacing w:after="0"/>
        <w:rPr>
          <w:rFonts w:ascii="Times New Roman" w:hAnsi="Times New Roman" w:cs="Times New Roman"/>
          <w:sz w:val="28"/>
          <w:szCs w:val="28"/>
          <w:lang w:val="ro-MO"/>
        </w:rPr>
      </w:pPr>
    </w:p>
    <w:p w:rsidR="000C2D81" w:rsidRPr="00862BC8" w:rsidRDefault="000C2D81" w:rsidP="00A85615">
      <w:pPr>
        <w:spacing w:after="0"/>
        <w:rPr>
          <w:rFonts w:ascii="Times New Roman" w:hAnsi="Times New Roman" w:cs="Times New Roman"/>
          <w:sz w:val="28"/>
          <w:szCs w:val="28"/>
          <w:lang w:val="ro-MO"/>
        </w:rPr>
      </w:pPr>
    </w:p>
    <w:p w:rsidR="002F3993" w:rsidRPr="00862BC8" w:rsidRDefault="00A85615" w:rsidP="002F3993">
      <w:pPr>
        <w:pStyle w:val="a4"/>
        <w:jc w:val="both"/>
        <w:rPr>
          <w:rFonts w:ascii="Times New Roman" w:hAnsi="Times New Roman" w:cs="Times New Roman"/>
          <w:b/>
          <w:sz w:val="28"/>
          <w:szCs w:val="28"/>
          <w:lang w:val="ro-MO"/>
        </w:rPr>
      </w:pPr>
      <w:r w:rsidRPr="00862BC8">
        <w:rPr>
          <w:rFonts w:ascii="Times New Roman" w:hAnsi="Times New Roman" w:cs="Times New Roman"/>
          <w:sz w:val="28"/>
          <w:szCs w:val="28"/>
          <w:lang w:val="ro-MO"/>
        </w:rPr>
        <w:tab/>
      </w:r>
      <w:r w:rsidRPr="00862BC8">
        <w:rPr>
          <w:rFonts w:ascii="Times New Roman" w:hAnsi="Times New Roman" w:cs="Times New Roman"/>
          <w:sz w:val="28"/>
          <w:szCs w:val="28"/>
          <w:lang w:val="ro-MO"/>
        </w:rPr>
        <w:tab/>
      </w:r>
      <w:r w:rsidR="00F3130D" w:rsidRPr="00862BC8">
        <w:rPr>
          <w:rFonts w:ascii="Times New Roman" w:hAnsi="Times New Roman" w:cs="Times New Roman"/>
          <w:b/>
          <w:sz w:val="28"/>
          <w:szCs w:val="28"/>
          <w:lang w:val="ro-MO"/>
        </w:rPr>
        <w:t>Vicep</w:t>
      </w:r>
      <w:r w:rsidR="002F3993" w:rsidRPr="00862BC8">
        <w:rPr>
          <w:rFonts w:ascii="Times New Roman" w:hAnsi="Times New Roman" w:cs="Times New Roman"/>
          <w:b/>
          <w:sz w:val="28"/>
          <w:szCs w:val="28"/>
          <w:lang w:val="ro-MO"/>
        </w:rPr>
        <w:t>r</w:t>
      </w:r>
      <w:r w:rsidR="00F3130D" w:rsidRPr="00862BC8">
        <w:rPr>
          <w:rFonts w:ascii="Times New Roman" w:hAnsi="Times New Roman" w:cs="Times New Roman"/>
          <w:b/>
          <w:sz w:val="28"/>
          <w:szCs w:val="28"/>
          <w:lang w:val="ro-MO"/>
        </w:rPr>
        <w:t xml:space="preserve">im-ministru, </w:t>
      </w:r>
    </w:p>
    <w:p w:rsidR="00A85615" w:rsidRPr="00862BC8" w:rsidRDefault="00F3130D" w:rsidP="000C2D81">
      <w:pPr>
        <w:pStyle w:val="a4"/>
        <w:ind w:left="708" w:firstLine="708"/>
        <w:jc w:val="both"/>
        <w:rPr>
          <w:rFonts w:ascii="Times New Roman" w:hAnsi="Times New Roman" w:cs="Times New Roman"/>
          <w:b/>
          <w:sz w:val="28"/>
          <w:szCs w:val="28"/>
          <w:lang w:val="ro-MO"/>
        </w:rPr>
      </w:pPr>
      <w:r w:rsidRPr="00862BC8">
        <w:rPr>
          <w:rFonts w:ascii="Times New Roman" w:hAnsi="Times New Roman" w:cs="Times New Roman"/>
          <w:b/>
          <w:sz w:val="28"/>
          <w:szCs w:val="28"/>
          <w:lang w:val="ro-MO"/>
        </w:rPr>
        <w:t xml:space="preserve">ministru al </w:t>
      </w:r>
      <w:r w:rsidR="000C2D81">
        <w:rPr>
          <w:rFonts w:ascii="Times New Roman" w:hAnsi="Times New Roman" w:cs="Times New Roman"/>
          <w:b/>
          <w:sz w:val="28"/>
          <w:szCs w:val="28"/>
          <w:lang w:val="ro-MO"/>
        </w:rPr>
        <w:t>Afacerilor I</w:t>
      </w:r>
      <w:r w:rsidRPr="00862BC8">
        <w:rPr>
          <w:rFonts w:ascii="Times New Roman" w:hAnsi="Times New Roman" w:cs="Times New Roman"/>
          <w:b/>
          <w:sz w:val="28"/>
          <w:szCs w:val="28"/>
          <w:lang w:val="ro-MO"/>
        </w:rPr>
        <w:t>nterne</w:t>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r>
      <w:r w:rsidR="002F3993" w:rsidRPr="00862BC8">
        <w:rPr>
          <w:rFonts w:ascii="Times New Roman" w:hAnsi="Times New Roman" w:cs="Times New Roman"/>
          <w:b/>
          <w:sz w:val="28"/>
          <w:szCs w:val="28"/>
          <w:lang w:val="ro-MO"/>
        </w:rPr>
        <w:tab/>
        <w:t>Andrei NĂSTASE</w:t>
      </w:r>
    </w:p>
    <w:p w:rsidR="00877995" w:rsidRPr="00862BC8" w:rsidRDefault="00877995" w:rsidP="002F3993">
      <w:pPr>
        <w:pStyle w:val="a4"/>
        <w:jc w:val="both"/>
        <w:rPr>
          <w:rFonts w:ascii="Times New Roman" w:hAnsi="Times New Roman" w:cs="Times New Roman"/>
          <w:b/>
          <w:sz w:val="28"/>
          <w:szCs w:val="28"/>
          <w:lang w:val="ro-MO"/>
        </w:rPr>
      </w:pPr>
    </w:p>
    <w:sectPr w:rsidR="00877995" w:rsidRPr="00862BC8" w:rsidSect="00B759AF">
      <w:pgSz w:w="16838" w:h="11906" w:orient="landscape"/>
      <w:pgMar w:top="1008" w:right="720" w:bottom="864"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C1511"/>
    <w:multiLevelType w:val="hybridMultilevel"/>
    <w:tmpl w:val="0278EEAA"/>
    <w:lvl w:ilvl="0" w:tplc="A83A3648">
      <w:start w:val="1"/>
      <w:numFmt w:val="decimal"/>
      <w:lvlText w:val="%1."/>
      <w:lvlJc w:val="left"/>
      <w:pPr>
        <w:ind w:left="1267" w:hanging="360"/>
      </w:pPr>
      <w:rPr>
        <w:rFonts w:hint="default"/>
        <w:b/>
        <w:i/>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85615"/>
    <w:rsid w:val="000609A2"/>
    <w:rsid w:val="000C2D81"/>
    <w:rsid w:val="000D2932"/>
    <w:rsid w:val="000F25E1"/>
    <w:rsid w:val="00102163"/>
    <w:rsid w:val="00103A41"/>
    <w:rsid w:val="00184112"/>
    <w:rsid w:val="001975B2"/>
    <w:rsid w:val="0027100D"/>
    <w:rsid w:val="00275C16"/>
    <w:rsid w:val="002765F2"/>
    <w:rsid w:val="00292370"/>
    <w:rsid w:val="002A487C"/>
    <w:rsid w:val="002D0D61"/>
    <w:rsid w:val="002D39C4"/>
    <w:rsid w:val="002F3993"/>
    <w:rsid w:val="003079DD"/>
    <w:rsid w:val="00332A45"/>
    <w:rsid w:val="003362F0"/>
    <w:rsid w:val="00366528"/>
    <w:rsid w:val="00377FAC"/>
    <w:rsid w:val="003D4DFC"/>
    <w:rsid w:val="004267C1"/>
    <w:rsid w:val="00457DD3"/>
    <w:rsid w:val="004657A1"/>
    <w:rsid w:val="00480F79"/>
    <w:rsid w:val="004B76B1"/>
    <w:rsid w:val="004C1966"/>
    <w:rsid w:val="005B4D36"/>
    <w:rsid w:val="006313CA"/>
    <w:rsid w:val="006369F1"/>
    <w:rsid w:val="006A4FDB"/>
    <w:rsid w:val="00725551"/>
    <w:rsid w:val="00785A16"/>
    <w:rsid w:val="007948A4"/>
    <w:rsid w:val="007A081C"/>
    <w:rsid w:val="00803990"/>
    <w:rsid w:val="00847AEB"/>
    <w:rsid w:val="00847D1C"/>
    <w:rsid w:val="00862BC8"/>
    <w:rsid w:val="00877995"/>
    <w:rsid w:val="008969FC"/>
    <w:rsid w:val="0091731F"/>
    <w:rsid w:val="00973C60"/>
    <w:rsid w:val="009C73A6"/>
    <w:rsid w:val="009E15F7"/>
    <w:rsid w:val="009F5A1C"/>
    <w:rsid w:val="00A25F38"/>
    <w:rsid w:val="00A67A45"/>
    <w:rsid w:val="00A85615"/>
    <w:rsid w:val="00AC6F05"/>
    <w:rsid w:val="00AF0238"/>
    <w:rsid w:val="00B458FF"/>
    <w:rsid w:val="00B57D36"/>
    <w:rsid w:val="00C17FEB"/>
    <w:rsid w:val="00C36E34"/>
    <w:rsid w:val="00CA1A5C"/>
    <w:rsid w:val="00D1112C"/>
    <w:rsid w:val="00D23DC5"/>
    <w:rsid w:val="00D57207"/>
    <w:rsid w:val="00DA6661"/>
    <w:rsid w:val="00DB5693"/>
    <w:rsid w:val="00E03E5B"/>
    <w:rsid w:val="00E51A7C"/>
    <w:rsid w:val="00E552BC"/>
    <w:rsid w:val="00E92471"/>
    <w:rsid w:val="00ED4FF2"/>
    <w:rsid w:val="00F206AE"/>
    <w:rsid w:val="00F25FA3"/>
    <w:rsid w:val="00F3130D"/>
    <w:rsid w:val="00FB404D"/>
    <w:rsid w:val="00FE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15"/>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61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5615"/>
    <w:pPr>
      <w:spacing w:after="0" w:line="240" w:lineRule="auto"/>
    </w:pPr>
    <w:rPr>
      <w:lang w:val="ru-RU"/>
    </w:rPr>
  </w:style>
  <w:style w:type="table" w:styleId="a5">
    <w:name w:val="Light Shading"/>
    <w:basedOn w:val="a1"/>
    <w:uiPriority w:val="60"/>
    <w:rsid w:val="00A856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57D3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847D1C"/>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6</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user-nb</cp:lastModifiedBy>
  <cp:revision>31</cp:revision>
  <dcterms:created xsi:type="dcterms:W3CDTF">2019-08-01T13:23:00Z</dcterms:created>
  <dcterms:modified xsi:type="dcterms:W3CDTF">2019-08-05T04:59:00Z</dcterms:modified>
</cp:coreProperties>
</file>