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6"/>
      </w:tblGrid>
      <w:tr w:rsidR="00A278C2" w:rsidRPr="009770FF" w:rsidTr="00112EE5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C6525" w:rsidRDefault="00CC6525" w:rsidP="00FD7F1C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informativă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278C2" w:rsidRPr="009770FF" w:rsidRDefault="00CC6525" w:rsidP="00FD7F1C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proiectul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hotărîrii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Guvernului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aprobarea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lege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modifcarea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420/2006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reglementare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tehnică</w:t>
            </w:r>
            <w:proofErr w:type="spellEnd"/>
            <w:r w:rsidR="00A278C2" w:rsidRPr="009770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1.</w:t>
            </w: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CC652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Denumirea autorului şi, după caz, a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participanţilor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la elaborarea proiectului</w:t>
            </w: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> </w:t>
            </w:r>
            <w:r w:rsidR="005F5B8F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Ministerul Economiei și Infrastructurii</w:t>
            </w:r>
          </w:p>
          <w:p w:rsidR="0016411D" w:rsidRPr="009770FF" w:rsidRDefault="0016411D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CC6525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C652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2.</w:t>
            </w:r>
            <w:r w:rsidRPr="00CC652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Condiţiile ce au impus elaborarea proiectului de act normativ </w:t>
            </w:r>
            <w:proofErr w:type="spellStart"/>
            <w:r w:rsidRPr="00CC6525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CC652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sz w:val="24"/>
                <w:szCs w:val="24"/>
                <w:lang w:val="ro-MD"/>
              </w:rPr>
              <w:t>finalităţile</w:t>
            </w:r>
            <w:proofErr w:type="spellEnd"/>
            <w:r w:rsidRPr="00CC652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urmărite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725F0" w:rsidRDefault="005F5B8F" w:rsidP="00715D11">
            <w:pPr>
              <w:pStyle w:val="NoSpacing"/>
              <w:tabs>
                <w:tab w:val="left" w:pos="9498"/>
              </w:tabs>
              <w:ind w:right="19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</w:t>
            </w:r>
            <w:r w:rsidR="006725F0" w:rsidRPr="00112EE5">
              <w:rPr>
                <w:rFonts w:ascii="Times New Roman" w:hAnsi="Times New Roman"/>
                <w:sz w:val="24"/>
                <w:szCs w:val="24"/>
                <w:lang w:val="ro-MD"/>
              </w:rPr>
              <w:t>Proiectul</w:t>
            </w:r>
            <w:r w:rsidR="006725F0" w:rsidRPr="006725F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h</w:t>
            </w:r>
            <w:r w:rsidR="006725F0" w:rsidRPr="00112EE5">
              <w:rPr>
                <w:rFonts w:ascii="Times New Roman" w:hAnsi="Times New Roman"/>
                <w:sz w:val="24"/>
                <w:szCs w:val="24"/>
                <w:lang w:val="ro-MD"/>
              </w:rPr>
              <w:t>otărîrii</w:t>
            </w:r>
            <w:r w:rsidR="006725F0" w:rsidRPr="006725F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Guvernului </w:t>
            </w:r>
            <w:r w:rsidR="006725F0" w:rsidRPr="00112EE5">
              <w:rPr>
                <w:rFonts w:ascii="Times New Roman" w:hAnsi="Times New Roman"/>
                <w:sz w:val="24"/>
                <w:szCs w:val="24"/>
                <w:lang w:val="ro-MD"/>
              </w:rPr>
              <w:t>a fost elaborat în scopul</w:t>
            </w: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725F0">
              <w:rPr>
                <w:rFonts w:ascii="Times New Roman" w:hAnsi="Times New Roman"/>
                <w:sz w:val="24"/>
                <w:szCs w:val="24"/>
                <w:lang w:val="ro-MD"/>
              </w:rPr>
              <w:t>ajustării activității de reglementare tehnică națională cu prevederile Acordului privind Barierele Tehnice în calea comerțului a Organizației Mondiale a Comerțului</w:t>
            </w:r>
            <w:r w:rsidR="00101AE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(Acordul TBT)</w:t>
            </w:r>
            <w:r w:rsidR="006725F0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:rsidR="005F5B8F" w:rsidRPr="009770FF" w:rsidRDefault="006725F0" w:rsidP="00715D11">
            <w:pPr>
              <w:pStyle w:val="NoSpacing"/>
              <w:tabs>
                <w:tab w:val="left" w:pos="9498"/>
              </w:tabs>
              <w:ind w:right="19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</w:t>
            </w:r>
            <w:r w:rsidR="00715D11">
              <w:rPr>
                <w:rFonts w:ascii="Times New Roman" w:hAnsi="Times New Roman"/>
                <w:sz w:val="24"/>
                <w:szCs w:val="24"/>
                <w:lang w:val="ro-MD"/>
              </w:rPr>
              <w:t>Conform Legii nr. 218</w:t>
            </w:r>
            <w:r w:rsidR="00A278C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/2001 pentru aderarea Republicii Moldova la Organizaţia Mondială a Comerţului,  </w:t>
            </w:r>
            <w:r w:rsidR="006970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fost ratificat Protocolul de aderare a Republicii Moldova la Acordul de la Marrakech privind constituirea Organizației Mondiale a Comerțului (O.M.C) semnat la Geneva la 8 mai 2001. În acest context  </w:t>
            </w:r>
            <w:r w:rsidR="00A278C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Guvernul Republicii Moldova </w:t>
            </w:r>
            <w:r w:rsidR="006970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desemnat </w:t>
            </w:r>
            <w:r w:rsidR="00A278C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organul de gestiune a activităţilor ce ţin de executarea angajamentelor asumate de Republica Moldova faţă de O.M.C. </w:t>
            </w:r>
            <w:r w:rsidR="006970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pentru </w:t>
            </w:r>
            <w:r w:rsidR="00A278C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asigura</w:t>
            </w:r>
            <w:r w:rsidR="0069701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rea </w:t>
            </w:r>
            <w:r w:rsidR="00A278C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9701F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protej</w:t>
            </w:r>
            <w:r w:rsidR="0069701F">
              <w:rPr>
                <w:rFonts w:ascii="Times New Roman" w:hAnsi="Times New Roman"/>
                <w:sz w:val="24"/>
                <w:szCs w:val="24"/>
                <w:lang w:val="ro-MD"/>
              </w:rPr>
              <w:t>ării</w:t>
            </w:r>
            <w:r w:rsidR="0069701F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278C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="00A278C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9701F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promov</w:t>
            </w:r>
            <w:r w:rsidR="0069701F">
              <w:rPr>
                <w:rFonts w:ascii="Times New Roman" w:hAnsi="Times New Roman"/>
                <w:sz w:val="24"/>
                <w:szCs w:val="24"/>
                <w:lang w:val="ro-MD"/>
              </w:rPr>
              <w:t>ării</w:t>
            </w:r>
            <w:r w:rsidR="0069701F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A278C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intereselor Republicii Moldova în cadrul O.M.C.</w:t>
            </w:r>
          </w:p>
          <w:p w:rsidR="00A278C2" w:rsidRPr="009770FF" w:rsidRDefault="005F5B8F" w:rsidP="00FD7F1C">
            <w:pPr>
              <w:pStyle w:val="NoSpacing"/>
              <w:tabs>
                <w:tab w:val="left" w:pos="9498"/>
              </w:tabs>
              <w:ind w:right="19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  </w:t>
            </w:r>
            <w:r w:rsidR="00A278C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Conform</w:t>
            </w:r>
            <w:r w:rsidR="003E032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H</w:t>
            </w: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>otărîrii de Guvern n</w:t>
            </w:r>
            <w:r w:rsidR="003E032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r. 1035/2000 </w:t>
            </w:r>
            <w:r w:rsidR="003E0320" w:rsidRPr="009770F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privind îndeplinirea angajamentelor asumate de Republica Moldova faţă de Organizaţia Mondială a Comerţului</w:t>
            </w:r>
            <w:r w:rsidR="003E032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, Ministerul Economiei şi Infrastructurii este desemnat ca organ coordonator al activităţii ministerelor şi departamentelor în problemele aderării Republicii Moldova la OMC</w:t>
            </w:r>
            <w:r w:rsidR="00AD7D2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, iar t</w:t>
            </w:r>
            <w:r w:rsidR="003E032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oate documentele pregătite pentru notificare </w:t>
            </w:r>
            <w:r w:rsidR="00AD7D2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urmează a fi</w:t>
            </w:r>
            <w:r w:rsidR="003E032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avizate în mod obligatoriu de către </w:t>
            </w:r>
            <w:r w:rsidR="0069701F">
              <w:rPr>
                <w:rFonts w:ascii="Times New Roman" w:hAnsi="Times New Roman"/>
                <w:sz w:val="24"/>
                <w:szCs w:val="24"/>
                <w:lang w:val="ro-MD"/>
              </w:rPr>
              <w:t>acesta.</w:t>
            </w:r>
          </w:p>
          <w:p w:rsidR="0016411D" w:rsidRPr="009770FF" w:rsidRDefault="003E0320" w:rsidP="00FD7F1C">
            <w:pPr>
              <w:pStyle w:val="NormalWeb"/>
              <w:tabs>
                <w:tab w:val="left" w:pos="9498"/>
              </w:tabs>
              <w:ind w:right="191"/>
              <w:rPr>
                <w:strike/>
                <w:lang w:val="ro-MD"/>
              </w:rPr>
            </w:pPr>
            <w:r w:rsidRPr="009770FF">
              <w:rPr>
                <w:lang w:val="ro-MD"/>
              </w:rPr>
              <w:t>Conform</w:t>
            </w:r>
            <w:r w:rsidR="005F5B8F" w:rsidRPr="009770FF">
              <w:rPr>
                <w:lang w:val="ro-MD"/>
              </w:rPr>
              <w:t xml:space="preserve"> art. 19 din </w:t>
            </w:r>
            <w:r w:rsidRPr="009770FF">
              <w:rPr>
                <w:lang w:val="ro-MD"/>
              </w:rPr>
              <w:t>Leg</w:t>
            </w:r>
            <w:r w:rsidR="005F5B8F" w:rsidRPr="009770FF">
              <w:rPr>
                <w:lang w:val="ro-MD"/>
              </w:rPr>
              <w:t>ea</w:t>
            </w:r>
            <w:r w:rsidRPr="009770FF">
              <w:rPr>
                <w:lang w:val="ro-MD"/>
              </w:rPr>
              <w:t xml:space="preserve"> nr. 20/</w:t>
            </w:r>
            <w:r w:rsidR="00AD7D26" w:rsidRPr="009770FF">
              <w:rPr>
                <w:lang w:val="ro-MD"/>
              </w:rPr>
              <w:t>2016 cu privire la standardizare națională</w:t>
            </w:r>
            <w:r w:rsidR="005F5B8F" w:rsidRPr="009770FF">
              <w:rPr>
                <w:lang w:val="ro-MD"/>
              </w:rPr>
              <w:t xml:space="preserve"> Ministerul Economiei şi Infrastructurii este organul central de specialitate al administraţiei publice responsabil de infrastructura calităţii care asigură monitorizarea </w:t>
            </w:r>
            <w:proofErr w:type="spellStart"/>
            <w:r w:rsidR="005F5B8F" w:rsidRPr="009770FF">
              <w:rPr>
                <w:lang w:val="ro-MD"/>
              </w:rPr>
              <w:t>activităţii</w:t>
            </w:r>
            <w:proofErr w:type="spellEnd"/>
            <w:r w:rsidR="005F5B8F" w:rsidRPr="009770FF">
              <w:rPr>
                <w:lang w:val="ro-MD"/>
              </w:rPr>
              <w:t xml:space="preserve"> de standardizare, </w:t>
            </w:r>
            <w:proofErr w:type="spellStart"/>
            <w:r w:rsidR="005F5B8F" w:rsidRPr="009770FF">
              <w:rPr>
                <w:lang w:val="ro-MD"/>
              </w:rPr>
              <w:t>desfăşurată</w:t>
            </w:r>
            <w:proofErr w:type="spellEnd"/>
            <w:r w:rsidR="005F5B8F" w:rsidRPr="009770FF">
              <w:rPr>
                <w:lang w:val="ro-MD"/>
              </w:rPr>
              <w:t xml:space="preserve"> de către organismul naţional de standardizare; reprezintă Republica Moldova în relaţiile oficiale de colaborare în domeniul standardizării, în conformitate cu tratatele internaţionale la care Republica Moldova este parte ș</w:t>
            </w:r>
            <w:r w:rsidR="004B0AC2" w:rsidRPr="009770FF">
              <w:rPr>
                <w:lang w:val="ro-MD"/>
              </w:rPr>
              <w:t xml:space="preserve">i </w:t>
            </w:r>
            <w:r w:rsidR="005F5B8F" w:rsidRPr="009770FF">
              <w:rPr>
                <w:lang w:val="ro-MD"/>
              </w:rPr>
              <w:t>asigură măsurile necesare în vederea corelării politicilor naţionale cu politicile Uniunii Europene în domeniul standardizării.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CC6525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C652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3.</w:t>
            </w:r>
            <w:r w:rsidRPr="00CC652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Descrierea gradului de compatibilitate pentru proiectele care au ca scop armonizarea legislaţiei naţionale cu legislaţia Uniunii Europene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C6525" w:rsidRDefault="00CC6525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>
              <w:rPr>
                <w:lang w:val="ro-MD"/>
              </w:rPr>
              <w:t xml:space="preserve">Proiectul legii nu conține norme privind armonizarea directă/nemijlocită a legislației naționale cu acte juridice ale Uniunii Europene. </w:t>
            </w:r>
          </w:p>
          <w:p w:rsidR="002A5B95" w:rsidRPr="009770FF" w:rsidRDefault="00CC6525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>
              <w:rPr>
                <w:lang w:val="ro-MD"/>
              </w:rPr>
              <w:t xml:space="preserve">Totodată, </w:t>
            </w:r>
            <w:r w:rsidR="002A5B95" w:rsidRPr="009770FF">
              <w:rPr>
                <w:lang w:val="ro-MD"/>
              </w:rPr>
              <w:t>Acordul de Asociere</w:t>
            </w:r>
            <w:r w:rsidR="007343DD">
              <w:rPr>
                <w:lang w:val="ro-MD"/>
              </w:rPr>
              <w:t xml:space="preserve">/Acordul DCFTA </w:t>
            </w:r>
            <w:r w:rsidR="002A5B95" w:rsidRPr="009770FF">
              <w:rPr>
                <w:lang w:val="ro-MD"/>
              </w:rPr>
              <w:t xml:space="preserve"> </w:t>
            </w:r>
            <w:r w:rsidR="00521469" w:rsidRPr="009770FF">
              <w:rPr>
                <w:lang w:val="ro-MD"/>
              </w:rPr>
              <w:t xml:space="preserve">(Capitolul 3) stipulează că prevederile </w:t>
            </w:r>
            <w:r>
              <w:rPr>
                <w:lang w:val="ro-MD"/>
              </w:rPr>
              <w:t>C</w:t>
            </w:r>
            <w:r w:rsidR="00521469" w:rsidRPr="009770FF">
              <w:rPr>
                <w:lang w:val="ro-MD"/>
              </w:rPr>
              <w:t>apitol</w:t>
            </w:r>
            <w:r>
              <w:rPr>
                <w:lang w:val="ro-MD"/>
              </w:rPr>
              <w:t>ului 3</w:t>
            </w:r>
            <w:r w:rsidR="00521469" w:rsidRPr="009770FF">
              <w:rPr>
                <w:lang w:val="ro-MD"/>
              </w:rPr>
              <w:t xml:space="preserve"> se aplică la </w:t>
            </w:r>
            <w:r w:rsidR="002A5B95" w:rsidRPr="009770FF">
              <w:rPr>
                <w:lang w:val="ro-MD"/>
              </w:rPr>
              <w:t>elabor</w:t>
            </w:r>
            <w:r w:rsidR="00521469" w:rsidRPr="009770FF">
              <w:rPr>
                <w:lang w:val="ro-MD"/>
              </w:rPr>
              <w:t>area</w:t>
            </w:r>
            <w:r w:rsidR="002A5B95" w:rsidRPr="009770FF">
              <w:rPr>
                <w:lang w:val="ro-MD"/>
              </w:rPr>
              <w:t>, adopt</w:t>
            </w:r>
            <w:r w:rsidR="00521469" w:rsidRPr="009770FF">
              <w:rPr>
                <w:lang w:val="ro-MD"/>
              </w:rPr>
              <w:t>area</w:t>
            </w:r>
            <w:r w:rsidR="002A5B95" w:rsidRPr="009770FF">
              <w:rPr>
                <w:lang w:val="ro-MD"/>
              </w:rPr>
              <w:t xml:space="preserve"> şi aplic</w:t>
            </w:r>
            <w:r w:rsidR="00521469" w:rsidRPr="009770FF">
              <w:rPr>
                <w:lang w:val="ro-MD"/>
              </w:rPr>
              <w:t>area</w:t>
            </w:r>
            <w:r w:rsidR="002A5B95" w:rsidRPr="009770FF">
              <w:rPr>
                <w:lang w:val="ro-MD"/>
              </w:rPr>
              <w:t xml:space="preserve"> standardelor, reglementărilor tehnice şi procedurilor de evaluare a conformităţii definite în Acordul privind barierele tehnice</w:t>
            </w:r>
            <w:r w:rsidR="00521469" w:rsidRPr="009770FF">
              <w:rPr>
                <w:lang w:val="ro-MD"/>
              </w:rPr>
              <w:t xml:space="preserve"> </w:t>
            </w:r>
            <w:r w:rsidR="002A5B95" w:rsidRPr="009770FF">
              <w:rPr>
                <w:lang w:val="ro-MD"/>
              </w:rPr>
              <w:t xml:space="preserve">în calea comerţului prevăzut în anexa 1A la Acordul OMC </w:t>
            </w:r>
            <w:r w:rsidR="00521469" w:rsidRPr="009770FF">
              <w:rPr>
                <w:lang w:val="ro-MD"/>
              </w:rPr>
              <w:t xml:space="preserve">(Acordul </w:t>
            </w:r>
            <w:r w:rsidR="00101AE6">
              <w:rPr>
                <w:lang w:val="ro-MD"/>
              </w:rPr>
              <w:t>TBT</w:t>
            </w:r>
            <w:r w:rsidR="00521469" w:rsidRPr="009770FF">
              <w:rPr>
                <w:lang w:val="ro-MD"/>
              </w:rPr>
              <w:t xml:space="preserve">) </w:t>
            </w:r>
            <w:r w:rsidR="002A5B95" w:rsidRPr="009770FF">
              <w:rPr>
                <w:lang w:val="ro-MD"/>
              </w:rPr>
              <w:t xml:space="preserve">care poate afecta comerţul cu mărfuri între părţi. </w:t>
            </w:r>
          </w:p>
          <w:p w:rsidR="00A278C2" w:rsidRPr="009770FF" w:rsidRDefault="00521469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 w:rsidRPr="009770FF">
              <w:rPr>
                <w:lang w:val="ro-MD"/>
              </w:rPr>
              <w:t>Conform angajamentelor</w:t>
            </w:r>
            <w:r w:rsidR="002A5B95" w:rsidRPr="009770FF">
              <w:rPr>
                <w:lang w:val="ro-MD"/>
              </w:rPr>
              <w:t xml:space="preserve"> asumate prin </w:t>
            </w:r>
            <w:r w:rsidRPr="009770FF">
              <w:rPr>
                <w:lang w:val="ro-MD"/>
              </w:rPr>
              <w:t>art. 172 din Acordul de As</w:t>
            </w:r>
            <w:r w:rsidR="002A5B95" w:rsidRPr="009770FF">
              <w:rPr>
                <w:lang w:val="ro-MD"/>
              </w:rPr>
              <w:t>ociere</w:t>
            </w:r>
            <w:r w:rsidR="00101AE6">
              <w:rPr>
                <w:lang w:val="ro-MD"/>
              </w:rPr>
              <w:t>/ Acordul DCFTA</w:t>
            </w:r>
            <w:r w:rsidR="002A5B95" w:rsidRPr="009770FF">
              <w:rPr>
                <w:lang w:val="ro-MD"/>
              </w:rPr>
              <w:t xml:space="preserve"> ”Părţile îşi reafirmă drepturile </w:t>
            </w:r>
            <w:proofErr w:type="spellStart"/>
            <w:r w:rsidR="002A5B95" w:rsidRPr="009770FF">
              <w:rPr>
                <w:lang w:val="ro-MD"/>
              </w:rPr>
              <w:t>şi</w:t>
            </w:r>
            <w:proofErr w:type="spellEnd"/>
            <w:r w:rsidR="002A5B95" w:rsidRPr="009770FF">
              <w:rPr>
                <w:lang w:val="ro-MD"/>
              </w:rPr>
              <w:t xml:space="preserve"> obliga</w:t>
            </w:r>
            <w:r w:rsidR="006725F0">
              <w:rPr>
                <w:lang w:val="ro-MD"/>
              </w:rPr>
              <w:t>ț</w:t>
            </w:r>
            <w:r w:rsidR="002A5B95" w:rsidRPr="009770FF">
              <w:rPr>
                <w:lang w:val="ro-MD"/>
              </w:rPr>
              <w:t xml:space="preserve">iile reciproce care le revin în temeiul Acordului </w:t>
            </w:r>
            <w:r w:rsidR="00101AE6">
              <w:rPr>
                <w:lang w:val="ro-MD"/>
              </w:rPr>
              <w:t>TBT</w:t>
            </w:r>
            <w:r w:rsidR="002A5B95" w:rsidRPr="009770FF">
              <w:rPr>
                <w:lang w:val="ro-MD"/>
              </w:rPr>
              <w:t xml:space="preserve">, care este </w:t>
            </w:r>
            <w:r w:rsidR="006725F0">
              <w:rPr>
                <w:lang w:val="ro-MD"/>
              </w:rPr>
              <w:t xml:space="preserve">încorporat </w:t>
            </w:r>
            <w:r w:rsidR="006725F0" w:rsidRPr="009770FF">
              <w:rPr>
                <w:lang w:val="ro-MD"/>
              </w:rPr>
              <w:t xml:space="preserve"> </w:t>
            </w:r>
            <w:r w:rsidR="002A5B95" w:rsidRPr="009770FF">
              <w:rPr>
                <w:lang w:val="ro-MD"/>
              </w:rPr>
              <w:t>în prezentul acord şi face parte integrantă din acesta”. În</w:t>
            </w:r>
            <w:r w:rsidRPr="009770FF">
              <w:rPr>
                <w:lang w:val="ro-MD"/>
              </w:rPr>
              <w:t xml:space="preserve"> context, în</w:t>
            </w:r>
            <w:r w:rsidR="002A5B95" w:rsidRPr="009770FF">
              <w:rPr>
                <w:lang w:val="ro-MD"/>
              </w:rPr>
              <w:t xml:space="preserve"> cadrul cooperării tehnice părțile urmăresc </w:t>
            </w:r>
            <w:r w:rsidR="006725F0">
              <w:rPr>
                <w:lang w:val="ro-MD"/>
              </w:rPr>
              <w:t xml:space="preserve">să </w:t>
            </w:r>
            <w:r w:rsidR="002A5B95" w:rsidRPr="009770FF">
              <w:rPr>
                <w:lang w:val="ro-MD"/>
              </w:rPr>
              <w:t xml:space="preserve">promoveze </w:t>
            </w:r>
            <w:proofErr w:type="spellStart"/>
            <w:r w:rsidR="002A5B95" w:rsidRPr="009770FF">
              <w:rPr>
                <w:lang w:val="ro-MD"/>
              </w:rPr>
              <w:t>iniţiative</w:t>
            </w:r>
            <w:proofErr w:type="spellEnd"/>
            <w:r w:rsidR="002A5B95" w:rsidRPr="009770FF">
              <w:rPr>
                <w:lang w:val="ro-MD"/>
              </w:rPr>
              <w:t xml:space="preserve"> de facilitare a comerţului, care pot include căutarea unor </w:t>
            </w:r>
            <w:proofErr w:type="spellStart"/>
            <w:r w:rsidR="002A5B95" w:rsidRPr="009770FF">
              <w:rPr>
                <w:lang w:val="ro-MD"/>
              </w:rPr>
              <w:t>soluţii</w:t>
            </w:r>
            <w:proofErr w:type="spellEnd"/>
            <w:r w:rsidR="002A5B95" w:rsidRPr="009770FF">
              <w:rPr>
                <w:lang w:val="ro-MD"/>
              </w:rPr>
              <w:t xml:space="preserve"> la </w:t>
            </w:r>
            <w:r w:rsidR="006725F0">
              <w:rPr>
                <w:lang w:val="ro-MD"/>
              </w:rPr>
              <w:t xml:space="preserve">eliminarea </w:t>
            </w:r>
            <w:r w:rsidR="002A5B95" w:rsidRPr="009770FF">
              <w:rPr>
                <w:lang w:val="ro-MD"/>
              </w:rPr>
              <w:t>barierel</w:t>
            </w:r>
            <w:r w:rsidR="006725F0">
              <w:rPr>
                <w:lang w:val="ro-MD"/>
              </w:rPr>
              <w:t>or</w:t>
            </w:r>
            <w:r w:rsidR="002A5B95" w:rsidRPr="009770FF">
              <w:rPr>
                <w:lang w:val="ro-MD"/>
              </w:rPr>
              <w:t xml:space="preserve"> tehnice care ar putea să apară în calea </w:t>
            </w:r>
            <w:proofErr w:type="spellStart"/>
            <w:r w:rsidR="002A5B95" w:rsidRPr="009770FF">
              <w:rPr>
                <w:lang w:val="ro-MD"/>
              </w:rPr>
              <w:t>comerţului</w:t>
            </w:r>
            <w:proofErr w:type="spellEnd"/>
            <w:r w:rsidR="002A5B95" w:rsidRPr="009770FF">
              <w:rPr>
                <w:lang w:val="ro-MD"/>
              </w:rPr>
              <w:t xml:space="preserve"> </w:t>
            </w:r>
            <w:proofErr w:type="spellStart"/>
            <w:r w:rsidR="002A5B95" w:rsidRPr="009770FF">
              <w:rPr>
                <w:lang w:val="ro-MD"/>
              </w:rPr>
              <w:t>şi</w:t>
            </w:r>
            <w:proofErr w:type="spellEnd"/>
            <w:r w:rsidR="002A5B95" w:rsidRPr="009770FF">
              <w:rPr>
                <w:lang w:val="ro-MD"/>
              </w:rPr>
              <w:t xml:space="preserve"> </w:t>
            </w:r>
            <w:r w:rsidR="007343DD">
              <w:rPr>
                <w:lang w:val="ro-MD"/>
              </w:rPr>
              <w:t xml:space="preserve">să </w:t>
            </w:r>
            <w:r w:rsidR="007343DD" w:rsidRPr="009770FF">
              <w:rPr>
                <w:lang w:val="ro-MD"/>
              </w:rPr>
              <w:t>coordon</w:t>
            </w:r>
            <w:r w:rsidR="007343DD">
              <w:rPr>
                <w:lang w:val="ro-MD"/>
              </w:rPr>
              <w:t>eze poziț</w:t>
            </w:r>
            <w:r w:rsidR="007343DD" w:rsidRPr="009770FF">
              <w:rPr>
                <w:lang w:val="ro-MD"/>
              </w:rPr>
              <w:t>iil</w:t>
            </w:r>
            <w:r w:rsidR="007343DD">
              <w:rPr>
                <w:lang w:val="ro-MD"/>
              </w:rPr>
              <w:t xml:space="preserve">e </w:t>
            </w:r>
            <w:r w:rsidR="007343DD" w:rsidRPr="009770FF">
              <w:rPr>
                <w:lang w:val="ro-MD"/>
              </w:rPr>
              <w:t xml:space="preserve"> </w:t>
            </w:r>
            <w:r w:rsidR="007343DD">
              <w:rPr>
                <w:lang w:val="ro-MD"/>
              </w:rPr>
              <w:t xml:space="preserve"> sale </w:t>
            </w:r>
            <w:r w:rsidR="007343DD" w:rsidRPr="009770FF">
              <w:rPr>
                <w:lang w:val="ro-MD"/>
              </w:rPr>
              <w:t xml:space="preserve"> </w:t>
            </w:r>
            <w:r w:rsidR="002A5B95" w:rsidRPr="009770FF">
              <w:rPr>
                <w:lang w:val="ro-MD"/>
              </w:rPr>
              <w:t>în cadrul organizaţiilor comerciale şi de reglementare internaţionale, cum ar fi O</w:t>
            </w:r>
            <w:r w:rsidRPr="009770FF">
              <w:rPr>
                <w:lang w:val="ro-MD"/>
              </w:rPr>
              <w:t>rganizația Mondială a Comerțului (OMC)</w:t>
            </w:r>
            <w:r w:rsidR="002A5B95" w:rsidRPr="009770FF">
              <w:rPr>
                <w:lang w:val="ro-MD"/>
              </w:rPr>
              <w:t xml:space="preserve"> şi Comisia Economică pentru Europa a </w:t>
            </w:r>
            <w:proofErr w:type="spellStart"/>
            <w:r w:rsidR="002A5B95" w:rsidRPr="009770FF">
              <w:rPr>
                <w:lang w:val="ro-MD"/>
              </w:rPr>
              <w:t>Naţiunilor</w:t>
            </w:r>
            <w:proofErr w:type="spellEnd"/>
            <w:r w:rsidR="002A5B95" w:rsidRPr="009770FF">
              <w:rPr>
                <w:lang w:val="ro-MD"/>
              </w:rPr>
              <w:t xml:space="preserve"> Unite</w:t>
            </w:r>
            <w:r w:rsidRPr="009770FF">
              <w:rPr>
                <w:lang w:val="ro-MD"/>
              </w:rPr>
              <w:t xml:space="preserve"> (CEE ONU)</w:t>
            </w:r>
            <w:r w:rsidR="002A5B95" w:rsidRPr="009770FF">
              <w:rPr>
                <w:lang w:val="ro-MD"/>
              </w:rPr>
              <w:t>.</w:t>
            </w:r>
          </w:p>
          <w:p w:rsidR="00101AE6" w:rsidRDefault="00EE5E27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 w:rsidRPr="009770FF">
              <w:rPr>
                <w:lang w:val="ro-MD"/>
              </w:rPr>
              <w:lastRenderedPageBreak/>
              <w:t>În plus,</w:t>
            </w:r>
            <w:r w:rsidR="00521469" w:rsidRPr="009770FF">
              <w:rPr>
                <w:lang w:val="ro-MD"/>
              </w:rPr>
              <w:t xml:space="preserve"> </w:t>
            </w:r>
            <w:r w:rsidR="00C73609" w:rsidRPr="009770FF">
              <w:rPr>
                <w:lang w:val="ro-MD"/>
              </w:rPr>
              <w:t>Acordul de Asociere</w:t>
            </w:r>
            <w:r w:rsidR="007343DD">
              <w:rPr>
                <w:lang w:val="ro-MD"/>
              </w:rPr>
              <w:t>/ Acordul DCFTA</w:t>
            </w:r>
            <w:r w:rsidR="00C73609" w:rsidRPr="009770FF">
              <w:rPr>
                <w:lang w:val="ro-MD"/>
              </w:rPr>
              <w:t xml:space="preserve"> stipulează că în vederea apropierii reglementărilor tehnice, standardelor și evaluării conformității Republica Moldova preia </w:t>
            </w:r>
            <w:r w:rsidR="00C73609" w:rsidRPr="009770FF">
              <w:rPr>
                <w:i/>
                <w:iCs/>
                <w:lang w:val="ro-MD"/>
              </w:rPr>
              <w:t>acquis</w:t>
            </w:r>
            <w:r w:rsidR="00C73609" w:rsidRPr="009770FF">
              <w:rPr>
                <w:lang w:val="ro-MD"/>
              </w:rPr>
              <w:t>-</w:t>
            </w:r>
            <w:proofErr w:type="spellStart"/>
            <w:r w:rsidR="00C73609" w:rsidRPr="009770FF">
              <w:rPr>
                <w:lang w:val="ro-MD"/>
              </w:rPr>
              <w:t>ul</w:t>
            </w:r>
            <w:proofErr w:type="spellEnd"/>
            <w:r w:rsidR="00C73609" w:rsidRPr="009770FF">
              <w:rPr>
                <w:lang w:val="ro-MD"/>
              </w:rPr>
              <w:t xml:space="preserve"> comunitar în legislația națională. </w:t>
            </w:r>
            <w:r w:rsidR="00BB41A9" w:rsidRPr="009770FF">
              <w:rPr>
                <w:lang w:val="ro-MD"/>
              </w:rPr>
              <w:t xml:space="preserve">În același timp, </w:t>
            </w:r>
            <w:r w:rsidR="00750169">
              <w:rPr>
                <w:lang w:val="ro-MD"/>
              </w:rPr>
              <w:t xml:space="preserve">articolul 175 din Acordul DCFTA </w:t>
            </w:r>
          </w:p>
          <w:p w:rsidR="00521469" w:rsidRPr="009770FF" w:rsidRDefault="00750169" w:rsidP="00112EE5">
            <w:pPr>
              <w:pStyle w:val="NormalWeb"/>
              <w:tabs>
                <w:tab w:val="left" w:pos="9498"/>
              </w:tabs>
              <w:ind w:right="191" w:firstLine="0"/>
              <w:rPr>
                <w:lang w:val="ro-MD"/>
              </w:rPr>
            </w:pPr>
            <w:r>
              <w:rPr>
                <w:lang w:val="ro-MD"/>
              </w:rPr>
              <w:t xml:space="preserve">prevede expres,  că </w:t>
            </w:r>
            <w:r w:rsidR="00C73609" w:rsidRPr="009770FF">
              <w:rPr>
                <w:lang w:val="ro-MD"/>
              </w:rPr>
              <w:t xml:space="preserve">în ceea ce priveşte reglementările tehnice legate de cerinţele de etichetare şi de marcare, </w:t>
            </w:r>
            <w:proofErr w:type="spellStart"/>
            <w:r w:rsidR="00C73609" w:rsidRPr="009770FF">
              <w:rPr>
                <w:lang w:val="ro-MD"/>
              </w:rPr>
              <w:t>părţile</w:t>
            </w:r>
            <w:proofErr w:type="spellEnd"/>
            <w:r w:rsidR="00C73609" w:rsidRPr="009770FF">
              <w:rPr>
                <w:lang w:val="ro-MD"/>
              </w:rPr>
              <w:t xml:space="preserve"> reafirmă principiile </w:t>
            </w:r>
            <w:proofErr w:type="spellStart"/>
            <w:r w:rsidR="00C73609" w:rsidRPr="009770FF">
              <w:rPr>
                <w:lang w:val="ro-MD"/>
              </w:rPr>
              <w:t>enunţate</w:t>
            </w:r>
            <w:proofErr w:type="spellEnd"/>
            <w:r w:rsidR="00C73609" w:rsidRPr="009770FF">
              <w:rPr>
                <w:lang w:val="ro-MD"/>
              </w:rPr>
              <w:t xml:space="preserve"> în capitolul 2.2 din Acordul BTC, conform cărora aceste cerinţe nu sunt elaborate, adoptate sau aplicate cu scopul sau cu rezultatul de a crea obstacole inutile în calea comerţului internaţional. </w:t>
            </w:r>
          </w:p>
          <w:p w:rsidR="00C73609" w:rsidRPr="009770FF" w:rsidRDefault="00521469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 w:rsidRPr="009770FF">
              <w:rPr>
                <w:lang w:val="ro-MD"/>
              </w:rPr>
              <w:t>Astfel, Republica Moldova</w:t>
            </w:r>
            <w:r w:rsidR="00C73609" w:rsidRPr="009770FF">
              <w:rPr>
                <w:lang w:val="ro-MD"/>
              </w:rPr>
              <w:t>,</w:t>
            </w:r>
            <w:r w:rsidRPr="009770FF">
              <w:rPr>
                <w:lang w:val="ro-MD"/>
              </w:rPr>
              <w:t xml:space="preserve"> </w:t>
            </w:r>
            <w:proofErr w:type="spellStart"/>
            <w:r w:rsidR="00C73609" w:rsidRPr="009770FF">
              <w:rPr>
                <w:lang w:val="ro-MD"/>
              </w:rPr>
              <w:t>avînd</w:t>
            </w:r>
            <w:proofErr w:type="spellEnd"/>
            <w:r w:rsidR="00C73609" w:rsidRPr="009770FF">
              <w:rPr>
                <w:lang w:val="ro-MD"/>
              </w:rPr>
              <w:t xml:space="preserve"> drept scop alinierea legislației cu </w:t>
            </w:r>
            <w:r w:rsidR="00C73609" w:rsidRPr="009770FF">
              <w:rPr>
                <w:i/>
                <w:iCs/>
              </w:rPr>
              <w:t>acquis</w:t>
            </w:r>
            <w:r w:rsidR="00C73609" w:rsidRPr="009770FF">
              <w:t>-</w:t>
            </w:r>
            <w:proofErr w:type="spellStart"/>
            <w:r w:rsidR="00C73609" w:rsidRPr="009770FF">
              <w:t>ul</w:t>
            </w:r>
            <w:proofErr w:type="spellEnd"/>
            <w:r w:rsidR="00C73609" w:rsidRPr="009770FF">
              <w:t xml:space="preserve"> </w:t>
            </w:r>
            <w:proofErr w:type="spellStart"/>
            <w:r w:rsidR="00C73609" w:rsidRPr="009770FF">
              <w:t>comunitar</w:t>
            </w:r>
            <w:proofErr w:type="spellEnd"/>
            <w:r w:rsidR="00C73609" w:rsidRPr="009770FF">
              <w:t xml:space="preserve">, </w:t>
            </w:r>
            <w:proofErr w:type="spellStart"/>
            <w:r w:rsidR="00C73609" w:rsidRPr="009770FF">
              <w:t>este</w:t>
            </w:r>
            <w:proofErr w:type="spellEnd"/>
            <w:r w:rsidR="00C73609" w:rsidRPr="009770FF">
              <w:t xml:space="preserve"> </w:t>
            </w:r>
            <w:proofErr w:type="spellStart"/>
            <w:r w:rsidR="00C73609" w:rsidRPr="009770FF">
              <w:t>obligată</w:t>
            </w:r>
            <w:proofErr w:type="spellEnd"/>
            <w:r w:rsidR="00C73609" w:rsidRPr="009770FF">
              <w:t xml:space="preserve"> </w:t>
            </w:r>
            <w:proofErr w:type="spellStart"/>
            <w:r w:rsidR="00C73609" w:rsidRPr="009770FF">
              <w:t>să</w:t>
            </w:r>
            <w:proofErr w:type="spellEnd"/>
            <w:r w:rsidR="00C73609" w:rsidRPr="009770FF">
              <w:t xml:space="preserve"> </w:t>
            </w:r>
            <w:r w:rsidRPr="009770FF">
              <w:rPr>
                <w:lang w:val="ro-MD"/>
              </w:rPr>
              <w:t>urmă</w:t>
            </w:r>
            <w:r w:rsidR="00C73609" w:rsidRPr="009770FF">
              <w:rPr>
                <w:lang w:val="ro-MD"/>
              </w:rPr>
              <w:t>rească</w:t>
            </w:r>
            <w:r w:rsidRPr="009770FF">
              <w:rPr>
                <w:lang w:val="ro-MD"/>
              </w:rPr>
              <w:t xml:space="preserve"> evoluțiile care au loc, inclusiv, în cadrul OMC.</w:t>
            </w:r>
          </w:p>
          <w:p w:rsidR="00753479" w:rsidRPr="009770FF" w:rsidRDefault="00753479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 w:rsidRPr="009770FF">
              <w:rPr>
                <w:lang w:val="ro-MD"/>
              </w:rPr>
              <w:t xml:space="preserve">Acordul privind barierele tehnice în calea comerțului (TBT) vizează asigurarea faptului că reglementările tehnice, standardele și procedurile de evaluare a conformității nu sunt nediscriminatorii și nu creează obstacole inutile în calea comerțului. În același timp, este recunoscut dreptul membrilor OMC de a pune în aplicare măsuri pentru a atinge obiectivele politice </w:t>
            </w:r>
            <w:r w:rsidR="00556E42" w:rsidRPr="009770FF">
              <w:rPr>
                <w:lang w:val="ro-MD"/>
              </w:rPr>
              <w:t>legitime</w:t>
            </w:r>
            <w:r w:rsidRPr="009770FF">
              <w:rPr>
                <w:lang w:val="ro-MD"/>
              </w:rPr>
              <w:t>, cum ar fi protecția sănătății și securității umane sau protecția mediului. Acordul TBT încurajează puternic membrii să-și bazeze măsurile pe standardele internaționale ca mijloc de facilitare a comerțului. Prin prevederile privind transparența, se dorește, de asemenea, crearea unui mediu comercial previzibil.</w:t>
            </w:r>
          </w:p>
          <w:p w:rsidR="00753479" w:rsidRPr="009770FF" w:rsidRDefault="00EE5E27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 w:rsidRPr="009770FF">
              <w:rPr>
                <w:lang w:val="ro-MD"/>
              </w:rPr>
              <w:t>Comitetul OMC privind bariere tehnice în calea comerțului</w:t>
            </w:r>
            <w:r w:rsidR="00E30580" w:rsidRPr="009770FF">
              <w:rPr>
                <w:lang w:val="ro-MD"/>
              </w:rPr>
              <w:t xml:space="preserve"> (Comitetul OMC) </w:t>
            </w:r>
            <w:r w:rsidR="00753479" w:rsidRPr="009770FF">
              <w:rPr>
                <w:lang w:val="ro-MD"/>
              </w:rPr>
              <w:t xml:space="preserve">periodic actualizează deciziile </w:t>
            </w:r>
            <w:r w:rsidR="00E30580" w:rsidRPr="009770FF">
              <w:rPr>
                <w:lang w:val="ro-MD"/>
              </w:rPr>
              <w:t xml:space="preserve">sale </w:t>
            </w:r>
            <w:r w:rsidR="00753479" w:rsidRPr="009770FF">
              <w:rPr>
                <w:lang w:val="ro-MD"/>
              </w:rPr>
              <w:t>anterioare și elaborează recomandări p</w:t>
            </w:r>
            <w:r w:rsidR="00E30580" w:rsidRPr="009770FF">
              <w:rPr>
                <w:lang w:val="ro-MD"/>
              </w:rPr>
              <w:t>rin</w:t>
            </w:r>
            <w:r w:rsidR="00753479" w:rsidRPr="009770FF">
              <w:rPr>
                <w:lang w:val="ro-MD"/>
              </w:rPr>
              <w:t xml:space="preserve"> care înlocuiește documentele anterioare</w:t>
            </w:r>
            <w:r w:rsidR="00AC0F14">
              <w:rPr>
                <w:lang w:val="ro-MD"/>
              </w:rPr>
              <w:t xml:space="preserve">, </w:t>
            </w:r>
            <w:r w:rsidR="00E30580" w:rsidRPr="009770FF">
              <w:rPr>
                <w:lang w:val="ro-MD"/>
              </w:rPr>
              <w:t xml:space="preserve">care </w:t>
            </w:r>
            <w:r w:rsidR="00753479" w:rsidRPr="009770FF">
              <w:rPr>
                <w:lang w:val="ro-MD"/>
              </w:rPr>
              <w:t>conțin deciziile și recomandările Comitetului, inclusiv</w:t>
            </w:r>
            <w:r w:rsidR="00E30580" w:rsidRPr="009770FF">
              <w:rPr>
                <w:lang w:val="ro-MD"/>
              </w:rPr>
              <w:t xml:space="preserve"> privind</w:t>
            </w:r>
            <w:r w:rsidR="00753479" w:rsidRPr="009770FF">
              <w:rPr>
                <w:lang w:val="ro-MD"/>
              </w:rPr>
              <w:t xml:space="preserve"> liniile directoare privind statutul de observator pentru guverne și organizațiile interguvernamentale internaționale.</w:t>
            </w:r>
          </w:p>
          <w:p w:rsidR="00521469" w:rsidRPr="009770FF" w:rsidRDefault="00521469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CC6525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b/>
                <w:sz w:val="24"/>
                <w:szCs w:val="24"/>
              </w:rPr>
            </w:pPr>
            <w:r w:rsidRPr="00CC652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4.</w:t>
            </w:r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Principalele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prevederi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ale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proiectului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evidenţierea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elementelor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noi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33D1" w:rsidRPr="009770FF" w:rsidRDefault="00772B07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 </w:t>
            </w:r>
            <w:r w:rsidR="000E6D1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Principalele aspecte ale modificărilor se referă la </w:t>
            </w:r>
            <w:r w:rsidR="00AC0F14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facilit</w:t>
            </w:r>
            <w:r w:rsidR="00AC0F14">
              <w:rPr>
                <w:rFonts w:ascii="Times New Roman" w:hAnsi="Times New Roman"/>
                <w:sz w:val="24"/>
                <w:szCs w:val="24"/>
                <w:lang w:val="ro-MD"/>
              </w:rPr>
              <w:t>area</w:t>
            </w:r>
            <w:r w:rsidR="00AC0F14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0E6D1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activității autorităților de reglementare la etapa de elaborare a normelor naționale, organismului național de standardizare, precum și</w:t>
            </w:r>
            <w:r w:rsidR="00AC0F1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</w:t>
            </w:r>
            <w:r w:rsidR="000E6D1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433D1" w:rsidRPr="009770FF">
              <w:rPr>
                <w:rFonts w:ascii="Times New Roman" w:hAnsi="Times New Roman"/>
                <w:sz w:val="24"/>
                <w:szCs w:val="24"/>
              </w:rPr>
              <w:t>Centrul</w:t>
            </w:r>
            <w:r w:rsidR="00AC0F14">
              <w:rPr>
                <w:rFonts w:ascii="Times New Roman" w:hAnsi="Times New Roman"/>
                <w:sz w:val="24"/>
                <w:szCs w:val="24"/>
              </w:rPr>
              <w:t>ui</w:t>
            </w:r>
            <w:proofErr w:type="spellEnd"/>
            <w:r w:rsidR="00A433D1" w:rsidRPr="009770F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A433D1" w:rsidRPr="009770FF">
              <w:rPr>
                <w:rFonts w:ascii="Times New Roman" w:hAnsi="Times New Roman"/>
                <w:sz w:val="24"/>
                <w:szCs w:val="24"/>
              </w:rPr>
              <w:t>notificare</w:t>
            </w:r>
            <w:proofErr w:type="spellEnd"/>
            <w:r w:rsidR="00A433D1"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33D1" w:rsidRPr="009770F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A433D1" w:rsidRPr="009770FF">
              <w:rPr>
                <w:rFonts w:ascii="Times New Roman" w:hAnsi="Times New Roman"/>
                <w:sz w:val="24"/>
                <w:szCs w:val="24"/>
              </w:rPr>
              <w:t xml:space="preserve"> informare al </w:t>
            </w:r>
            <w:proofErr w:type="spellStart"/>
            <w:r w:rsidR="00A433D1" w:rsidRPr="009770FF">
              <w:rPr>
                <w:rFonts w:ascii="Times New Roman" w:hAnsi="Times New Roman"/>
                <w:sz w:val="24"/>
                <w:szCs w:val="24"/>
              </w:rPr>
              <w:t>Organizaţiei</w:t>
            </w:r>
            <w:proofErr w:type="spellEnd"/>
            <w:r w:rsidR="00A433D1"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33D1" w:rsidRPr="009770FF">
              <w:rPr>
                <w:rFonts w:ascii="Times New Roman" w:hAnsi="Times New Roman"/>
                <w:sz w:val="24"/>
                <w:szCs w:val="24"/>
              </w:rPr>
              <w:t>Mondiale</w:t>
            </w:r>
            <w:proofErr w:type="spellEnd"/>
            <w:r w:rsidR="00A433D1" w:rsidRPr="009770FF">
              <w:rPr>
                <w:rFonts w:ascii="Times New Roman" w:hAnsi="Times New Roman"/>
                <w:sz w:val="24"/>
                <w:szCs w:val="24"/>
              </w:rPr>
              <w:t xml:space="preserve"> a Comerţului</w:t>
            </w:r>
            <w:r w:rsidR="000E6D1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:rsidR="00A278C2" w:rsidRPr="009770FF" w:rsidRDefault="000E6D1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>In acest sens se propune:</w:t>
            </w:r>
          </w:p>
          <w:p w:rsidR="00772B07" w:rsidRPr="009770FF" w:rsidRDefault="00772B07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>1)</w:t>
            </w:r>
            <w:r w:rsidR="00A433D1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ajustarea scopului, obiectivelor și noțiunilor din lege cu obiectivele și noțiunile utilizate în Acordul TBT</w:t>
            </w:r>
            <w:r w:rsidR="0008736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OMC (art. 1 și art. 2)</w:t>
            </w:r>
            <w:r w:rsidR="00A433D1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</w:p>
          <w:p w:rsidR="00772B07" w:rsidRPr="009770FF" w:rsidRDefault="00772B07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2) </w:t>
            </w:r>
            <w:r w:rsidR="00A433D1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consolidarea prevederilor conform cărora reglementările tehnice trebuie să fie elaborate de către autoritățile de reglementare în limit</w:t>
            </w:r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ele domeni</w:t>
            </w:r>
            <w:r w:rsidR="00AC0F14"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lor de </w:t>
            </w:r>
            <w:r w:rsidR="00A433D1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competenț</w:t>
            </w:r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ă pentru reglementarea cerințelor pentru diferite produse/servicii</w:t>
            </w:r>
            <w:r w:rsidR="00A433D1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</w:t>
            </w:r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(</w:t>
            </w:r>
            <w:r w:rsidR="00A433D1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art. 13)</w:t>
            </w:r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. Respectiv completarea cu prevederile care fac referință la obligațiile internaționale ale RM de a preveni bariere inutile în calea comerțului (art. 3);</w:t>
            </w:r>
          </w:p>
          <w:p w:rsidR="00772B07" w:rsidRPr="009770FF" w:rsidRDefault="00772B07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>3)</w:t>
            </w:r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clarificarea prevederilor, conform cărora autoritate de reglementare, la prezentarea observațiilor de </w:t>
            </w:r>
            <w:r w:rsidR="0008736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către</w:t>
            </w:r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părțile interesate, po</w:t>
            </w:r>
            <w:r w:rsidR="0008736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t</w:t>
            </w:r>
            <w:r w:rsidR="0008736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lua decizii de modificare </w:t>
            </w:r>
            <w:r w:rsidR="0095005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</w:t>
            </w:r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reglementării tehnice, </w:t>
            </w:r>
            <w:proofErr w:type="spellStart"/>
            <w:r w:rsidR="00900F6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amînarea</w:t>
            </w:r>
            <w:proofErr w:type="spellEnd"/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aplicării acesteia</w:t>
            </w:r>
            <w:r w:rsidR="00900F6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(art.4)</w:t>
            </w:r>
            <w:r w:rsidR="006807A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</w:p>
          <w:p w:rsidR="00900F62" w:rsidRPr="009770FF" w:rsidRDefault="006807A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>4)</w:t>
            </w:r>
            <w:r w:rsidR="00900F6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consolidarea prevederilor privind recunoașterea echivalenței procedurilor de evaluare a conformității stabilite în reglementările tehnice ale altor state și recunoașterea documentelor ce atestă conformitatea produselor care au fost eliberate în conformitate cu acordurile </w:t>
            </w:r>
            <w:r w:rsidR="0008736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respective</w:t>
            </w:r>
            <w:r w:rsidR="00900F62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care Republica Moldova este semnatară și ratificate (art. 10);</w:t>
            </w:r>
          </w:p>
          <w:p w:rsidR="006807A2" w:rsidRPr="009770FF" w:rsidRDefault="00252711" w:rsidP="00FD7F1C">
            <w:pPr>
              <w:tabs>
                <w:tab w:val="left" w:pos="9498"/>
              </w:tabs>
              <w:spacing w:after="0" w:line="240" w:lineRule="auto"/>
              <w:ind w:right="8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>5) consolidarea prevederilor</w:t>
            </w:r>
            <w:r w:rsidR="0008736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9770FF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referitor la </w:t>
            </w:r>
            <w:r w:rsidR="0008736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transparență (</w:t>
            </w: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>d</w:t>
            </w:r>
            <w:r w:rsidR="0008736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proce</w:t>
            </w:r>
            <w:r w:rsidR="0008736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dură și </w:t>
            </w:r>
            <w:r w:rsidR="009770FF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respectarea </w:t>
            </w:r>
            <w:r w:rsidR="0008736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termen</w:t>
            </w:r>
            <w:r w:rsidR="009770FF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087366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lor) la furnizare a notificărilor/răspunsurilor/explicațiilor membrilor OMC și altor părți interesate (art. 11).</w:t>
            </w:r>
          </w:p>
          <w:p w:rsidR="009770FF" w:rsidRPr="009770FF" w:rsidRDefault="009770FF" w:rsidP="00FD7F1C">
            <w:pPr>
              <w:tabs>
                <w:tab w:val="left" w:pos="9498"/>
              </w:tabs>
              <w:spacing w:after="0" w:line="240" w:lineRule="auto"/>
              <w:ind w:right="8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Fundamentarea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economico-financiară</w:t>
            </w:r>
            <w:proofErr w:type="spellEnd"/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2B07" w:rsidRPr="009770FF" w:rsidRDefault="00772B07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 w:rsidRPr="009770FF">
              <w:rPr>
                <w:lang w:val="ro-MD"/>
              </w:rPr>
              <w:t xml:space="preserve">Prezentul proiect nu are impact negativ nici asupra mediului de afaceri, nici asupra bugetului de stat. </w:t>
            </w:r>
          </w:p>
          <w:p w:rsidR="00772B07" w:rsidRPr="009770FF" w:rsidRDefault="00772B07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 w:rsidRPr="009770FF">
              <w:rPr>
                <w:lang w:val="ro-MD"/>
              </w:rPr>
              <w:lastRenderedPageBreak/>
              <w:t xml:space="preserve">Impactul pozitiv poate fi evidențiat sub mai multe aspecte, printre care: </w:t>
            </w:r>
          </w:p>
          <w:p w:rsidR="00772B07" w:rsidRPr="009770FF" w:rsidRDefault="00772B07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 w:rsidRPr="009770FF">
              <w:rPr>
                <w:lang w:val="ro-MD"/>
              </w:rPr>
              <w:t xml:space="preserve">- </w:t>
            </w:r>
            <w:r w:rsidR="00695E14" w:rsidRPr="009770FF">
              <w:rPr>
                <w:lang w:val="ro-MD"/>
              </w:rPr>
              <w:t>asigurarea faptului că acordurile, la care RM este parte, sunt puse în aplicare efectiv și, din acest motiv, consolid</w:t>
            </w:r>
            <w:r w:rsidR="00900F62" w:rsidRPr="009770FF">
              <w:rPr>
                <w:lang w:val="ro-MD"/>
              </w:rPr>
              <w:t>area</w:t>
            </w:r>
            <w:r w:rsidR="00695E14" w:rsidRPr="009770FF">
              <w:rPr>
                <w:lang w:val="ro-MD"/>
              </w:rPr>
              <w:t xml:space="preserve"> parteneriatul</w:t>
            </w:r>
            <w:r w:rsidR="00900F62" w:rsidRPr="009770FF">
              <w:rPr>
                <w:lang w:val="ro-MD"/>
              </w:rPr>
              <w:t>ui</w:t>
            </w:r>
            <w:r w:rsidR="00695E14" w:rsidRPr="009770FF">
              <w:rPr>
                <w:lang w:val="ro-MD"/>
              </w:rPr>
              <w:t xml:space="preserve"> privind accesul la piețe</w:t>
            </w:r>
            <w:r w:rsidRPr="009770FF">
              <w:rPr>
                <w:lang w:val="ro-MD"/>
              </w:rPr>
              <w:t>;</w:t>
            </w:r>
          </w:p>
          <w:p w:rsidR="00772B07" w:rsidRPr="009770FF" w:rsidRDefault="00772B07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 w:rsidRPr="009770FF">
              <w:rPr>
                <w:lang w:val="ro-MD"/>
              </w:rPr>
              <w:t xml:space="preserve">- </w:t>
            </w:r>
            <w:r w:rsidR="00695E14" w:rsidRPr="009770FF">
              <w:rPr>
                <w:lang w:val="ro-MD"/>
              </w:rPr>
              <w:t>consolidarea cadrului legal bazat pe reguli al</w:t>
            </w:r>
            <w:r w:rsidR="0095005B">
              <w:rPr>
                <w:lang w:val="ro-MD"/>
              </w:rPr>
              <w:t>e</w:t>
            </w:r>
            <w:r w:rsidR="00695E14" w:rsidRPr="009770FF">
              <w:rPr>
                <w:lang w:val="ro-MD"/>
              </w:rPr>
              <w:t xml:space="preserve"> Organizației Mondiale a Comerțului</w:t>
            </w:r>
            <w:r w:rsidRPr="009770FF">
              <w:rPr>
                <w:lang w:val="ro-MD"/>
              </w:rPr>
              <w:t>;</w:t>
            </w:r>
          </w:p>
          <w:p w:rsidR="00772B07" w:rsidRPr="009770FF" w:rsidRDefault="00772B07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 w:rsidRPr="009770FF">
              <w:rPr>
                <w:lang w:val="ro-MD"/>
              </w:rPr>
              <w:t xml:space="preserve">- </w:t>
            </w:r>
            <w:r w:rsidR="00695E14" w:rsidRPr="009770FF">
              <w:rPr>
                <w:lang w:val="ro-MD"/>
              </w:rPr>
              <w:t>condiții echitabile pentru produse indigene și importate;</w:t>
            </w:r>
          </w:p>
          <w:p w:rsidR="0016411D" w:rsidRPr="009770FF" w:rsidRDefault="00695E14" w:rsidP="00FD7F1C">
            <w:pPr>
              <w:pStyle w:val="NormalWeb"/>
              <w:tabs>
                <w:tab w:val="left" w:pos="9498"/>
              </w:tabs>
              <w:ind w:right="191"/>
              <w:rPr>
                <w:lang w:val="ro-MD"/>
              </w:rPr>
            </w:pPr>
            <w:r w:rsidRPr="009770FF">
              <w:rPr>
                <w:lang w:val="ro-MD"/>
              </w:rPr>
              <w:t xml:space="preserve">- asigurarea transparenței în materie de reglementare, și în acest context facilitarea comerțului. </w:t>
            </w:r>
          </w:p>
          <w:p w:rsidR="00397CE7" w:rsidRPr="009770FF" w:rsidRDefault="00397CE7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6.</w:t>
            </w:r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Modul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încorporare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actului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cadrul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normativ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vigoare</w:t>
            </w:r>
            <w:proofErr w:type="spellEnd"/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FD7F1C" w:rsidP="00FD7F1C">
            <w:pPr>
              <w:tabs>
                <w:tab w:val="left" w:pos="9498"/>
              </w:tabs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 </w:t>
            </w:r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="00772B07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mplementar</w:t>
            </w:r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772B07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a prezentul</w:t>
            </w:r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ui</w:t>
            </w:r>
            <w:r w:rsidR="00772B07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proiect va necesita modificar</w:t>
            </w:r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772B07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a Hotă</w:t>
            </w:r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rî</w:t>
            </w:r>
            <w:r w:rsidR="00772B07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rii </w:t>
            </w:r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de G</w:t>
            </w:r>
            <w:r w:rsidR="00772B07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uver</w:t>
            </w:r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n</w:t>
            </w:r>
            <w:r w:rsidR="00772B07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nr. 560/2012</w:t>
            </w:r>
            <w:r w:rsidR="00AA24D0" w:rsidRPr="009770FF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cu privire la centrele de notificare </w:t>
            </w:r>
            <w:proofErr w:type="spellStart"/>
            <w:r w:rsidR="00AA24D0" w:rsidRPr="009770FF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şi</w:t>
            </w:r>
            <w:proofErr w:type="spellEnd"/>
            <w:r w:rsidR="00AA24D0" w:rsidRPr="009770FF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informare </w:t>
            </w:r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ale </w:t>
            </w:r>
            <w:proofErr w:type="spellStart"/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Organizaţiei</w:t>
            </w:r>
            <w:proofErr w:type="spellEnd"/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Mondiale a </w:t>
            </w:r>
            <w:proofErr w:type="spellStart"/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Comerţului</w:t>
            </w:r>
            <w:proofErr w:type="spellEnd"/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Hotărîrii de Guvern nr.</w:t>
            </w:r>
            <w:r w:rsidR="00772B07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1213/2016 cu privire la </w:t>
            </w:r>
            <w:r w:rsidR="00526D7D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serviciile în domeniul standardizării prestate contra plată de către Institutul de Standard</w:t>
            </w:r>
            <w:r w:rsidR="00695E14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izare din Mol</w:t>
            </w:r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d</w:t>
            </w:r>
            <w:r w:rsidR="00695E14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o</w:t>
            </w:r>
            <w:r w:rsidR="00AA24D0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va</w:t>
            </w:r>
            <w:r w:rsidR="00772B07" w:rsidRPr="009770FF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Avizarea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consultarea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publică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proiectului</w:t>
            </w:r>
            <w:proofErr w:type="spellEnd"/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Constatările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expertizei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anticorupţie</w:t>
            </w:r>
            <w:proofErr w:type="spellEnd"/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Constatările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expertizei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compatibilitate</w:t>
            </w:r>
            <w:proofErr w:type="spellEnd"/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Constatările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expertizei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juridice</w:t>
            </w:r>
            <w:proofErr w:type="spellEnd"/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Constatările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>altor</w:t>
            </w:r>
            <w:proofErr w:type="spellEnd"/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expertize</w:t>
            </w:r>
            <w:r w:rsidRPr="00977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0F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C6525" w:rsidRDefault="00CC6525" w:rsidP="00FD7F1C">
      <w:pPr>
        <w:tabs>
          <w:tab w:val="left" w:pos="9498"/>
        </w:tabs>
        <w:ind w:right="191"/>
        <w:rPr>
          <w:rFonts w:ascii="Times New Roman" w:hAnsi="Times New Roman"/>
          <w:sz w:val="24"/>
          <w:szCs w:val="24"/>
        </w:rPr>
      </w:pPr>
    </w:p>
    <w:p w:rsidR="00CC6525" w:rsidRDefault="00CC6525" w:rsidP="00FD7F1C">
      <w:pPr>
        <w:tabs>
          <w:tab w:val="left" w:pos="9498"/>
        </w:tabs>
        <w:ind w:right="191"/>
        <w:rPr>
          <w:rFonts w:ascii="Times New Roman" w:hAnsi="Times New Roman"/>
          <w:sz w:val="24"/>
          <w:szCs w:val="24"/>
        </w:rPr>
      </w:pPr>
    </w:p>
    <w:p w:rsidR="00E730C2" w:rsidRPr="00CC6525" w:rsidRDefault="00CC6525" w:rsidP="00FD7F1C">
      <w:pPr>
        <w:tabs>
          <w:tab w:val="left" w:pos="9498"/>
        </w:tabs>
        <w:ind w:right="191" w:firstLine="720"/>
        <w:rPr>
          <w:rFonts w:ascii="Times New Roman" w:hAnsi="Times New Roman"/>
          <w:b/>
          <w:sz w:val="24"/>
          <w:szCs w:val="24"/>
        </w:rPr>
      </w:pPr>
      <w:proofErr w:type="spellStart"/>
      <w:r w:rsidRPr="00CC6525">
        <w:rPr>
          <w:rFonts w:ascii="Times New Roman" w:hAnsi="Times New Roman"/>
          <w:b/>
          <w:sz w:val="24"/>
          <w:szCs w:val="24"/>
        </w:rPr>
        <w:t>Ministru</w:t>
      </w:r>
      <w:proofErr w:type="spellEnd"/>
      <w:r w:rsidRPr="00CC6525">
        <w:rPr>
          <w:rFonts w:ascii="Times New Roman" w:hAnsi="Times New Roman"/>
          <w:b/>
          <w:sz w:val="24"/>
          <w:szCs w:val="24"/>
        </w:rPr>
        <w:t xml:space="preserve"> </w:t>
      </w:r>
      <w:r w:rsidR="00132001">
        <w:rPr>
          <w:rFonts w:ascii="Times New Roman" w:hAnsi="Times New Roman"/>
          <w:b/>
          <w:sz w:val="24"/>
          <w:szCs w:val="24"/>
        </w:rPr>
        <w:t xml:space="preserve">                                               V</w:t>
      </w:r>
      <w:r w:rsidRPr="00CC6525">
        <w:rPr>
          <w:rFonts w:ascii="Times New Roman" w:hAnsi="Times New Roman"/>
          <w:b/>
          <w:sz w:val="24"/>
          <w:szCs w:val="24"/>
        </w:rPr>
        <w:t>adim BRÎNZAN</w:t>
      </w:r>
    </w:p>
    <w:sectPr w:rsidR="00E730C2" w:rsidRPr="00CC652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C2"/>
    <w:rsid w:val="00087366"/>
    <w:rsid w:val="000E6D12"/>
    <w:rsid w:val="00101AE6"/>
    <w:rsid w:val="00112EE5"/>
    <w:rsid w:val="00132001"/>
    <w:rsid w:val="0016411D"/>
    <w:rsid w:val="00252711"/>
    <w:rsid w:val="002A5B95"/>
    <w:rsid w:val="002B37A9"/>
    <w:rsid w:val="00397CE7"/>
    <w:rsid w:val="003E0320"/>
    <w:rsid w:val="004B0AC2"/>
    <w:rsid w:val="00521469"/>
    <w:rsid w:val="00526D7D"/>
    <w:rsid w:val="00556E42"/>
    <w:rsid w:val="005F5B8F"/>
    <w:rsid w:val="006725F0"/>
    <w:rsid w:val="006807A2"/>
    <w:rsid w:val="00695E14"/>
    <w:rsid w:val="0069701F"/>
    <w:rsid w:val="00715D11"/>
    <w:rsid w:val="007343DD"/>
    <w:rsid w:val="00750169"/>
    <w:rsid w:val="00753479"/>
    <w:rsid w:val="00772B07"/>
    <w:rsid w:val="007C4995"/>
    <w:rsid w:val="00884E73"/>
    <w:rsid w:val="008D00AF"/>
    <w:rsid w:val="00900F62"/>
    <w:rsid w:val="00905626"/>
    <w:rsid w:val="0095005B"/>
    <w:rsid w:val="009770FF"/>
    <w:rsid w:val="00A278C2"/>
    <w:rsid w:val="00A433D1"/>
    <w:rsid w:val="00AA24D0"/>
    <w:rsid w:val="00AC0F14"/>
    <w:rsid w:val="00AD7D26"/>
    <w:rsid w:val="00BB41A9"/>
    <w:rsid w:val="00C44CFF"/>
    <w:rsid w:val="00C73609"/>
    <w:rsid w:val="00CC6525"/>
    <w:rsid w:val="00D706C6"/>
    <w:rsid w:val="00D8685B"/>
    <w:rsid w:val="00DA294C"/>
    <w:rsid w:val="00E30580"/>
    <w:rsid w:val="00E730C2"/>
    <w:rsid w:val="00EE5E27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F6190A2-3B3A-4930-BE8E-B8AE041C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032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b">
    <w:name w:val="cb"/>
    <w:basedOn w:val="Normal"/>
    <w:rsid w:val="003E03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C499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97CE7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397CE7"/>
    <w:rPr>
      <w:rFonts w:cs="Times New Roman"/>
      <w:i/>
    </w:rPr>
  </w:style>
  <w:style w:type="paragraph" w:customStyle="1" w:styleId="Default">
    <w:name w:val="Default"/>
    <w:rsid w:val="002B37A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4</cp:revision>
  <dcterms:created xsi:type="dcterms:W3CDTF">2019-07-15T13:33:00Z</dcterms:created>
  <dcterms:modified xsi:type="dcterms:W3CDTF">2019-07-17T08:03:00Z</dcterms:modified>
</cp:coreProperties>
</file>