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4A" w:rsidRPr="00BA574A" w:rsidRDefault="00BA574A" w:rsidP="00BA574A">
      <w:pPr>
        <w:spacing w:after="0" w:line="240" w:lineRule="auto"/>
        <w:jc w:val="center"/>
        <w:rPr>
          <w:rFonts w:ascii="Times New Roman" w:eastAsia="Calibri" w:hAnsi="Times New Roman" w:cs="Times New Roman"/>
          <w:b/>
          <w:sz w:val="28"/>
          <w:szCs w:val="28"/>
          <w:lang w:val="ro-RO"/>
        </w:rPr>
      </w:pPr>
      <w:bookmarkStart w:id="0" w:name="_GoBack"/>
      <w:bookmarkEnd w:id="0"/>
      <w:r w:rsidRPr="00BA574A">
        <w:rPr>
          <w:rFonts w:ascii="Times New Roman" w:eastAsia="Calibri" w:hAnsi="Times New Roman" w:cs="Times New Roman"/>
          <w:b/>
          <w:sz w:val="28"/>
          <w:szCs w:val="28"/>
          <w:lang w:val="ro-RO"/>
        </w:rPr>
        <w:t>Notă informativă</w:t>
      </w:r>
    </w:p>
    <w:p w:rsidR="00BA574A" w:rsidRPr="00BA574A" w:rsidRDefault="00BA574A" w:rsidP="00BA574A">
      <w:pPr>
        <w:spacing w:after="0" w:line="240" w:lineRule="auto"/>
        <w:jc w:val="center"/>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 xml:space="preserve">la proiectul </w:t>
      </w:r>
      <w:proofErr w:type="spellStart"/>
      <w:r w:rsidRPr="00BA574A">
        <w:rPr>
          <w:rFonts w:ascii="Times New Roman" w:eastAsia="Calibri" w:hAnsi="Times New Roman" w:cs="Times New Roman"/>
          <w:b/>
          <w:sz w:val="28"/>
          <w:szCs w:val="28"/>
          <w:lang w:val="ro-RO"/>
        </w:rPr>
        <w:t>hotărîrii</w:t>
      </w:r>
      <w:proofErr w:type="spellEnd"/>
      <w:r w:rsidRPr="00BA574A">
        <w:rPr>
          <w:rFonts w:ascii="Times New Roman" w:eastAsia="Calibri" w:hAnsi="Times New Roman" w:cs="Times New Roman"/>
          <w:b/>
          <w:sz w:val="28"/>
          <w:szCs w:val="28"/>
          <w:lang w:val="ro-RO"/>
        </w:rPr>
        <w:t xml:space="preserve"> Guvernului</w:t>
      </w:r>
    </w:p>
    <w:p w:rsidR="00BA574A" w:rsidRPr="00BA574A" w:rsidRDefault="00BA574A" w:rsidP="00BA574A">
      <w:pPr>
        <w:spacing w:after="0" w:line="240" w:lineRule="auto"/>
        <w:jc w:val="center"/>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 xml:space="preserve">cu privire la aprobarea Programului național pentru supravegherea și combaterea rezistenței </w:t>
      </w:r>
      <w:proofErr w:type="spellStart"/>
      <w:r w:rsidRPr="00BA574A">
        <w:rPr>
          <w:rFonts w:ascii="Times New Roman" w:eastAsia="Calibri" w:hAnsi="Times New Roman" w:cs="Times New Roman"/>
          <w:b/>
          <w:sz w:val="28"/>
          <w:szCs w:val="28"/>
          <w:lang w:val="ro-RO"/>
        </w:rPr>
        <w:t>antimicrobiene</w:t>
      </w:r>
      <w:proofErr w:type="spellEnd"/>
      <w:r w:rsidRPr="00BA574A">
        <w:rPr>
          <w:rFonts w:ascii="Times New Roman" w:eastAsia="Calibri" w:hAnsi="Times New Roman" w:cs="Times New Roman"/>
          <w:b/>
          <w:sz w:val="28"/>
          <w:szCs w:val="28"/>
          <w:lang w:val="ro-RO"/>
        </w:rPr>
        <w:t xml:space="preserve"> pentru anii 2019-2028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BA574A" w:rsidRPr="00A30094" w:rsidTr="00AC218F">
        <w:tc>
          <w:tcPr>
            <w:tcW w:w="5000" w:type="pct"/>
          </w:tcPr>
          <w:p w:rsidR="00BA574A" w:rsidRPr="00BA574A" w:rsidRDefault="00BA574A" w:rsidP="00BA574A">
            <w:pPr>
              <w:numPr>
                <w:ilvl w:val="3"/>
                <w:numId w:val="2"/>
              </w:numPr>
              <w:tabs>
                <w:tab w:val="left" w:pos="2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Denumirea autorului şi, după caz, a participanţilor la elaborarea proiectului</w:t>
            </w:r>
          </w:p>
        </w:tc>
      </w:tr>
      <w:tr w:rsidR="00BA574A" w:rsidRPr="00A30094" w:rsidTr="00AC218F">
        <w:tc>
          <w:tcPr>
            <w:tcW w:w="5000" w:type="pct"/>
          </w:tcPr>
          <w:p w:rsidR="00BA574A" w:rsidRPr="00BA574A" w:rsidRDefault="00BA574A" w:rsidP="00BA574A">
            <w:pPr>
              <w:spacing w:after="0" w:line="240" w:lineRule="auto"/>
              <w:ind w:firstLine="567"/>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Proiectul hotărârii Guvernului cu privire la aprobarea Programul național pentru supravegherea și combaterea rezistenței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pentru anii 2019-2028 </w:t>
            </w:r>
            <w:r w:rsidRPr="00BA574A">
              <w:rPr>
                <w:rFonts w:ascii="Times New Roman" w:eastAsia="Calibri" w:hAnsi="Times New Roman" w:cs="Times New Roman"/>
                <w:sz w:val="28"/>
                <w:szCs w:val="28"/>
                <w:lang w:val="ro-RO" w:eastAsia="ru-RU"/>
              </w:rPr>
              <w:t>(în continuare –</w:t>
            </w:r>
            <w:r>
              <w:rPr>
                <w:rFonts w:ascii="Times New Roman" w:eastAsia="Calibri" w:hAnsi="Times New Roman" w:cs="Times New Roman"/>
                <w:sz w:val="28"/>
                <w:szCs w:val="28"/>
                <w:lang w:val="ro-RO" w:eastAsia="ru-RU"/>
              </w:rPr>
              <w:t>Program</w:t>
            </w:r>
            <w:r w:rsidRPr="00BA574A">
              <w:rPr>
                <w:rFonts w:ascii="Times New Roman" w:eastAsia="Calibri" w:hAnsi="Times New Roman" w:cs="Times New Roman"/>
                <w:sz w:val="28"/>
                <w:szCs w:val="28"/>
                <w:lang w:val="ro-RO" w:eastAsia="ru-RU"/>
              </w:rPr>
              <w:t>)</w:t>
            </w:r>
            <w:r w:rsidRPr="00BA574A">
              <w:rPr>
                <w:rFonts w:ascii="Times New Roman" w:eastAsia="Calibri" w:hAnsi="Times New Roman" w:cs="Times New Roman"/>
                <w:sz w:val="28"/>
                <w:szCs w:val="28"/>
                <w:lang w:val="ro-RO"/>
              </w:rPr>
              <w:t xml:space="preserve"> este elaborat de către un grup de lucru intersectorial, coordonat de Ministerul Sănătății, Muncii și Protecției Sociale. </w:t>
            </w:r>
          </w:p>
        </w:tc>
      </w:tr>
      <w:tr w:rsidR="00BA574A" w:rsidRPr="00A30094"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2. Condiţiile ce au impus elaborarea proiectului de act normativ şi finalităţile urmărite</w:t>
            </w:r>
          </w:p>
        </w:tc>
      </w:tr>
      <w:tr w:rsidR="00BA574A" w:rsidRPr="00A30094" w:rsidTr="00AC218F">
        <w:tc>
          <w:tcPr>
            <w:tcW w:w="5000" w:type="pct"/>
          </w:tcPr>
          <w:p w:rsidR="00BA574A" w:rsidRPr="00BA574A" w:rsidRDefault="00BA574A" w:rsidP="00BA574A">
            <w:pPr>
              <w:spacing w:after="0" w:line="240" w:lineRule="auto"/>
              <w:ind w:firstLine="708"/>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Rezistența </w:t>
            </w:r>
            <w:proofErr w:type="spellStart"/>
            <w:r w:rsidRPr="00BA574A">
              <w:rPr>
                <w:rFonts w:ascii="Times New Roman" w:eastAsia="Calibri" w:hAnsi="Times New Roman" w:cs="Times New Roman"/>
                <w:sz w:val="28"/>
                <w:szCs w:val="28"/>
                <w:lang w:val="ro-RO"/>
              </w:rPr>
              <w:t>antimicrobiană</w:t>
            </w:r>
            <w:proofErr w:type="spellEnd"/>
            <w:r w:rsidRPr="00BA574A">
              <w:rPr>
                <w:rFonts w:ascii="Times New Roman" w:eastAsia="Calibri" w:hAnsi="Times New Roman" w:cs="Times New Roman"/>
                <w:sz w:val="28"/>
                <w:szCs w:val="28"/>
                <w:lang w:val="ro-RO"/>
              </w:rPr>
              <w:t xml:space="preserve"> (</w:t>
            </w:r>
            <w:r w:rsidRPr="00BA574A">
              <w:rPr>
                <w:rFonts w:ascii="Times New Roman" w:eastAsia="Calibri" w:hAnsi="Times New Roman" w:cs="Times New Roman"/>
                <w:sz w:val="28"/>
                <w:szCs w:val="28"/>
                <w:lang w:val="ro-RO" w:eastAsia="ru-RU"/>
              </w:rPr>
              <w:t xml:space="preserve">în continuare – </w:t>
            </w:r>
            <w:r w:rsidRPr="00BA574A">
              <w:rPr>
                <w:rFonts w:ascii="Times New Roman" w:eastAsia="Calibri" w:hAnsi="Times New Roman" w:cs="Times New Roman"/>
                <w:sz w:val="28"/>
                <w:szCs w:val="28"/>
                <w:lang w:val="ro-RO"/>
              </w:rPr>
              <w:t xml:space="preserve">RAM) reprezintă o problemă prioritară la nivel global. Potrivit Organizației Mondiale a Sănătății (OMS), RAM a atins cote alarmante în multe regiuni ale lumii. Au fost observate niveluri crescute ale RAM la bacteriile asociate cu numeroase infecții comune (de exemplu, infecții ale </w:t>
            </w:r>
            <w:proofErr w:type="spellStart"/>
            <w:r w:rsidRPr="00BA574A">
              <w:rPr>
                <w:rFonts w:ascii="Times New Roman" w:eastAsia="Calibri" w:hAnsi="Times New Roman" w:cs="Times New Roman"/>
                <w:sz w:val="28"/>
                <w:szCs w:val="28"/>
                <w:lang w:val="ro-RO"/>
              </w:rPr>
              <w:t>tractului</w:t>
            </w:r>
            <w:proofErr w:type="spellEnd"/>
            <w:r w:rsidRPr="00BA574A">
              <w:rPr>
                <w:rFonts w:ascii="Times New Roman" w:eastAsia="Calibri" w:hAnsi="Times New Roman" w:cs="Times New Roman"/>
                <w:sz w:val="28"/>
                <w:szCs w:val="28"/>
                <w:lang w:val="ro-RO"/>
              </w:rPr>
              <w:t xml:space="preserve"> urinar, pneumonie, tuberculoză și gonoree) în toate regiunile OMS. De asemenea, crește și rezistența la medicamentele antivirale, precum şi la cele utilizate pentru tratarea HIV, antimalarice, </w:t>
            </w:r>
            <w:proofErr w:type="spellStart"/>
            <w:r w:rsidRPr="00BA574A">
              <w:rPr>
                <w:rFonts w:ascii="Times New Roman" w:eastAsia="Calibri" w:hAnsi="Times New Roman" w:cs="Times New Roman"/>
                <w:sz w:val="28"/>
                <w:szCs w:val="28"/>
                <w:lang w:val="ro-RO"/>
              </w:rPr>
              <w:t>antifungice</w:t>
            </w:r>
            <w:proofErr w:type="spellEnd"/>
            <w:r w:rsidRPr="00BA574A">
              <w:rPr>
                <w:rFonts w:ascii="Times New Roman" w:eastAsia="Calibri" w:hAnsi="Times New Roman" w:cs="Times New Roman"/>
                <w:sz w:val="28"/>
                <w:szCs w:val="28"/>
                <w:lang w:val="ro-RO"/>
              </w:rPr>
              <w:t xml:space="preserve"> și altele. Amenințarea pentru sănătatea populației în ceea ce privește rezistența </w:t>
            </w:r>
            <w:proofErr w:type="spellStart"/>
            <w:r w:rsidRPr="00BA574A">
              <w:rPr>
                <w:rFonts w:ascii="Times New Roman" w:eastAsia="Calibri" w:hAnsi="Times New Roman" w:cs="Times New Roman"/>
                <w:sz w:val="28"/>
                <w:szCs w:val="28"/>
                <w:lang w:val="ro-RO"/>
              </w:rPr>
              <w:t>antimicrobiană</w:t>
            </w:r>
            <w:proofErr w:type="spellEnd"/>
            <w:r w:rsidRPr="00BA574A">
              <w:rPr>
                <w:rFonts w:ascii="Times New Roman" w:eastAsia="Calibri" w:hAnsi="Times New Roman" w:cs="Times New Roman"/>
                <w:sz w:val="28"/>
                <w:szCs w:val="28"/>
                <w:lang w:val="ro-RO"/>
              </w:rPr>
              <w:t xml:space="preserve"> este determinată de prescrierea irațională a </w:t>
            </w:r>
            <w:proofErr w:type="spellStart"/>
            <w:r w:rsidRPr="00BA574A">
              <w:rPr>
                <w:rFonts w:ascii="Times New Roman" w:eastAsia="Calibri" w:hAnsi="Times New Roman" w:cs="Times New Roman"/>
                <w:sz w:val="28"/>
                <w:szCs w:val="28"/>
                <w:lang w:val="ro-RO"/>
              </w:rPr>
              <w:t>antimicrobienelor</w:t>
            </w:r>
            <w:proofErr w:type="spellEnd"/>
            <w:r w:rsidRPr="00BA574A">
              <w:rPr>
                <w:rFonts w:ascii="Times New Roman" w:eastAsia="Calibri" w:hAnsi="Times New Roman" w:cs="Times New Roman"/>
                <w:sz w:val="28"/>
                <w:szCs w:val="28"/>
                <w:lang w:val="ro-RO"/>
              </w:rPr>
              <w:t xml:space="preserve"> de către furnizorii de asistență medicală umană și animală, precum și consumul, administrarea și disponibilitatea </w:t>
            </w:r>
            <w:proofErr w:type="spellStart"/>
            <w:r w:rsidRPr="00BA574A">
              <w:rPr>
                <w:rFonts w:ascii="Times New Roman" w:eastAsia="Calibri" w:hAnsi="Times New Roman" w:cs="Times New Roman"/>
                <w:sz w:val="28"/>
                <w:szCs w:val="28"/>
                <w:lang w:val="ro-RO"/>
              </w:rPr>
              <w:t>antimicrobienelor</w:t>
            </w:r>
            <w:proofErr w:type="spellEnd"/>
            <w:r w:rsidRPr="00BA574A">
              <w:rPr>
                <w:rFonts w:ascii="Times New Roman" w:eastAsia="Calibri" w:hAnsi="Times New Roman" w:cs="Times New Roman"/>
                <w:sz w:val="28"/>
                <w:szCs w:val="28"/>
                <w:lang w:val="ro-RO"/>
              </w:rPr>
              <w:t xml:space="preserve"> fără prescripție medicală.</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RAM este o povară socială și economică gravă cauzând anual 25 mii de decese în Uniunea Europeană (UE) și 700 mii de decese la nivel mondial, iar lipsa acțiunilor ar putea cauza milioane de decese la nivel mondial. Potrivit estimărilor, RAM vor cauza mai multe decese decât cancerul, până în 2050. </w:t>
            </w:r>
            <w:r w:rsidRPr="00BA574A">
              <w:rPr>
                <w:rFonts w:ascii="Times New Roman" w:eastAsia="Calibri" w:hAnsi="Times New Roman" w:cs="Times New Roman"/>
                <w:sz w:val="28"/>
                <w:szCs w:val="28"/>
                <w:lang w:val="ro-RO"/>
              </w:rPr>
              <w:tab/>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În sistemul de sănătate umană, RAM determină creșterea perioadei, complexității și respectiv, a costurilor tratamentelor, iar în aspect economic - reducerea productivității muncii. Numai la nivelul UE se estimează că RAM implică 1,5 miliarde EUR anual sub formă de costuri medicale și pierderi de productivitate. Banca Mondială a avertizat că, până în 2050, infecțiile rezistente la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ar putea cauza daune economice globale echivalente cu cele produse de criza financiară din 2008. </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RAM amenință, de asemenea, realizarea unora dintre obiectivele de dezvoltare durabilă ale Națiunilor Unite, în special țintele privind o stare bună de sănătate și bunăstare (obiectivul 3). </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Dezvoltarea și răspândirea RAM în mediu ambiant reprezintă, de asemenea, o preocupare din ce în ce mai mare, care necesită cercetare suplimentară. </w:t>
            </w:r>
          </w:p>
          <w:p w:rsidR="00BA574A" w:rsidRPr="00BA574A" w:rsidRDefault="00BA574A" w:rsidP="00BA574A">
            <w:pPr>
              <w:shd w:val="clear" w:color="auto" w:fill="FFFFFF"/>
              <w:spacing w:after="0" w:line="240" w:lineRule="auto"/>
              <w:ind w:firstLine="708"/>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Măsurile adoptate la nivel global includ Declarația Politică a Organizației Națiunilor Unite din 2016 privind RAM și Planul de acțiune globală al OMS din 2015 privind RAM, care a fost adoptat ulterior de Organizația Mondială pentru Sănătatea Animalelor (OIE) și de Organizația Națiunilor Unite pentru Alimentație și Agricultură (FAO). Problema RAM a fost, de asemenea, abordată în cadrul forumurilor G7 și G20, iar combaterea RAM necesită o abordare unică </w:t>
            </w:r>
            <w:r w:rsidRPr="00BA574A">
              <w:rPr>
                <w:rFonts w:ascii="Times New Roman" w:eastAsia="Calibri" w:hAnsi="Times New Roman" w:cs="Times New Roman"/>
                <w:sz w:val="28"/>
                <w:szCs w:val="28"/>
                <w:lang w:val="ro-RO"/>
              </w:rPr>
              <w:lastRenderedPageBreak/>
              <w:t>consolidată în baza principiul acceptat la nivel global „O singură sănătate” (</w:t>
            </w:r>
            <w:proofErr w:type="spellStart"/>
            <w:r w:rsidRPr="00BA574A">
              <w:rPr>
                <w:rFonts w:ascii="Times New Roman" w:eastAsia="Calibri" w:hAnsi="Times New Roman" w:cs="Times New Roman"/>
                <w:sz w:val="28"/>
                <w:szCs w:val="28"/>
                <w:lang w:val="ro-RO"/>
              </w:rPr>
              <w:t>One</w:t>
            </w:r>
            <w:proofErr w:type="spellEnd"/>
            <w:r w:rsidRPr="00BA574A">
              <w:rPr>
                <w:rFonts w:ascii="Times New Roman" w:eastAsia="Calibri" w:hAnsi="Times New Roman" w:cs="Times New Roman"/>
                <w:sz w:val="28"/>
                <w:szCs w:val="28"/>
                <w:lang w:val="ro-RO"/>
              </w:rPr>
              <w:t xml:space="preserve"> </w:t>
            </w:r>
            <w:proofErr w:type="spellStart"/>
            <w:r w:rsidRPr="00BA574A">
              <w:rPr>
                <w:rFonts w:ascii="Times New Roman" w:eastAsia="Calibri" w:hAnsi="Times New Roman" w:cs="Times New Roman"/>
                <w:sz w:val="28"/>
                <w:szCs w:val="28"/>
                <w:lang w:val="ro-RO"/>
              </w:rPr>
              <w:t>Health</w:t>
            </w:r>
            <w:proofErr w:type="spellEnd"/>
            <w:r w:rsidRPr="00BA574A">
              <w:rPr>
                <w:rFonts w:ascii="Times New Roman" w:eastAsia="Calibri" w:hAnsi="Times New Roman" w:cs="Times New Roman"/>
                <w:sz w:val="28"/>
                <w:szCs w:val="28"/>
                <w:lang w:val="ro-RO"/>
              </w:rPr>
              <w:t>).</w:t>
            </w:r>
          </w:p>
          <w:p w:rsidR="00BA574A" w:rsidRPr="00BA574A" w:rsidRDefault="00BA574A" w:rsidP="00BA574A">
            <w:pPr>
              <w:shd w:val="clear" w:color="auto" w:fill="FFFFFF"/>
              <w:spacing w:after="0" w:line="240" w:lineRule="auto"/>
              <w:ind w:firstLine="708"/>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În contextul reținerii fenomenului de RAM în Republica Moldova există un angajament politic și inițiative fundamentate în Legea nr.10 din 3 februarie 2009 privind supravegherea de stat a sănătăţii publice, Strategia naţională de sănătate publică pentru anii 2014-2020 (Hotărârea Guvernului nr. 1032 din 20 decembrie 2013). </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În Republica Moldova, RAM este definită ca problemă specială de sănătate publică, determinată de creşterea continuă a rezistenţei agenţilor cauzali la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fiind parte componentă a sistemului național de supraveghere epidemiologică a bolilor transmisibile și evenimentelor de sănătate publică și necesită abordare comprehensivă și intersectorială. </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Republica Moldova este parte a rețelelor globale în domeniul RAM și, începând cu anul 2011, participă în supravegherea consumului de antibiotice în medicina umană în țările sud-est europene și din 2015 supravegherea rezistenței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în regiunea Europei de Est și Asiei Centrale (engl. CAESAR). Fortificarea rețelelor naționale în domeniul RAM și extinderea participării ulterioare în rețele globale și regionale va permite ajustarea standardelor de calitate și procedurilor operaționale la rigorile internaționale și obținerea datelor comparabile, standardizate și veridice pentru luarea deciziilor bazate pe dovezi. </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Măsurile eficiente împotriva creșterii RAM vor reduce impactul negativ al acesteia asupra economiei și, prin urmare, pot fi considerate o contribuție la creșterea economică, la bugetele de asistență medicală durabilă, prin reducerea costurilor de asistență medicală și la o populație productivă și sănătoasă. </w:t>
            </w:r>
          </w:p>
          <w:p w:rsidR="00BA574A" w:rsidRPr="00BA574A" w:rsidRDefault="00BA574A" w:rsidP="00BA574A">
            <w:pPr>
              <w:spacing w:after="0" w:line="240" w:lineRule="auto"/>
              <w:ind w:firstLine="567"/>
              <w:jc w:val="both"/>
              <w:rPr>
                <w:rFonts w:ascii="Times New Roman" w:eastAsiaTheme="minorEastAsia" w:hAnsi="Times New Roman"/>
                <w:sz w:val="28"/>
                <w:szCs w:val="28"/>
                <w:lang w:val="ro-RO" w:eastAsia="ro-RO"/>
              </w:rPr>
            </w:pPr>
          </w:p>
        </w:tc>
      </w:tr>
      <w:tr w:rsidR="00BA574A" w:rsidRPr="00BD29B5"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lastRenderedPageBreak/>
              <w:t>3. Descrierea gradului de compatibilitate pentru proiectele care au ca scop armonizarea legislaţiei naţionale cu legislaţia Uniunii Europene</w:t>
            </w:r>
          </w:p>
        </w:tc>
      </w:tr>
      <w:tr w:rsidR="00BA574A" w:rsidRPr="00A30094" w:rsidTr="00AC218F">
        <w:tc>
          <w:tcPr>
            <w:tcW w:w="5000" w:type="pct"/>
          </w:tcPr>
          <w:p w:rsidR="00BA574A" w:rsidRPr="00BA574A" w:rsidRDefault="00BA574A" w:rsidP="00BA574A">
            <w:pPr>
              <w:spacing w:after="0" w:line="240" w:lineRule="auto"/>
              <w:ind w:firstLine="567"/>
              <w:jc w:val="both"/>
              <w:rPr>
                <w:rFonts w:ascii="Times New Roman" w:eastAsiaTheme="minorEastAsia" w:hAnsi="Times New Roman" w:cs="Times New Roman"/>
                <w:sz w:val="28"/>
                <w:szCs w:val="28"/>
                <w:lang w:val="ro-RO" w:eastAsia="ro-RO"/>
              </w:rPr>
            </w:pPr>
            <w:r w:rsidRPr="00BA574A">
              <w:rPr>
                <w:rFonts w:ascii="Times New Roman" w:eastAsiaTheme="minorEastAsia" w:hAnsi="Times New Roman" w:cs="Times New Roman"/>
                <w:sz w:val="28"/>
                <w:szCs w:val="28"/>
                <w:lang w:val="ro-RO" w:eastAsia="ro-RO"/>
              </w:rPr>
              <w:t xml:space="preserve">Prezentul proiect de hotărâre nu contravine legislației UE. </w:t>
            </w:r>
          </w:p>
          <w:p w:rsidR="00BA574A" w:rsidRPr="00BA574A" w:rsidRDefault="00BA574A" w:rsidP="00BA574A">
            <w:pPr>
              <w:spacing w:after="0" w:line="240" w:lineRule="auto"/>
              <w:ind w:firstLine="567"/>
              <w:jc w:val="both"/>
              <w:rPr>
                <w:rFonts w:ascii="Times New Roman" w:eastAsiaTheme="minorEastAsia" w:hAnsi="Times New Roman"/>
                <w:sz w:val="28"/>
                <w:szCs w:val="28"/>
                <w:lang w:val="ro-RO" w:eastAsia="ro-RO"/>
              </w:rPr>
            </w:pPr>
          </w:p>
        </w:tc>
      </w:tr>
      <w:tr w:rsidR="00BA574A" w:rsidRPr="00BD29B5"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4. Principalele prevederi ale proiectului şi evidenţierea elementelor noi</w:t>
            </w:r>
          </w:p>
        </w:tc>
      </w:tr>
      <w:tr w:rsidR="00BA574A" w:rsidRPr="00A30094" w:rsidTr="00AC218F">
        <w:tc>
          <w:tcPr>
            <w:tcW w:w="5000" w:type="pct"/>
          </w:tcPr>
          <w:p w:rsidR="00BA574A" w:rsidRPr="00BA574A" w:rsidRDefault="00BA574A" w:rsidP="00BA574A">
            <w:pPr>
              <w:tabs>
                <w:tab w:val="left" w:pos="993"/>
                <w:tab w:val="left" w:pos="1080"/>
              </w:tabs>
              <w:spacing w:after="0" w:line="240" w:lineRule="auto"/>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b/>
                <w:sz w:val="28"/>
                <w:szCs w:val="28"/>
                <w:lang w:val="ro-RO"/>
              </w:rPr>
              <w:t>Viziune:</w:t>
            </w:r>
            <w:r w:rsidRPr="00BA574A">
              <w:rPr>
                <w:rFonts w:ascii="Times New Roman" w:eastAsia="Times New Roman" w:hAnsi="Times New Roman" w:cs="Times New Roman"/>
                <w:sz w:val="28"/>
                <w:szCs w:val="28"/>
                <w:lang w:val="ro-RO"/>
              </w:rPr>
              <w:t xml:space="preserve"> Sănătate şi bunăstare durabilă a populaţiei umane şi animale prin managementul eficient al rezistenței </w:t>
            </w:r>
            <w:proofErr w:type="spellStart"/>
            <w:r w:rsidRPr="00BA574A">
              <w:rPr>
                <w:rFonts w:ascii="Times New Roman" w:eastAsia="Times New Roman" w:hAnsi="Times New Roman" w:cs="Times New Roman"/>
                <w:sz w:val="28"/>
                <w:szCs w:val="28"/>
                <w:lang w:val="ro-RO"/>
              </w:rPr>
              <w:t>anitimicrobiene</w:t>
            </w:r>
            <w:proofErr w:type="spellEnd"/>
            <w:r w:rsidRPr="00BA574A">
              <w:rPr>
                <w:rFonts w:ascii="Times New Roman" w:eastAsia="Times New Roman" w:hAnsi="Times New Roman" w:cs="Times New Roman"/>
                <w:sz w:val="28"/>
                <w:szCs w:val="28"/>
                <w:lang w:val="ro-RO"/>
              </w:rPr>
              <w:t>.</w:t>
            </w:r>
          </w:p>
          <w:p w:rsidR="00BA574A" w:rsidRPr="00BA574A" w:rsidRDefault="00BA574A" w:rsidP="00BA574A">
            <w:pPr>
              <w:tabs>
                <w:tab w:val="left" w:pos="993"/>
                <w:tab w:val="left" w:pos="1080"/>
              </w:tabs>
              <w:spacing w:after="0" w:line="240" w:lineRule="auto"/>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b/>
                <w:sz w:val="28"/>
                <w:szCs w:val="28"/>
                <w:lang w:val="ro-RO"/>
              </w:rPr>
              <w:t xml:space="preserve">Scopul: </w:t>
            </w:r>
            <w:r w:rsidRPr="00BA574A">
              <w:rPr>
                <w:rFonts w:ascii="Times New Roman" w:eastAsia="Times New Roman" w:hAnsi="Times New Roman" w:cs="Times New Roman"/>
                <w:sz w:val="28"/>
                <w:szCs w:val="28"/>
                <w:lang w:val="ro-RO"/>
              </w:rPr>
              <w:t xml:space="preserve">Realizarea acțiunilor comprehensive de control și reținere a dezvoltării şi răspândirii rezistenței </w:t>
            </w:r>
            <w:proofErr w:type="spellStart"/>
            <w:r w:rsidRPr="00BA574A">
              <w:rPr>
                <w:rFonts w:ascii="Times New Roman" w:eastAsia="Times New Roman" w:hAnsi="Times New Roman" w:cs="Times New Roman"/>
                <w:sz w:val="28"/>
                <w:szCs w:val="28"/>
                <w:lang w:val="ro-RO"/>
              </w:rPr>
              <w:t>antimicrobiene</w:t>
            </w:r>
            <w:proofErr w:type="spellEnd"/>
            <w:r w:rsidRPr="00BA574A">
              <w:rPr>
                <w:rFonts w:ascii="Times New Roman" w:eastAsia="Times New Roman" w:hAnsi="Times New Roman" w:cs="Times New Roman"/>
                <w:sz w:val="28"/>
                <w:szCs w:val="28"/>
                <w:lang w:val="ro-RO"/>
              </w:rPr>
              <w:t xml:space="preserve"> pentru asigurarea în scopul asigurării unui nivel înalt de protecție a sănătății populaţiei şi prevenirii bolilor la oameni şi animale. </w:t>
            </w:r>
          </w:p>
          <w:p w:rsidR="00BA574A" w:rsidRPr="00BA574A" w:rsidRDefault="00BA574A" w:rsidP="00BA574A">
            <w:pPr>
              <w:tabs>
                <w:tab w:val="left" w:pos="993"/>
                <w:tab w:val="left" w:pos="1080"/>
              </w:tabs>
              <w:spacing w:after="0" w:line="240" w:lineRule="auto"/>
              <w:jc w:val="both"/>
              <w:rPr>
                <w:rFonts w:ascii="Times New Roman" w:eastAsia="Times New Roman" w:hAnsi="Times New Roman" w:cs="Times New Roman"/>
                <w:b/>
                <w:sz w:val="28"/>
                <w:szCs w:val="28"/>
                <w:lang w:val="ro-RO"/>
              </w:rPr>
            </w:pPr>
            <w:r w:rsidRPr="00BA574A">
              <w:rPr>
                <w:rFonts w:ascii="Times New Roman" w:eastAsia="Times New Roman" w:hAnsi="Times New Roman" w:cs="Times New Roman"/>
                <w:b/>
                <w:sz w:val="28"/>
                <w:szCs w:val="28"/>
                <w:lang w:val="ro-RO"/>
              </w:rPr>
              <w:t>Obiectiv general</w:t>
            </w:r>
            <w:r w:rsidRPr="00BA574A">
              <w:rPr>
                <w:rFonts w:ascii="Times New Roman" w:eastAsia="Times New Roman" w:hAnsi="Times New Roman" w:cs="Times New Roman"/>
                <w:sz w:val="28"/>
                <w:szCs w:val="28"/>
                <w:lang w:val="ro-RO"/>
              </w:rPr>
              <w:t xml:space="preserve">: Reducerea numărului bolilor transmisibile, consumului iraţional de </w:t>
            </w:r>
            <w:proofErr w:type="spellStart"/>
            <w:r w:rsidRPr="00BA574A">
              <w:rPr>
                <w:rFonts w:ascii="Times New Roman" w:eastAsia="Times New Roman" w:hAnsi="Times New Roman" w:cs="Times New Roman"/>
                <w:sz w:val="28"/>
                <w:szCs w:val="28"/>
                <w:lang w:val="ro-RO"/>
              </w:rPr>
              <w:t>antimicrobiene</w:t>
            </w:r>
            <w:proofErr w:type="spellEnd"/>
            <w:r w:rsidRPr="00BA574A">
              <w:rPr>
                <w:rFonts w:ascii="Times New Roman" w:eastAsia="Times New Roman" w:hAnsi="Times New Roman" w:cs="Times New Roman"/>
                <w:sz w:val="28"/>
                <w:szCs w:val="28"/>
                <w:lang w:val="ro-RO"/>
              </w:rPr>
              <w:t xml:space="preserve"> și menținerea eficacității tratamentului prin fortificarea capacităţilor şi serviciilor în domeniile uman, veterinar și agricol</w:t>
            </w:r>
            <w:r>
              <w:rPr>
                <w:rFonts w:ascii="Times New Roman" w:eastAsia="Times New Roman" w:hAnsi="Times New Roman" w:cs="Times New Roman"/>
                <w:sz w:val="28"/>
                <w:szCs w:val="28"/>
                <w:lang w:val="ro-RO"/>
              </w:rPr>
              <w:t xml:space="preserve"> </w:t>
            </w:r>
            <w:r w:rsidRPr="00BA574A">
              <w:rPr>
                <w:rFonts w:ascii="Times New Roman" w:eastAsia="Times New Roman" w:hAnsi="Times New Roman" w:cs="Times New Roman"/>
                <w:b/>
                <w:sz w:val="28"/>
                <w:szCs w:val="28"/>
                <w:lang w:val="ro-RO"/>
              </w:rPr>
              <w:t xml:space="preserve">Obiective specifice: </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 xml:space="preserve">Consolidarea, până în anul 2020, a coordonării la nivel național prin instituirea și/sau operaționalizarea activității structurilor responsabile la toate nivelele. </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 xml:space="preserve">Consolidarea sistemului național de supraveghere a rezistenței </w:t>
            </w:r>
            <w:proofErr w:type="spellStart"/>
            <w:r w:rsidRPr="00BA574A">
              <w:rPr>
                <w:rFonts w:ascii="Times New Roman" w:hAnsi="Times New Roman" w:cs="Times New Roman"/>
                <w:sz w:val="28"/>
                <w:szCs w:val="28"/>
                <w:lang w:val="ro-RO"/>
              </w:rPr>
              <w:t>antimicrobiene</w:t>
            </w:r>
            <w:proofErr w:type="spellEnd"/>
            <w:r w:rsidRPr="00BA574A">
              <w:rPr>
                <w:rFonts w:ascii="Times New Roman" w:hAnsi="Times New Roman" w:cs="Times New Roman"/>
                <w:sz w:val="28"/>
                <w:szCs w:val="28"/>
                <w:lang w:val="ro-RO"/>
              </w:rPr>
              <w:t xml:space="preserve"> prin integrarea în rețeaua internațională în domeniul sănătății umane CAESAR până în anul 2024, crearea și operaționalizarea </w:t>
            </w:r>
            <w:r w:rsidRPr="00BA574A">
              <w:rPr>
                <w:rFonts w:ascii="Times New Roman" w:hAnsi="Times New Roman" w:cs="Times New Roman"/>
                <w:sz w:val="28"/>
                <w:szCs w:val="28"/>
                <w:lang w:val="ro-RO"/>
              </w:rPr>
              <w:lastRenderedPageBreak/>
              <w:t xml:space="preserve">sistemului în domeniul sănătății animale și siguranței alimentelor, până în 2025, monitorizarea </w:t>
            </w:r>
            <w:proofErr w:type="spellStart"/>
            <w:r w:rsidRPr="00BA574A">
              <w:rPr>
                <w:rFonts w:ascii="Times New Roman" w:hAnsi="Times New Roman" w:cs="Times New Roman"/>
                <w:sz w:val="28"/>
                <w:szCs w:val="28"/>
                <w:lang w:val="ro-RO"/>
              </w:rPr>
              <w:t>tulpinelor</w:t>
            </w:r>
            <w:proofErr w:type="spellEnd"/>
            <w:r w:rsidRPr="00BA574A">
              <w:rPr>
                <w:rFonts w:ascii="Times New Roman" w:hAnsi="Times New Roman" w:cs="Times New Roman"/>
                <w:sz w:val="28"/>
                <w:szCs w:val="28"/>
                <w:lang w:val="ro-RO"/>
              </w:rPr>
              <w:t xml:space="preserve"> </w:t>
            </w:r>
            <w:proofErr w:type="spellStart"/>
            <w:r w:rsidRPr="00BA574A">
              <w:rPr>
                <w:rFonts w:ascii="Times New Roman" w:hAnsi="Times New Roman" w:cs="Times New Roman"/>
                <w:sz w:val="28"/>
                <w:szCs w:val="28"/>
                <w:lang w:val="ro-RO"/>
              </w:rPr>
              <w:t>rezitente</w:t>
            </w:r>
            <w:proofErr w:type="spellEnd"/>
            <w:r w:rsidRPr="00BA574A">
              <w:rPr>
                <w:rFonts w:ascii="Times New Roman" w:hAnsi="Times New Roman" w:cs="Times New Roman"/>
                <w:sz w:val="28"/>
                <w:szCs w:val="28"/>
                <w:lang w:val="ro-RO"/>
              </w:rPr>
              <w:t xml:space="preserve"> în mediu și crearea unei platforme operaționale pentru colectarea standardizată și schimbul operativ de date între instituțiile din domeniul sănătății umane, animale, siguranței alimentelor și mediului până în anul 2028.</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Alini</w:t>
            </w:r>
            <w:r w:rsidRPr="00BA574A">
              <w:rPr>
                <w:rFonts w:ascii="Times New Roman" w:hAnsi="Times New Roman" w:cs="Times New Roman"/>
                <w:color w:val="000000"/>
                <w:sz w:val="28"/>
                <w:szCs w:val="28"/>
                <w:lang w:val="ro-RO"/>
              </w:rPr>
              <w:t xml:space="preserve">erea, până în anul 2028, a legislaţiei naţionale în domeniul consumului </w:t>
            </w:r>
            <w:proofErr w:type="spellStart"/>
            <w:r w:rsidRPr="00BA574A">
              <w:rPr>
                <w:rFonts w:ascii="Times New Roman" w:hAnsi="Times New Roman" w:cs="Times New Roman"/>
                <w:color w:val="000000"/>
                <w:sz w:val="28"/>
                <w:szCs w:val="28"/>
                <w:lang w:val="ro-RO"/>
              </w:rPr>
              <w:t>antimicrobienelor</w:t>
            </w:r>
            <w:proofErr w:type="spellEnd"/>
            <w:r w:rsidRPr="00BA574A">
              <w:rPr>
                <w:rFonts w:ascii="Times New Roman" w:hAnsi="Times New Roman" w:cs="Times New Roman"/>
                <w:color w:val="000000"/>
                <w:sz w:val="28"/>
                <w:szCs w:val="28"/>
                <w:lang w:val="ro-RO"/>
              </w:rPr>
              <w:t>, în conformitate cu acquis-ul comunitar</w:t>
            </w:r>
            <w:r w:rsidRPr="00BA574A">
              <w:rPr>
                <w:rFonts w:ascii="Times New Roman" w:hAnsi="Times New Roman" w:cs="Times New Roman"/>
                <w:color w:val="000000"/>
                <w:lang w:val="ro-RO"/>
              </w:rPr>
              <w:t>.</w:t>
            </w:r>
            <w:r w:rsidRPr="00BA574A">
              <w:rPr>
                <w:rFonts w:ascii="Times New Roman" w:hAnsi="Times New Roman" w:cs="Times New Roman"/>
                <w:sz w:val="28"/>
                <w:szCs w:val="28"/>
                <w:lang w:val="ro-RO"/>
              </w:rPr>
              <w:t xml:space="preserve"> </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Reducerea incidenței bolilor transmisibile prin asigurarea măsurilor de igienă, sanitație și controlul infecțiilor asociate asistenței medicale bazate pe dovezi colectate prin implementarea studiului de supravegherea de moment la nivel în 100% din spitale către anul 2022.</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 xml:space="preserve">Combaterea rezistenței </w:t>
            </w:r>
            <w:proofErr w:type="spellStart"/>
            <w:r w:rsidRPr="00BA574A">
              <w:rPr>
                <w:rFonts w:ascii="Times New Roman" w:hAnsi="Times New Roman" w:cs="Times New Roman"/>
                <w:sz w:val="28"/>
                <w:szCs w:val="28"/>
                <w:lang w:val="ro-RO"/>
              </w:rPr>
              <w:t>antimicrobiene</w:t>
            </w:r>
            <w:proofErr w:type="spellEnd"/>
            <w:r w:rsidRPr="00BA574A">
              <w:rPr>
                <w:rFonts w:ascii="Times New Roman" w:hAnsi="Times New Roman" w:cs="Times New Roman"/>
                <w:sz w:val="28"/>
                <w:szCs w:val="28"/>
                <w:lang w:val="ro-RO"/>
              </w:rPr>
              <w:t xml:space="preserve"> în domeniul veterinar și agricol prin armonizarea cadrului normativ în domeniul circulației medicamentelor de uz veterinar la rigorile UE cu includerea obligatorie a precauțiunilor și atenționărilor privind rezistența </w:t>
            </w:r>
            <w:proofErr w:type="spellStart"/>
            <w:r w:rsidRPr="00BA574A">
              <w:rPr>
                <w:rFonts w:ascii="Times New Roman" w:hAnsi="Times New Roman" w:cs="Times New Roman"/>
                <w:sz w:val="28"/>
                <w:szCs w:val="28"/>
                <w:lang w:val="ro-RO"/>
              </w:rPr>
              <w:t>antimicrobiană</w:t>
            </w:r>
            <w:proofErr w:type="spellEnd"/>
            <w:r w:rsidRPr="00BA574A">
              <w:rPr>
                <w:rFonts w:ascii="Times New Roman" w:hAnsi="Times New Roman" w:cs="Times New Roman"/>
                <w:sz w:val="28"/>
                <w:szCs w:val="28"/>
                <w:lang w:val="ro-RO"/>
              </w:rPr>
              <w:t xml:space="preserve"> către anul 2028.</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 xml:space="preserve">Creșterea gradului de conștientizare privind rezistența </w:t>
            </w:r>
            <w:proofErr w:type="spellStart"/>
            <w:r w:rsidRPr="00BA574A">
              <w:rPr>
                <w:rFonts w:ascii="Times New Roman" w:hAnsi="Times New Roman" w:cs="Times New Roman"/>
                <w:sz w:val="28"/>
                <w:szCs w:val="28"/>
                <w:lang w:val="ro-RO"/>
              </w:rPr>
              <w:t>antimicrobiană</w:t>
            </w:r>
            <w:proofErr w:type="spellEnd"/>
            <w:r w:rsidRPr="00BA574A">
              <w:rPr>
                <w:rFonts w:ascii="Times New Roman" w:hAnsi="Times New Roman" w:cs="Times New Roman"/>
                <w:sz w:val="28"/>
                <w:szCs w:val="28"/>
                <w:lang w:val="ro-RO"/>
              </w:rPr>
              <w:t xml:space="preserve"> prin informare, educare și formare profesională cu sporirea ponderii populaţiei generale informate, până la 30%, către anul 2023.</w:t>
            </w:r>
          </w:p>
          <w:p w:rsidR="00BA574A" w:rsidRPr="00BA574A" w:rsidRDefault="00BA574A" w:rsidP="00BA574A">
            <w:pPr>
              <w:numPr>
                <w:ilvl w:val="0"/>
                <w:numId w:val="1"/>
              </w:numPr>
              <w:tabs>
                <w:tab w:val="left" w:pos="993"/>
              </w:tabs>
              <w:spacing w:after="0" w:line="240" w:lineRule="auto"/>
              <w:ind w:firstLine="567"/>
              <w:contextualSpacing/>
              <w:jc w:val="both"/>
              <w:rPr>
                <w:rFonts w:ascii="Times New Roman" w:hAnsi="Times New Roman" w:cs="Times New Roman"/>
                <w:sz w:val="28"/>
                <w:szCs w:val="28"/>
                <w:lang w:val="ro-RO"/>
              </w:rPr>
            </w:pPr>
            <w:r w:rsidRPr="00BA574A">
              <w:rPr>
                <w:rFonts w:ascii="Times New Roman" w:hAnsi="Times New Roman" w:cs="Times New Roman"/>
                <w:sz w:val="28"/>
                <w:szCs w:val="28"/>
                <w:lang w:val="ro-RO"/>
              </w:rPr>
              <w:t xml:space="preserve">Consolidarea cercetărilor în scopul diminuării rezistenței </w:t>
            </w:r>
            <w:proofErr w:type="spellStart"/>
            <w:r w:rsidRPr="00BA574A">
              <w:rPr>
                <w:rFonts w:ascii="Times New Roman" w:hAnsi="Times New Roman" w:cs="Times New Roman"/>
                <w:sz w:val="28"/>
                <w:szCs w:val="28"/>
                <w:lang w:val="ro-RO"/>
              </w:rPr>
              <w:t>antimicrobiene</w:t>
            </w:r>
            <w:proofErr w:type="spellEnd"/>
            <w:r w:rsidRPr="00BA574A">
              <w:rPr>
                <w:rFonts w:ascii="Times New Roman" w:hAnsi="Times New Roman" w:cs="Times New Roman"/>
                <w:sz w:val="28"/>
                <w:szCs w:val="28"/>
                <w:lang w:val="ro-RO"/>
              </w:rPr>
              <w:t xml:space="preserve"> prin lansarea unei inițiative de programe comune în domeniul uman, veterinar și de mediu până în anul 2028. </w:t>
            </w:r>
          </w:p>
          <w:p w:rsidR="00BA574A" w:rsidRPr="00BA574A" w:rsidRDefault="00BA574A" w:rsidP="00BA574A">
            <w:pPr>
              <w:tabs>
                <w:tab w:val="left" w:pos="709"/>
                <w:tab w:val="left" w:pos="1134"/>
              </w:tabs>
              <w:spacing w:after="0" w:line="240" w:lineRule="auto"/>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sz w:val="28"/>
                <w:szCs w:val="28"/>
                <w:lang w:val="ro-RO"/>
              </w:rPr>
              <w:tab/>
              <w:t>Prezentul Program prevede o abordare complexă a măsurilor, care au ca scop susţinerea interacţiunilor Guvernului şi societăţii, în vederea îmbunătăţirii semnificative a sănătăţii şi bunăstării populaţiei, reducerii inechităţilor în domeniul sănătăţii, consolidării sănătăţii publice. Aceste măsuri urmează să fie efectuate în două etape:</w:t>
            </w:r>
          </w:p>
          <w:p w:rsidR="00BA574A" w:rsidRPr="00BA574A" w:rsidRDefault="00BA574A" w:rsidP="00BA574A">
            <w:pPr>
              <w:tabs>
                <w:tab w:val="left" w:pos="709"/>
                <w:tab w:val="left" w:pos="1134"/>
              </w:tabs>
              <w:spacing w:after="0" w:line="240" w:lineRule="auto"/>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sz w:val="28"/>
                <w:szCs w:val="28"/>
                <w:lang w:val="ro-RO"/>
              </w:rPr>
              <w:tab/>
              <w:t>1) etapa I – anii 2019-2023 – va fi axată preponderent pe perfecţionarea şi armonizarea cadrului normativ existent, elaborarea de noi acte în domeniul RAM în conformitate cu cerinţele UE şi OMS, precum şi pe dezvoltarea capacităţilor tuturor partenerilor cu atribuţii şi responsabilităţi ce ţin de realizarea operaţiunilor, serviciilor şi activităţilor din domeniul RAM;</w:t>
            </w:r>
          </w:p>
          <w:p w:rsidR="00BA574A" w:rsidRPr="00BA574A" w:rsidRDefault="00BA574A" w:rsidP="00BA574A">
            <w:pPr>
              <w:tabs>
                <w:tab w:val="left" w:pos="709"/>
                <w:tab w:val="left" w:pos="1134"/>
              </w:tabs>
              <w:spacing w:after="0" w:line="240" w:lineRule="auto"/>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sz w:val="28"/>
                <w:szCs w:val="28"/>
                <w:lang w:val="ro-RO"/>
              </w:rPr>
              <w:tab/>
              <w:t xml:space="preserve">2) etapa II – anii 2023-2028– se preconizează implementarea prevederilor actelor normative, realizarea acţiunilor în scopul îmbunătăţirii sănătăţii populaţiei, ceea ce va contribui şi la combaterea RAM. </w:t>
            </w:r>
          </w:p>
          <w:p w:rsidR="00BA574A" w:rsidRPr="00BA574A" w:rsidRDefault="00BA574A" w:rsidP="00BA574A">
            <w:pPr>
              <w:shd w:val="clear" w:color="auto" w:fill="FFFFFF"/>
              <w:spacing w:after="0" w:line="240" w:lineRule="auto"/>
              <w:ind w:firstLine="708"/>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Termenele de realizare a măsurilor privind dezvoltarea, implementarea şi evaluarea acţiunilor de supraveghere și combatere a RAM sunt stipulate în Planul de acţiuni pentru implementarea</w:t>
            </w:r>
            <w:r>
              <w:rPr>
                <w:rFonts w:ascii="Times New Roman" w:eastAsia="Calibri" w:hAnsi="Times New Roman" w:cs="Times New Roman"/>
                <w:sz w:val="28"/>
                <w:szCs w:val="28"/>
                <w:lang w:val="ro-RO"/>
              </w:rPr>
              <w:t xml:space="preserve"> </w:t>
            </w:r>
            <w:r w:rsidRPr="00BA574A">
              <w:rPr>
                <w:rFonts w:ascii="Times New Roman" w:eastAsia="Calibri" w:hAnsi="Times New Roman" w:cs="Times New Roman"/>
                <w:sz w:val="28"/>
                <w:szCs w:val="28"/>
                <w:lang w:val="ro-RO"/>
              </w:rPr>
              <w:t>Programului.</w:t>
            </w: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lastRenderedPageBreak/>
              <w:t>5. Fundamentarea economico-financiară</w:t>
            </w:r>
          </w:p>
        </w:tc>
      </w:tr>
      <w:tr w:rsidR="00BA574A" w:rsidRPr="00A30094" w:rsidTr="00AC218F">
        <w:tc>
          <w:tcPr>
            <w:tcW w:w="5000" w:type="pct"/>
          </w:tcPr>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Banca Mondială a avertizat că, până în 2050, infecțiile provocate de microorganisme rezistente la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ar putea cauza daune economice globale echivalente cu cele produse de criza financiară din 2008-2009. Produsul intern brut (PIB) la nivel global ar putea scădea anual, până în anul 2050, cu 1,1%-3,8% , iar după 2030 deficitul lui va depăși 1 trilion de dolari anual.</w:t>
            </w:r>
          </w:p>
          <w:p w:rsidR="00BA574A" w:rsidRPr="00BA574A" w:rsidRDefault="00BA574A" w:rsidP="00BA574A">
            <w:pPr>
              <w:shd w:val="clear" w:color="auto" w:fill="FFFFFF"/>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Țările cu venituri mici ar înregistra scăderi mai mari ale creșterii </w:t>
            </w:r>
            <w:r w:rsidRPr="00BA574A">
              <w:rPr>
                <w:rFonts w:ascii="Times New Roman" w:eastAsia="Calibri" w:hAnsi="Times New Roman" w:cs="Times New Roman"/>
                <w:sz w:val="28"/>
                <w:szCs w:val="28"/>
                <w:lang w:val="ro-RO"/>
              </w:rPr>
              <w:lastRenderedPageBreak/>
              <w:t xml:space="preserve">economice. Răspândirea </w:t>
            </w:r>
            <w:proofErr w:type="spellStart"/>
            <w:r w:rsidRPr="00BA574A">
              <w:rPr>
                <w:rFonts w:ascii="Times New Roman" w:eastAsia="Calibri" w:hAnsi="Times New Roman" w:cs="Times New Roman"/>
                <w:sz w:val="28"/>
                <w:szCs w:val="28"/>
                <w:lang w:val="ro-RO"/>
              </w:rPr>
              <w:t>necontralată</w:t>
            </w:r>
            <w:proofErr w:type="spellEnd"/>
            <w:r w:rsidRPr="00BA574A">
              <w:rPr>
                <w:rFonts w:ascii="Times New Roman" w:eastAsia="Calibri" w:hAnsi="Times New Roman" w:cs="Times New Roman"/>
                <w:sz w:val="28"/>
                <w:szCs w:val="28"/>
                <w:lang w:val="ro-RO"/>
              </w:rPr>
              <w:t xml:space="preserve"> a rezistenței </w:t>
            </w:r>
            <w:proofErr w:type="spellStart"/>
            <w:r w:rsidRPr="00BA574A">
              <w:rPr>
                <w:rFonts w:ascii="Times New Roman" w:eastAsia="Calibri" w:hAnsi="Times New Roman" w:cs="Times New Roman"/>
                <w:sz w:val="28"/>
                <w:szCs w:val="28"/>
                <w:lang w:val="ro-RO"/>
              </w:rPr>
              <w:t>antimicrobiane</w:t>
            </w:r>
            <w:proofErr w:type="spellEnd"/>
            <w:r w:rsidRPr="00BA574A">
              <w:rPr>
                <w:rFonts w:ascii="Times New Roman" w:eastAsia="Calibri" w:hAnsi="Times New Roman" w:cs="Times New Roman"/>
                <w:sz w:val="28"/>
                <w:szCs w:val="28"/>
                <w:lang w:val="ro-RO"/>
              </w:rPr>
              <w:t xml:space="preserve"> poate afecta puternic comerțul internațional. De exemplu, în Norvegia în anul 2015 vânzările de pui au scăzut cu 20% (pentru unii distribuitori), ca rezultat al știrilor despre tulpină rezistentă de </w:t>
            </w:r>
            <w:proofErr w:type="spellStart"/>
            <w:r w:rsidRPr="00BA574A">
              <w:rPr>
                <w:rFonts w:ascii="Times New Roman" w:eastAsia="Calibri" w:hAnsi="Times New Roman" w:cs="Times New Roman"/>
                <w:sz w:val="28"/>
                <w:szCs w:val="28"/>
                <w:lang w:val="ro-RO"/>
              </w:rPr>
              <w:t>Escherichia</w:t>
            </w:r>
            <w:proofErr w:type="spellEnd"/>
            <w:r w:rsidRPr="00BA574A">
              <w:rPr>
                <w:rFonts w:ascii="Times New Roman" w:eastAsia="Calibri" w:hAnsi="Times New Roman" w:cs="Times New Roman"/>
                <w:sz w:val="28"/>
                <w:szCs w:val="28"/>
                <w:lang w:val="ro-RO"/>
              </w:rPr>
              <w:t xml:space="preserve"> coli (E. coli) izolată în carne de pui. Creșterea producției de animale în țările cu venituri mici ar scădea cel mai mult, cu o posibilă pierdere de 11% până în 2050.</w:t>
            </w:r>
          </w:p>
          <w:p w:rsidR="00BA574A" w:rsidRPr="00BA574A" w:rsidRDefault="00BA574A" w:rsidP="00BA574A">
            <w:pPr>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Costurile pentru sănătate, atât în sectorul public, cât și privat, vor crește odată cu creșterea bolilor; până în 2050, costurile anuale pot depăși nivelul de bază cu aproximativ 25% în țările cu venituri mici, 15% în țările cu venituri medii și 6% în țările cu venituri mari.</w:t>
            </w:r>
          </w:p>
          <w:p w:rsidR="00BA574A" w:rsidRPr="00BA574A" w:rsidRDefault="00BA574A" w:rsidP="00BA574A">
            <w:pPr>
              <w:spacing w:after="0" w:line="240" w:lineRule="auto"/>
              <w:ind w:firstLine="709"/>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Măsurile eficiente împotriva creșterii rezistenței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vor reduce impactul negativ al acestuia asupra economiei și, prin urmare, pot fi considerate o contribuție la creșterea economică, la bugetele de asistență medicală durabilă. Analiza Băncii Mondiale arată că investițiile în combaterea rezistenței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constituie una dintre cele mai mari investiții de dezvoltare disponibile azi pentru țări. </w:t>
            </w:r>
          </w:p>
          <w:p w:rsidR="00BA574A" w:rsidRPr="00BA574A" w:rsidRDefault="00BA574A" w:rsidP="00BA574A">
            <w:pPr>
              <w:tabs>
                <w:tab w:val="left" w:pos="1080"/>
              </w:tabs>
              <w:spacing w:after="0" w:line="240" w:lineRule="auto"/>
              <w:ind w:firstLine="709"/>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sz w:val="28"/>
                <w:szCs w:val="28"/>
                <w:lang w:val="ro-RO"/>
              </w:rPr>
              <w:t>Pentru realizarea</w:t>
            </w:r>
            <w:r>
              <w:rPr>
                <w:rFonts w:ascii="Times New Roman" w:eastAsia="Times New Roman" w:hAnsi="Times New Roman" w:cs="Times New Roman"/>
                <w:sz w:val="28"/>
                <w:szCs w:val="28"/>
                <w:lang w:val="ro-RO"/>
              </w:rPr>
              <w:t xml:space="preserve"> </w:t>
            </w:r>
            <w:r w:rsidRPr="00BA574A">
              <w:rPr>
                <w:rFonts w:ascii="Times New Roman" w:eastAsia="Times New Roman" w:hAnsi="Times New Roman" w:cs="Times New Roman"/>
                <w:sz w:val="28"/>
                <w:szCs w:val="28"/>
                <w:lang w:val="ro-RO"/>
              </w:rPr>
              <w:t>Programului , fiecare autoritate responsabilă va prevedea resurse financiare în limitele alocaţiilor aprobate anual pentru bugetele lor. Totodată, MSMPS va participa la realizarea Programului</w:t>
            </w:r>
            <w:r>
              <w:rPr>
                <w:rFonts w:ascii="Times New Roman" w:eastAsia="Times New Roman" w:hAnsi="Times New Roman" w:cs="Times New Roman"/>
                <w:sz w:val="28"/>
                <w:szCs w:val="28"/>
                <w:lang w:val="ro-RO"/>
              </w:rPr>
              <w:t xml:space="preserve"> </w:t>
            </w:r>
            <w:r w:rsidRPr="00BA574A">
              <w:rPr>
                <w:rFonts w:ascii="Times New Roman" w:eastAsia="Times New Roman" w:hAnsi="Times New Roman" w:cs="Times New Roman"/>
                <w:sz w:val="28"/>
                <w:szCs w:val="28"/>
                <w:lang w:val="ro-RO"/>
              </w:rPr>
              <w:t>ca organ coordonator, executiv şi consultativ.</w:t>
            </w:r>
          </w:p>
          <w:p w:rsidR="00BA574A" w:rsidRPr="00BA574A" w:rsidRDefault="00BA574A" w:rsidP="00BA574A">
            <w:pPr>
              <w:tabs>
                <w:tab w:val="left" w:pos="1080"/>
              </w:tabs>
              <w:spacing w:after="0" w:line="240" w:lineRule="auto"/>
              <w:ind w:firstLine="709"/>
              <w:jc w:val="both"/>
              <w:rPr>
                <w:rFonts w:ascii="Times New Roman" w:eastAsia="Times New Roman" w:hAnsi="Times New Roman" w:cs="Times New Roman"/>
                <w:sz w:val="28"/>
                <w:szCs w:val="28"/>
                <w:lang w:val="ro-RO"/>
              </w:rPr>
            </w:pPr>
            <w:r w:rsidRPr="00BA574A">
              <w:rPr>
                <w:rFonts w:ascii="Times New Roman" w:eastAsia="Times New Roman" w:hAnsi="Times New Roman" w:cs="Times New Roman"/>
                <w:sz w:val="28"/>
                <w:szCs w:val="28"/>
                <w:lang w:val="ro-RO"/>
              </w:rPr>
              <w:t>Resursele tehnice şi umane necesare implementării Programului</w:t>
            </w:r>
            <w:r>
              <w:rPr>
                <w:rFonts w:ascii="Times New Roman" w:eastAsia="Times New Roman" w:hAnsi="Times New Roman" w:cs="Times New Roman"/>
                <w:sz w:val="28"/>
                <w:szCs w:val="28"/>
                <w:lang w:val="ro-RO"/>
              </w:rPr>
              <w:t xml:space="preserve"> </w:t>
            </w:r>
            <w:r w:rsidRPr="00BA574A">
              <w:rPr>
                <w:rFonts w:ascii="Times New Roman" w:eastAsia="Times New Roman" w:hAnsi="Times New Roman" w:cs="Times New Roman"/>
                <w:sz w:val="28"/>
                <w:szCs w:val="28"/>
                <w:lang w:val="ro-RO"/>
              </w:rPr>
              <w:t>sunt estimate şi detaliate pentru fiecare etapă a procesului de executare în Planul de acţiuni privind implementarea</w:t>
            </w:r>
            <w:r>
              <w:rPr>
                <w:rFonts w:ascii="Times New Roman" w:eastAsia="Times New Roman" w:hAnsi="Times New Roman" w:cs="Times New Roman"/>
                <w:sz w:val="28"/>
                <w:szCs w:val="28"/>
                <w:lang w:val="ro-RO"/>
              </w:rPr>
              <w:t xml:space="preserve"> </w:t>
            </w:r>
            <w:r w:rsidRPr="00BA574A">
              <w:rPr>
                <w:rFonts w:ascii="Times New Roman" w:eastAsia="Times New Roman" w:hAnsi="Times New Roman" w:cs="Times New Roman"/>
                <w:sz w:val="28"/>
                <w:szCs w:val="28"/>
                <w:lang w:val="ro-RO"/>
              </w:rPr>
              <w:t>acestuia. Planul de acţiuni va servi, de asemenea, drept mecanism de bază pentru punerea în practică a</w:t>
            </w:r>
            <w:r>
              <w:rPr>
                <w:rFonts w:ascii="Times New Roman" w:eastAsia="Times New Roman" w:hAnsi="Times New Roman" w:cs="Times New Roman"/>
                <w:sz w:val="28"/>
                <w:szCs w:val="28"/>
                <w:lang w:val="ro-RO"/>
              </w:rPr>
              <w:t xml:space="preserve"> </w:t>
            </w:r>
            <w:r w:rsidRPr="00BA574A">
              <w:rPr>
                <w:rFonts w:ascii="Times New Roman" w:eastAsia="Times New Roman" w:hAnsi="Times New Roman" w:cs="Times New Roman"/>
                <w:sz w:val="28"/>
                <w:szCs w:val="28"/>
                <w:lang w:val="ro-RO"/>
              </w:rPr>
              <w:t xml:space="preserve">Programului, care stabileşte obiectivele specifice în domeniile identificate şi acţiunile pentru atingerea lor, rezultatele/beneficiile scontate, termenele-limită, instituţiile responsabile şi indicatorii de evaluare a rezultatelor obţinute. </w:t>
            </w:r>
          </w:p>
        </w:tc>
      </w:tr>
      <w:tr w:rsidR="00BA574A" w:rsidRPr="00A30094"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lastRenderedPageBreak/>
              <w:t>6. Modul de încorporare a actului în cadrul normativ în vigoare</w:t>
            </w:r>
          </w:p>
        </w:tc>
      </w:tr>
      <w:tr w:rsidR="00BA574A" w:rsidRPr="00A30094"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Times New Roman" w:hAnsi="Times New Roman" w:cs="Times New Roman"/>
                <w:sz w:val="28"/>
                <w:szCs w:val="28"/>
                <w:lang w:val="ro-RO" w:eastAsia="zh-TW" w:bidi="en-US"/>
              </w:rPr>
            </w:pPr>
            <w:r w:rsidRPr="00BA574A">
              <w:rPr>
                <w:rFonts w:ascii="Times New Roman" w:eastAsia="Calibri" w:hAnsi="Times New Roman" w:cs="Times New Roman"/>
                <w:sz w:val="28"/>
                <w:szCs w:val="28"/>
                <w:lang w:val="ro-RO"/>
              </w:rPr>
              <w:t xml:space="preserve">     Aprobarea proiectului hotărârii Guvernului cu privire la aprobarea Programului național</w:t>
            </w:r>
            <w:r>
              <w:rPr>
                <w:rFonts w:ascii="Times New Roman" w:eastAsia="Calibri" w:hAnsi="Times New Roman" w:cs="Times New Roman"/>
                <w:sz w:val="28"/>
                <w:szCs w:val="28"/>
                <w:lang w:val="ro-RO"/>
              </w:rPr>
              <w:t xml:space="preserve"> </w:t>
            </w:r>
            <w:r w:rsidRPr="00BA574A">
              <w:rPr>
                <w:rFonts w:ascii="Times New Roman" w:eastAsia="Calibri" w:hAnsi="Times New Roman" w:cs="Times New Roman"/>
                <w:sz w:val="28"/>
                <w:szCs w:val="28"/>
                <w:lang w:val="ro-RO"/>
              </w:rPr>
              <w:t xml:space="preserve">pentru supravegherea și combaterea rezistenței </w:t>
            </w:r>
            <w:proofErr w:type="spellStart"/>
            <w:r w:rsidRPr="00BA574A">
              <w:rPr>
                <w:rFonts w:ascii="Times New Roman" w:eastAsia="Calibri" w:hAnsi="Times New Roman" w:cs="Times New Roman"/>
                <w:sz w:val="28"/>
                <w:szCs w:val="28"/>
                <w:lang w:val="ro-RO"/>
              </w:rPr>
              <w:t>antimicrobiene</w:t>
            </w:r>
            <w:proofErr w:type="spellEnd"/>
            <w:r w:rsidRPr="00BA574A">
              <w:rPr>
                <w:rFonts w:ascii="Times New Roman" w:eastAsia="Calibri" w:hAnsi="Times New Roman" w:cs="Times New Roman"/>
                <w:sz w:val="28"/>
                <w:szCs w:val="28"/>
                <w:lang w:val="ro-RO"/>
              </w:rPr>
              <w:t xml:space="preserve"> pentru anii 2019-2028 nu va </w:t>
            </w:r>
            <w:r w:rsidRPr="00BA574A">
              <w:rPr>
                <w:rFonts w:ascii="Times New Roman" w:eastAsia="Times New Roman" w:hAnsi="Times New Roman" w:cs="Times New Roman"/>
                <w:sz w:val="28"/>
                <w:szCs w:val="28"/>
                <w:lang w:val="ro-RO" w:eastAsia="zh-TW" w:bidi="en-US"/>
              </w:rPr>
              <w:t>genera modificări în textul altor acte normative.</w:t>
            </w:r>
          </w:p>
        </w:tc>
      </w:tr>
      <w:tr w:rsidR="00BA574A" w:rsidRPr="00BD29B5"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7. Avizarea şi consultarea publică a proiectului</w:t>
            </w:r>
          </w:p>
        </w:tc>
      </w:tr>
      <w:tr w:rsidR="00BA574A" w:rsidRPr="00A30094" w:rsidTr="00AC218F">
        <w:tc>
          <w:tcPr>
            <w:tcW w:w="5000" w:type="pct"/>
          </w:tcPr>
          <w:p w:rsidR="00BA574A" w:rsidRPr="00BA574A" w:rsidRDefault="00BA574A" w:rsidP="00BA5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     Proiectul a fost avizat și consultat, conform procedurii stabilite de legislația în vigoare. Proiectul a fost publicat pe pagina web a Ministerului Sănătății, Muncii și Protecției Sociale, la rubrica transparența în procesul decizional, precum și a fost transmis spre consultare autorităților publice responsabile. Proiectul a fost avizat de următoarele autorități: Ministerul Educației, Culturii și Cercetării, Ministerul Agriculturii, Dezvoltării Regionale și Mediului, Ministerul Finanțelor, Ministerul Economiei și Infrastructurii, Agenția Medicamentului și Dispozitivelor Medicale, Agenția Națională pentru Siguranța Alimentelor, Compania Națională de Asigurări în Medicină,  Confederația Națională a Sindicatelor din Moldova.</w:t>
            </w: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8. Constatările expertizei anticorupție</w:t>
            </w:r>
          </w:p>
        </w:tc>
      </w:tr>
      <w:tr w:rsidR="00BA574A" w:rsidRPr="00BD29B5"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sz w:val="28"/>
                <w:szCs w:val="28"/>
                <w:lang w:val="ro-RO"/>
              </w:rPr>
            </w:pPr>
            <w:r w:rsidRPr="00BA574A">
              <w:rPr>
                <w:rFonts w:ascii="Times New Roman" w:eastAsia="Calibri" w:hAnsi="Times New Roman" w:cs="Times New Roman"/>
                <w:sz w:val="28"/>
                <w:szCs w:val="28"/>
                <w:lang w:val="ro-RO"/>
              </w:rPr>
              <w:t xml:space="preserve">     În conformitate cu art. 28 alin. (2) lit. a) din Legea integrității nr. 82/2017 proiectul nu se supune expertizei anticorupție.</w:t>
            </w: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9. Constatările expertizei de compatibilitate</w:t>
            </w: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sz w:val="28"/>
                <w:szCs w:val="28"/>
                <w:lang w:val="ro-RO"/>
              </w:rPr>
            </w:pP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10. Constatările expertizei juridice</w:t>
            </w:r>
          </w:p>
        </w:tc>
      </w:tr>
      <w:tr w:rsidR="00BA574A" w:rsidRPr="00BD29B5" w:rsidTr="00AC218F">
        <w:tc>
          <w:tcPr>
            <w:tcW w:w="5000" w:type="pct"/>
          </w:tcPr>
          <w:p w:rsidR="00BA574A" w:rsidRPr="00BA574A" w:rsidRDefault="00BA574A" w:rsidP="00BA574A">
            <w:pPr>
              <w:spacing w:after="160" w:line="240" w:lineRule="auto"/>
              <w:jc w:val="both"/>
              <w:rPr>
                <w:rFonts w:ascii="Times New Roman" w:eastAsia="Calibri" w:hAnsi="Times New Roman" w:cs="Times New Roman"/>
                <w:sz w:val="28"/>
                <w:szCs w:val="28"/>
                <w:lang w:val="ro-RO"/>
              </w:rPr>
            </w:pPr>
            <w:r w:rsidRPr="00BA574A">
              <w:rPr>
                <w:rFonts w:ascii="Times New Roman" w:eastAsia="Calibri" w:hAnsi="Times New Roman" w:cs="Times New Roman"/>
                <w:color w:val="000000"/>
                <w:sz w:val="28"/>
                <w:szCs w:val="28"/>
                <w:shd w:val="clear" w:color="auto" w:fill="FFFFFF"/>
                <w:lang w:val="ro-RO"/>
              </w:rPr>
              <w:t xml:space="preserve">     Proiectul a fost supus expertizei juridice (avizul Ministerului Justiției nr. 04/10293 din 08.09.2018). Propunerile și obiecțiile formulate în aviz, inclusiv sub aspectul regulilor de tehnică legislativă, au fost incluse în proiectul definitivat. </w:t>
            </w: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11. Constatările altor expertize</w:t>
            </w:r>
          </w:p>
        </w:tc>
      </w:tr>
      <w:tr w:rsidR="00BA574A" w:rsidRPr="00BA574A" w:rsidTr="00AC218F">
        <w:tc>
          <w:tcPr>
            <w:tcW w:w="5000" w:type="pct"/>
          </w:tcPr>
          <w:p w:rsidR="00BA574A" w:rsidRPr="00BA574A" w:rsidRDefault="00BA574A" w:rsidP="00BA574A">
            <w:pPr>
              <w:tabs>
                <w:tab w:val="left" w:pos="884"/>
                <w:tab w:val="left" w:pos="1196"/>
              </w:tabs>
              <w:spacing w:after="0" w:line="240" w:lineRule="auto"/>
              <w:jc w:val="both"/>
              <w:rPr>
                <w:rFonts w:ascii="Times New Roman" w:eastAsia="Calibri" w:hAnsi="Times New Roman" w:cs="Times New Roman"/>
                <w:sz w:val="28"/>
                <w:szCs w:val="28"/>
                <w:lang w:val="ro-RO"/>
              </w:rPr>
            </w:pPr>
          </w:p>
        </w:tc>
      </w:tr>
    </w:tbl>
    <w:p w:rsidR="00BA574A" w:rsidRDefault="00BA574A" w:rsidP="00BA574A">
      <w:pPr>
        <w:spacing w:after="0" w:line="240" w:lineRule="auto"/>
        <w:jc w:val="center"/>
        <w:rPr>
          <w:rFonts w:ascii="Times New Roman" w:eastAsia="Calibri" w:hAnsi="Times New Roman" w:cs="Times New Roman"/>
          <w:b/>
          <w:i/>
          <w:sz w:val="28"/>
          <w:szCs w:val="28"/>
          <w:lang w:val="ro-RO"/>
        </w:rPr>
      </w:pPr>
    </w:p>
    <w:p w:rsidR="00BA574A" w:rsidRDefault="00BA574A" w:rsidP="00BA574A">
      <w:pPr>
        <w:spacing w:after="0" w:line="240" w:lineRule="auto"/>
        <w:jc w:val="center"/>
        <w:rPr>
          <w:rFonts w:ascii="Times New Roman" w:eastAsia="Calibri" w:hAnsi="Times New Roman" w:cs="Times New Roman"/>
          <w:b/>
          <w:i/>
          <w:sz w:val="28"/>
          <w:szCs w:val="28"/>
          <w:lang w:val="ro-RO"/>
        </w:rPr>
      </w:pPr>
    </w:p>
    <w:p w:rsidR="00BA574A" w:rsidRDefault="00BA574A" w:rsidP="00BA574A">
      <w:pPr>
        <w:spacing w:after="0" w:line="240" w:lineRule="auto"/>
        <w:jc w:val="center"/>
        <w:rPr>
          <w:rFonts w:ascii="Times New Roman" w:eastAsia="Calibri" w:hAnsi="Times New Roman" w:cs="Times New Roman"/>
          <w:b/>
          <w:i/>
          <w:sz w:val="28"/>
          <w:szCs w:val="28"/>
          <w:lang w:val="ro-RO"/>
        </w:rPr>
      </w:pPr>
    </w:p>
    <w:p w:rsidR="00BA574A" w:rsidRDefault="00BA574A" w:rsidP="00BA574A">
      <w:pPr>
        <w:spacing w:after="0" w:line="240" w:lineRule="auto"/>
        <w:jc w:val="center"/>
        <w:rPr>
          <w:rFonts w:ascii="Times New Roman" w:eastAsia="Calibri" w:hAnsi="Times New Roman" w:cs="Times New Roman"/>
          <w:b/>
          <w:i/>
          <w:sz w:val="28"/>
          <w:szCs w:val="28"/>
          <w:lang w:val="ro-RO"/>
        </w:rPr>
      </w:pPr>
    </w:p>
    <w:p w:rsidR="00BA574A" w:rsidRPr="00BA574A" w:rsidRDefault="00BA574A" w:rsidP="00BA574A">
      <w:pPr>
        <w:spacing w:after="0" w:line="240" w:lineRule="auto"/>
        <w:jc w:val="center"/>
        <w:rPr>
          <w:rFonts w:ascii="Times New Roman" w:eastAsia="Calibri" w:hAnsi="Times New Roman" w:cs="Times New Roman"/>
          <w:b/>
          <w:i/>
          <w:sz w:val="28"/>
          <w:szCs w:val="28"/>
          <w:lang w:val="ro-RO"/>
        </w:rPr>
      </w:pPr>
    </w:p>
    <w:p w:rsidR="00BA574A" w:rsidRPr="00BA574A" w:rsidRDefault="00BA574A" w:rsidP="00BA574A">
      <w:pPr>
        <w:shd w:val="clear" w:color="auto" w:fill="FFFFFF"/>
        <w:spacing w:after="0" w:line="240" w:lineRule="auto"/>
        <w:jc w:val="center"/>
        <w:rPr>
          <w:rFonts w:ascii="Times New Roman" w:eastAsia="Calibri" w:hAnsi="Times New Roman" w:cs="Times New Roman"/>
          <w:b/>
          <w:sz w:val="28"/>
          <w:szCs w:val="28"/>
          <w:lang w:val="ro-RO"/>
        </w:rPr>
      </w:pPr>
      <w:r w:rsidRPr="00BA574A">
        <w:rPr>
          <w:rFonts w:ascii="Times New Roman" w:eastAsia="Calibri" w:hAnsi="Times New Roman" w:cs="Times New Roman"/>
          <w:b/>
          <w:sz w:val="28"/>
          <w:szCs w:val="28"/>
          <w:lang w:val="ro-RO"/>
        </w:rPr>
        <w:t>SECRETAR DE STAT</w:t>
      </w:r>
      <w:r>
        <w:rPr>
          <w:rFonts w:ascii="Times New Roman" w:eastAsia="Calibri" w:hAnsi="Times New Roman" w:cs="Times New Roman"/>
          <w:b/>
          <w:sz w:val="28"/>
          <w:szCs w:val="28"/>
          <w:lang w:val="ro-RO"/>
        </w:rPr>
        <w:t xml:space="preserve">                      </w:t>
      </w:r>
      <w:r w:rsidR="00BD29B5">
        <w:rPr>
          <w:rFonts w:ascii="Times New Roman" w:eastAsia="Calibri" w:hAnsi="Times New Roman" w:cs="Times New Roman"/>
          <w:b/>
          <w:sz w:val="28"/>
          <w:szCs w:val="28"/>
          <w:lang w:val="ro-RO"/>
        </w:rPr>
        <w:t>Alexandru VOLOC</w:t>
      </w:r>
    </w:p>
    <w:p w:rsidR="006F1B8D" w:rsidRPr="00BA574A" w:rsidRDefault="006F1B8D">
      <w:pPr>
        <w:rPr>
          <w:lang w:val="en-US"/>
        </w:rPr>
      </w:pPr>
    </w:p>
    <w:sectPr w:rsidR="006F1B8D" w:rsidRPr="00BA574A" w:rsidSect="00031ECF">
      <w:footerReference w:type="default" r:id="rId8"/>
      <w:pgSz w:w="11906" w:h="16838"/>
      <w:pgMar w:top="426" w:right="991"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E0" w:rsidRDefault="006912E0">
      <w:pPr>
        <w:spacing w:after="0" w:line="240" w:lineRule="auto"/>
      </w:pPr>
      <w:r>
        <w:separator/>
      </w:r>
    </w:p>
  </w:endnote>
  <w:endnote w:type="continuationSeparator" w:id="0">
    <w:p w:rsidR="006912E0" w:rsidRDefault="0069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183375"/>
      <w:docPartObj>
        <w:docPartGallery w:val="Page Numbers (Bottom of Page)"/>
        <w:docPartUnique/>
      </w:docPartObj>
    </w:sdtPr>
    <w:sdtEndPr>
      <w:rPr>
        <w:noProof/>
      </w:rPr>
    </w:sdtEndPr>
    <w:sdtContent>
      <w:p w:rsidR="00031ECF" w:rsidRDefault="00BA574A">
        <w:pPr>
          <w:pStyle w:val="a3"/>
          <w:jc w:val="center"/>
        </w:pPr>
        <w:r>
          <w:fldChar w:fldCharType="begin"/>
        </w:r>
        <w:r>
          <w:instrText xml:space="preserve"> PAGE   \* MERGEFORMAT </w:instrText>
        </w:r>
        <w:r>
          <w:fldChar w:fldCharType="separate"/>
        </w:r>
        <w:r w:rsidR="00A30094">
          <w:rPr>
            <w:noProof/>
          </w:rPr>
          <w:t>1</w:t>
        </w:r>
        <w:r>
          <w:rPr>
            <w:noProof/>
          </w:rPr>
          <w:fldChar w:fldCharType="end"/>
        </w:r>
      </w:p>
    </w:sdtContent>
  </w:sdt>
  <w:p w:rsidR="00031ECF" w:rsidRDefault="006912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E0" w:rsidRDefault="006912E0">
      <w:pPr>
        <w:spacing w:after="0" w:line="240" w:lineRule="auto"/>
      </w:pPr>
      <w:r>
        <w:separator/>
      </w:r>
    </w:p>
  </w:footnote>
  <w:footnote w:type="continuationSeparator" w:id="0">
    <w:p w:rsidR="006912E0" w:rsidRDefault="00691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A7DBF"/>
    <w:multiLevelType w:val="hybridMultilevel"/>
    <w:tmpl w:val="E54C42DE"/>
    <w:lvl w:ilvl="0" w:tplc="040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3E"/>
    <w:rsid w:val="00407629"/>
    <w:rsid w:val="00560E5A"/>
    <w:rsid w:val="006912E0"/>
    <w:rsid w:val="006F1B8D"/>
    <w:rsid w:val="0079253E"/>
    <w:rsid w:val="00A30094"/>
    <w:rsid w:val="00BA574A"/>
    <w:rsid w:val="00BD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A574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A5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A574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A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Demișcan</dc:creator>
  <cp:lastModifiedBy>Ana Bucur</cp:lastModifiedBy>
  <cp:revision>2</cp:revision>
  <dcterms:created xsi:type="dcterms:W3CDTF">2019-09-16T06:45:00Z</dcterms:created>
  <dcterms:modified xsi:type="dcterms:W3CDTF">2019-09-16T06:45:00Z</dcterms:modified>
</cp:coreProperties>
</file>