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6C9" w:rsidRDefault="002F46C9" w:rsidP="002F46C9">
      <w:pPr>
        <w:jc w:val="right"/>
        <w:rPr>
          <w:rFonts w:eastAsia="Times New Roman"/>
          <w:noProof/>
        </w:rPr>
      </w:pPr>
      <w:r>
        <w:rPr>
          <w:rFonts w:eastAsia="Times New Roman"/>
          <w:noProof/>
        </w:rPr>
        <w:t>Proiect</w:t>
      </w:r>
    </w:p>
    <w:p w:rsidR="002F46C9" w:rsidRDefault="002F46C9" w:rsidP="002F46C9">
      <w:pPr>
        <w:jc w:val="right"/>
        <w:rPr>
          <w:rFonts w:eastAsia="Times New Roman"/>
          <w:noProof/>
        </w:rPr>
      </w:pPr>
    </w:p>
    <w:p w:rsidR="002F46C9" w:rsidRPr="005D0D9E" w:rsidRDefault="002F46C9" w:rsidP="002F46C9">
      <w:pPr>
        <w:jc w:val="center"/>
        <w:rPr>
          <w:rFonts w:eastAsia="Times New Roman"/>
        </w:rPr>
      </w:pPr>
      <w:r>
        <w:rPr>
          <w:rFonts w:eastAsia="Times New Roman"/>
          <w:noProof/>
        </w:rPr>
        <w:t>GUVERNUL REPUBLICII MOLDOVA</w:t>
      </w:r>
    </w:p>
    <w:p w:rsidR="002F46C9" w:rsidRPr="00C95AD6" w:rsidRDefault="002F46C9" w:rsidP="002F46C9">
      <w:pPr>
        <w:jc w:val="center"/>
        <w:rPr>
          <w:rFonts w:eastAsia="Times New Roman"/>
        </w:rPr>
      </w:pPr>
    </w:p>
    <w:p w:rsidR="002F46C9" w:rsidRPr="00C95AD6" w:rsidRDefault="002F46C9" w:rsidP="002F46C9">
      <w:pPr>
        <w:jc w:val="center"/>
        <w:rPr>
          <w:rFonts w:eastAsia="Times New Roman"/>
          <w:b/>
          <w:bCs/>
        </w:rPr>
      </w:pPr>
      <w:r w:rsidRPr="00C95AD6">
        <w:rPr>
          <w:rFonts w:eastAsia="Times New Roman"/>
          <w:b/>
          <w:bCs/>
        </w:rPr>
        <w:t>H O T Ă R Î R E</w:t>
      </w:r>
    </w:p>
    <w:p w:rsidR="002F46C9" w:rsidRPr="00583F6C" w:rsidRDefault="002F46C9" w:rsidP="002F46C9">
      <w:pPr>
        <w:pStyle w:val="tt"/>
      </w:pPr>
      <w:r w:rsidRPr="00C95AD6">
        <w:t>privind aprobarea proiectului de lege pentru modificarea</w:t>
      </w:r>
      <w:r w:rsidRPr="00583F6C">
        <w:rPr>
          <w:b w:val="0"/>
          <w:bCs w:val="0"/>
        </w:rPr>
        <w:t xml:space="preserve"> </w:t>
      </w:r>
      <w:r>
        <w:t>Legii</w:t>
      </w:r>
      <w:r w:rsidRPr="00583F6C">
        <w:t xml:space="preserve"> nr. 209/2016 privind </w:t>
      </w:r>
      <w:proofErr w:type="spellStart"/>
      <w:r w:rsidRPr="00583F6C">
        <w:t>deşeurile</w:t>
      </w:r>
      <w:proofErr w:type="spellEnd"/>
    </w:p>
    <w:p w:rsidR="002F46C9" w:rsidRPr="00C95AD6" w:rsidRDefault="002F46C9" w:rsidP="002F46C9">
      <w:pPr>
        <w:jc w:val="center"/>
        <w:rPr>
          <w:rFonts w:eastAsia="Times New Roman"/>
          <w:b/>
          <w:bCs/>
        </w:rPr>
      </w:pPr>
      <w:r w:rsidRPr="00C95AD6">
        <w:rPr>
          <w:rFonts w:eastAsia="Times New Roman"/>
          <w:b/>
          <w:bCs/>
        </w:rPr>
        <w:t xml:space="preserve"> </w:t>
      </w:r>
    </w:p>
    <w:p w:rsidR="002F46C9" w:rsidRPr="00C95AD6" w:rsidRDefault="002F46C9" w:rsidP="002F46C9">
      <w:pPr>
        <w:jc w:val="center"/>
        <w:rPr>
          <w:rFonts w:eastAsia="Times New Roman"/>
          <w:b/>
          <w:bCs/>
        </w:rPr>
      </w:pPr>
      <w:r w:rsidRPr="00C95AD6">
        <w:rPr>
          <w:rFonts w:eastAsia="Times New Roman"/>
          <w:b/>
          <w:bCs/>
        </w:rPr>
        <w:t>nr.</w:t>
      </w:r>
      <w:r>
        <w:rPr>
          <w:rFonts w:eastAsia="Times New Roman"/>
          <w:b/>
          <w:bCs/>
        </w:rPr>
        <w:t>____</w:t>
      </w:r>
      <w:r w:rsidRPr="00C95AD6">
        <w:rPr>
          <w:rFonts w:eastAsia="Times New Roman"/>
          <w:b/>
          <w:bCs/>
        </w:rPr>
        <w:t xml:space="preserve">  din</w:t>
      </w:r>
      <w:r>
        <w:rPr>
          <w:rFonts w:eastAsia="Times New Roman"/>
          <w:b/>
          <w:bCs/>
        </w:rPr>
        <w:t>_____________</w:t>
      </w:r>
      <w:r w:rsidRPr="00C95AD6">
        <w:rPr>
          <w:rFonts w:eastAsia="Times New Roman"/>
          <w:b/>
          <w:bCs/>
        </w:rPr>
        <w:t>  2019</w:t>
      </w:r>
    </w:p>
    <w:p w:rsidR="002F46C9" w:rsidRPr="00C95AD6" w:rsidRDefault="002F46C9" w:rsidP="002F46C9">
      <w:pPr>
        <w:jc w:val="center"/>
        <w:rPr>
          <w:rFonts w:eastAsia="Times New Roman"/>
        </w:rPr>
      </w:pPr>
      <w:r w:rsidRPr="00C95AD6">
        <w:rPr>
          <w:rFonts w:eastAsia="Times New Roman"/>
        </w:rPr>
        <w:t> </w:t>
      </w:r>
    </w:p>
    <w:p w:rsidR="002F46C9" w:rsidRDefault="002F46C9" w:rsidP="002F46C9">
      <w:pPr>
        <w:ind w:firstLine="567"/>
        <w:jc w:val="both"/>
        <w:rPr>
          <w:rFonts w:eastAsia="Times New Roman"/>
        </w:rPr>
      </w:pPr>
    </w:p>
    <w:p w:rsidR="002F46C9" w:rsidRPr="00C95AD6" w:rsidRDefault="002F46C9" w:rsidP="002F46C9">
      <w:pPr>
        <w:ind w:firstLine="567"/>
        <w:jc w:val="both"/>
        <w:rPr>
          <w:rFonts w:eastAsia="Times New Roman"/>
        </w:rPr>
      </w:pPr>
      <w:r w:rsidRPr="00C95AD6">
        <w:rPr>
          <w:rFonts w:eastAsia="Times New Roman"/>
        </w:rPr>
        <w:t xml:space="preserve">Guvernul </w:t>
      </w:r>
      <w:r w:rsidRPr="00C95AD6">
        <w:rPr>
          <w:rFonts w:eastAsia="Times New Roman"/>
          <w:b/>
          <w:bCs/>
        </w:rPr>
        <w:t>HOTĂRĂŞTE</w:t>
      </w:r>
      <w:r w:rsidRPr="00C95AD6">
        <w:rPr>
          <w:rFonts w:eastAsia="Times New Roman"/>
        </w:rPr>
        <w:t>:</w:t>
      </w:r>
    </w:p>
    <w:p w:rsidR="002F46C9" w:rsidRDefault="002F46C9" w:rsidP="002F46C9">
      <w:pPr>
        <w:ind w:firstLine="567"/>
        <w:jc w:val="both"/>
        <w:rPr>
          <w:rFonts w:eastAsia="Times New Roman"/>
        </w:rPr>
      </w:pPr>
    </w:p>
    <w:p w:rsidR="002F46C9" w:rsidRPr="00C95AD6" w:rsidRDefault="002F46C9" w:rsidP="002F46C9">
      <w:pPr>
        <w:ind w:firstLine="567"/>
        <w:jc w:val="both"/>
        <w:rPr>
          <w:rFonts w:eastAsia="Times New Roman"/>
        </w:rPr>
      </w:pPr>
      <w:r w:rsidRPr="00C95AD6">
        <w:rPr>
          <w:rFonts w:eastAsia="Times New Roman"/>
        </w:rPr>
        <w:t xml:space="preserve">Se aprobă </w:t>
      </w:r>
      <w:proofErr w:type="spellStart"/>
      <w:r w:rsidRPr="00C95AD6">
        <w:rPr>
          <w:rFonts w:eastAsia="Times New Roman"/>
        </w:rPr>
        <w:t>şi</w:t>
      </w:r>
      <w:proofErr w:type="spellEnd"/>
      <w:r w:rsidRPr="00C95AD6">
        <w:rPr>
          <w:rFonts w:eastAsia="Times New Roman"/>
        </w:rPr>
        <w:t xml:space="preserve"> se prezintă Parlamentului spre examinare proiectul de lege pentru modificarea</w:t>
      </w:r>
      <w:r>
        <w:rPr>
          <w:rFonts w:eastAsia="Times New Roman"/>
        </w:rPr>
        <w:t xml:space="preserve"> Legii nr.209/2016 privind deșeurile</w:t>
      </w:r>
      <w:r w:rsidRPr="00C95AD6">
        <w:rPr>
          <w:rFonts w:eastAsia="Times New Roman"/>
        </w:rPr>
        <w:t>.</w:t>
      </w:r>
    </w:p>
    <w:p w:rsidR="002F46C9" w:rsidRPr="00C95AD6" w:rsidRDefault="002F46C9" w:rsidP="002F46C9">
      <w:pPr>
        <w:ind w:firstLine="567"/>
        <w:jc w:val="both"/>
        <w:rPr>
          <w:rFonts w:eastAsia="Times New Roman"/>
        </w:rPr>
      </w:pPr>
      <w:r w:rsidRPr="00C95AD6">
        <w:rPr>
          <w:rFonts w:eastAsia="Times New Roman"/>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273"/>
        <w:gridCol w:w="1407"/>
      </w:tblGrid>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PRIM-MINISTRU</w:t>
            </w:r>
          </w:p>
        </w:t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Maia SANDU</w:t>
            </w:r>
          </w:p>
        </w:tc>
      </w:tr>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 </w:t>
            </w:r>
          </w:p>
        </w:tc>
        <w:tc>
          <w:tcPr>
            <w:tcW w:w="0" w:type="auto"/>
            <w:vAlign w:val="center"/>
            <w:hideMark/>
          </w:tcPr>
          <w:p w:rsidR="002F46C9" w:rsidRPr="00C95AD6" w:rsidRDefault="002F46C9" w:rsidP="000D2E9C">
            <w:pPr>
              <w:rPr>
                <w:rFonts w:eastAsia="Times New Roman"/>
                <w:sz w:val="20"/>
                <w:szCs w:val="20"/>
              </w:rPr>
            </w:pPr>
          </w:p>
        </w:tc>
      </w:tr>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Contrasemnează:</w:t>
            </w:r>
          </w:p>
        </w:tc>
        <w:tc>
          <w:tcPr>
            <w:tcW w:w="0" w:type="auto"/>
            <w:vAlign w:val="center"/>
            <w:hideMark/>
          </w:tcPr>
          <w:p w:rsidR="002F46C9" w:rsidRPr="00C95AD6" w:rsidRDefault="002F46C9" w:rsidP="000D2E9C">
            <w:pPr>
              <w:rPr>
                <w:rFonts w:eastAsia="Times New Roman"/>
                <w:sz w:val="20"/>
                <w:szCs w:val="20"/>
              </w:rPr>
            </w:pPr>
          </w:p>
        </w:tc>
      </w:tr>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Pr>
                <w:rFonts w:eastAsia="Times New Roman"/>
                <w:b/>
                <w:bCs/>
                <w:sz w:val="20"/>
                <w:szCs w:val="20"/>
              </w:rPr>
              <w:t>M</w:t>
            </w:r>
            <w:r w:rsidRPr="00C95AD6">
              <w:rPr>
                <w:rFonts w:eastAsia="Times New Roman"/>
                <w:b/>
                <w:bCs/>
                <w:sz w:val="20"/>
                <w:szCs w:val="20"/>
              </w:rPr>
              <w:t xml:space="preserve">inistrul </w:t>
            </w:r>
            <w:r>
              <w:rPr>
                <w:rFonts w:eastAsia="Times New Roman"/>
                <w:b/>
                <w:bCs/>
                <w:sz w:val="20"/>
                <w:szCs w:val="20"/>
              </w:rPr>
              <w:t>economiei și infrastructurii</w:t>
            </w:r>
          </w:p>
        </w:t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Pr>
                <w:rFonts w:eastAsia="Times New Roman"/>
                <w:b/>
                <w:bCs/>
                <w:sz w:val="20"/>
                <w:szCs w:val="20"/>
              </w:rPr>
              <w:t xml:space="preserve">Vadim </w:t>
            </w:r>
            <w:proofErr w:type="spellStart"/>
            <w:r>
              <w:rPr>
                <w:rFonts w:eastAsia="Times New Roman"/>
                <w:b/>
                <w:bCs/>
                <w:sz w:val="20"/>
                <w:szCs w:val="20"/>
              </w:rPr>
              <w:t>Brînzan</w:t>
            </w:r>
            <w:proofErr w:type="spellEnd"/>
          </w:p>
        </w:tc>
      </w:tr>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 xml:space="preserve">Ministrul </w:t>
            </w:r>
            <w:proofErr w:type="spellStart"/>
            <w:r w:rsidRPr="00C95AD6">
              <w:rPr>
                <w:rFonts w:eastAsia="Times New Roman"/>
                <w:b/>
                <w:bCs/>
                <w:sz w:val="20"/>
                <w:szCs w:val="20"/>
              </w:rPr>
              <w:t>justiţiei</w:t>
            </w:r>
            <w:proofErr w:type="spellEnd"/>
          </w:p>
        </w:t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Olesea Stamate</w:t>
            </w:r>
          </w:p>
        </w:tc>
      </w:tr>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r w:rsidRPr="00C95AD6">
              <w:rPr>
                <w:rFonts w:eastAsia="Times New Roman"/>
                <w:b/>
                <w:bCs/>
                <w:sz w:val="20"/>
                <w:szCs w:val="20"/>
              </w:rPr>
              <w:t> </w:t>
            </w:r>
          </w:p>
        </w:tc>
        <w:tc>
          <w:tcPr>
            <w:tcW w:w="0" w:type="auto"/>
            <w:vAlign w:val="center"/>
            <w:hideMark/>
          </w:tcPr>
          <w:p w:rsidR="002F46C9" w:rsidRPr="00C95AD6" w:rsidRDefault="002F46C9" w:rsidP="000D2E9C">
            <w:pPr>
              <w:rPr>
                <w:rFonts w:eastAsia="Times New Roman"/>
                <w:sz w:val="20"/>
                <w:szCs w:val="20"/>
              </w:rPr>
            </w:pPr>
          </w:p>
        </w:tc>
      </w:tr>
      <w:tr w:rsidR="002F46C9" w:rsidRPr="00C95AD6" w:rsidTr="000D2E9C">
        <w:tc>
          <w:tcPr>
            <w:tcW w:w="0" w:type="auto"/>
            <w:tcBorders>
              <w:top w:val="nil"/>
              <w:left w:val="nil"/>
              <w:bottom w:val="nil"/>
              <w:right w:val="nil"/>
            </w:tcBorders>
            <w:tcMar>
              <w:top w:w="15" w:type="dxa"/>
              <w:left w:w="45" w:type="dxa"/>
              <w:bottom w:w="15" w:type="dxa"/>
              <w:right w:w="45" w:type="dxa"/>
            </w:tcMar>
            <w:hideMark/>
          </w:tcPr>
          <w:p w:rsidR="002F46C9" w:rsidRPr="00C95AD6" w:rsidRDefault="002F46C9" w:rsidP="000D2E9C">
            <w:pPr>
              <w:rPr>
                <w:rFonts w:eastAsia="Times New Roman"/>
                <w:b/>
                <w:bCs/>
                <w:sz w:val="20"/>
                <w:szCs w:val="20"/>
              </w:rPr>
            </w:pPr>
          </w:p>
        </w:tc>
        <w:tc>
          <w:tcPr>
            <w:tcW w:w="0" w:type="auto"/>
            <w:vAlign w:val="center"/>
            <w:hideMark/>
          </w:tcPr>
          <w:p w:rsidR="002F46C9" w:rsidRPr="00C95AD6" w:rsidRDefault="002F46C9" w:rsidP="000D2E9C">
            <w:pPr>
              <w:rPr>
                <w:rFonts w:eastAsia="Times New Roman"/>
                <w:sz w:val="20"/>
                <w:szCs w:val="20"/>
              </w:rPr>
            </w:pPr>
          </w:p>
        </w:tc>
      </w:tr>
    </w:tbl>
    <w:p w:rsidR="002F46C9" w:rsidRDefault="002F46C9" w:rsidP="002F46C9">
      <w:pPr>
        <w:rPr>
          <w:rFonts w:eastAsia="Times New Roman"/>
        </w:rPr>
      </w:pPr>
      <w:r w:rsidRPr="00C95AD6">
        <w:rPr>
          <w:rFonts w:eastAsia="Times New Roman"/>
        </w:rPr>
        <w:t> </w:t>
      </w: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2F46C9" w:rsidRDefault="002F46C9" w:rsidP="00025E60">
      <w:pPr>
        <w:pStyle w:val="tt"/>
        <w:jc w:val="right"/>
      </w:pPr>
    </w:p>
    <w:p w:rsidR="008E3897" w:rsidRDefault="008E3897" w:rsidP="00025E60">
      <w:pPr>
        <w:pStyle w:val="tt"/>
        <w:jc w:val="right"/>
      </w:pPr>
    </w:p>
    <w:p w:rsidR="007353EF" w:rsidRPr="00594E46" w:rsidRDefault="007353EF" w:rsidP="00025E60">
      <w:pPr>
        <w:pStyle w:val="tt"/>
        <w:jc w:val="right"/>
      </w:pPr>
      <w:r w:rsidRPr="00594E46">
        <w:lastRenderedPageBreak/>
        <w:t>Proiect</w:t>
      </w:r>
    </w:p>
    <w:p w:rsidR="007353EF" w:rsidRPr="00594E46" w:rsidRDefault="007353EF" w:rsidP="00025E60">
      <w:pPr>
        <w:pStyle w:val="tt"/>
      </w:pPr>
    </w:p>
    <w:p w:rsidR="0057028D" w:rsidRPr="00594E46" w:rsidRDefault="0057028D" w:rsidP="00025E60">
      <w:pPr>
        <w:pStyle w:val="tt"/>
      </w:pPr>
      <w:r w:rsidRPr="00594E46">
        <w:t>L E G E</w:t>
      </w:r>
    </w:p>
    <w:p w:rsidR="0057028D" w:rsidRPr="00594E46" w:rsidRDefault="0057028D" w:rsidP="00025E60">
      <w:pPr>
        <w:pStyle w:val="tt"/>
      </w:pPr>
      <w:r w:rsidRPr="00594E46">
        <w:t xml:space="preserve">pentru modificarea </w:t>
      </w:r>
      <w:r w:rsidR="00D5253F">
        <w:t>Leg</w:t>
      </w:r>
      <w:r w:rsidR="00FC5600">
        <w:t>ii</w:t>
      </w:r>
      <w:r w:rsidR="007353EF" w:rsidRPr="00594E46">
        <w:t xml:space="preserve"> nr. 2</w:t>
      </w:r>
      <w:r w:rsidR="00577CAD">
        <w:t>09</w:t>
      </w:r>
      <w:r w:rsidR="007353EF" w:rsidRPr="00594E46">
        <w:t>/201</w:t>
      </w:r>
      <w:r w:rsidR="00577CAD">
        <w:t>6</w:t>
      </w:r>
      <w:r w:rsidR="007353EF" w:rsidRPr="00594E46">
        <w:t xml:space="preserve"> privi</w:t>
      </w:r>
      <w:r w:rsidR="00577CAD">
        <w:t>nd deșeurile</w:t>
      </w:r>
    </w:p>
    <w:p w:rsidR="0057028D" w:rsidRPr="00594E46" w:rsidRDefault="0057028D" w:rsidP="00025E60">
      <w:pPr>
        <w:pStyle w:val="cn"/>
        <w:jc w:val="both"/>
      </w:pPr>
      <w:r w:rsidRPr="00594E46">
        <w:t> </w:t>
      </w:r>
    </w:p>
    <w:p w:rsidR="0057028D" w:rsidRPr="00594E46" w:rsidRDefault="0057028D" w:rsidP="00025E60">
      <w:pPr>
        <w:pStyle w:val="NormalWeb"/>
      </w:pPr>
      <w:r w:rsidRPr="00594E46">
        <w:t>Parlamentul adoptă prezenta lege organică.</w:t>
      </w:r>
    </w:p>
    <w:p w:rsidR="0057028D" w:rsidRPr="00594E46" w:rsidRDefault="0057028D" w:rsidP="00025E60">
      <w:pPr>
        <w:pStyle w:val="NormalWeb"/>
      </w:pPr>
      <w:r w:rsidRPr="00594E46">
        <w:t> </w:t>
      </w:r>
    </w:p>
    <w:p w:rsidR="00577CAD" w:rsidRDefault="00577CAD" w:rsidP="00577CAD">
      <w:pPr>
        <w:pStyle w:val="NormalWeb"/>
      </w:pPr>
      <w:proofErr w:type="spellStart"/>
      <w:r>
        <w:rPr>
          <w:b/>
          <w:bCs/>
        </w:rPr>
        <w:t>Art.I</w:t>
      </w:r>
      <w:proofErr w:type="spellEnd"/>
      <w:r>
        <w:rPr>
          <w:b/>
          <w:bCs/>
        </w:rPr>
        <w:t>.</w:t>
      </w:r>
      <w:r>
        <w:t xml:space="preserve"> –</w:t>
      </w:r>
      <w:r w:rsidR="00FC5600">
        <w:t xml:space="preserve"> </w:t>
      </w:r>
      <w:hyperlink r:id="rId6" w:history="1">
        <w:r w:rsidRPr="009730EF">
          <w:rPr>
            <w:rStyle w:val="Hyperlink"/>
            <w:color w:val="auto"/>
            <w:u w:val="none"/>
          </w:rPr>
          <w:t>Legea nr.209/2016</w:t>
        </w:r>
      </w:hyperlink>
      <w:r w:rsidRPr="009730EF">
        <w:t xml:space="preserve"> </w:t>
      </w:r>
      <w:r>
        <w:t>privind deşeurile (Monitorul Oficial al Republicii Moldova, 2016, nr.459-471, art.916), cu modificările ulterioare, se modifică după cum urmează:</w:t>
      </w:r>
    </w:p>
    <w:p w:rsidR="008D2E3F" w:rsidRDefault="008D2E3F" w:rsidP="00577CAD">
      <w:pPr>
        <w:pStyle w:val="NormalWeb"/>
        <w:rPr>
          <w:bCs/>
        </w:rPr>
      </w:pPr>
    </w:p>
    <w:p w:rsidR="00FC5600" w:rsidRPr="00FC5600" w:rsidRDefault="00FC5600" w:rsidP="00FC5600">
      <w:pPr>
        <w:pStyle w:val="NormalWeb"/>
        <w:numPr>
          <w:ilvl w:val="0"/>
          <w:numId w:val="16"/>
        </w:numPr>
        <w:rPr>
          <w:bCs/>
        </w:rPr>
      </w:pPr>
      <w:r>
        <w:t xml:space="preserve">Articolul </w:t>
      </w:r>
      <w:r w:rsidRPr="0019455C">
        <w:rPr>
          <w:bCs/>
        </w:rPr>
        <w:t>61</w:t>
      </w:r>
      <w:r w:rsidRPr="0019455C">
        <w:rPr>
          <w:bCs/>
          <w:vertAlign w:val="superscript"/>
        </w:rPr>
        <w:t>1</w:t>
      </w:r>
      <w:r w:rsidRPr="0019455C">
        <w:rPr>
          <w:b/>
          <w:bCs/>
          <w:vertAlign w:val="superscript"/>
        </w:rPr>
        <w:t xml:space="preserve"> </w:t>
      </w:r>
      <w:r>
        <w:rPr>
          <w:b/>
          <w:bCs/>
        </w:rPr>
        <w:t>:</w:t>
      </w:r>
    </w:p>
    <w:p w:rsidR="008D2E3F" w:rsidRDefault="008D2E3F" w:rsidP="004E24F1">
      <w:pPr>
        <w:pStyle w:val="NormalWeb"/>
        <w:ind w:firstLine="0"/>
        <w:rPr>
          <w:bCs/>
        </w:rPr>
      </w:pPr>
    </w:p>
    <w:p w:rsidR="00D83D3B" w:rsidRPr="00D5253F" w:rsidRDefault="00D83D3B" w:rsidP="00D83D3B">
      <w:pPr>
        <w:pStyle w:val="NormalWeb"/>
        <w:rPr>
          <w:bCs/>
        </w:rPr>
      </w:pPr>
      <w:r>
        <w:rPr>
          <w:bCs/>
        </w:rPr>
        <w:t>se completează cu alineatul (2</w:t>
      </w:r>
      <w:r w:rsidRPr="00D83D3B">
        <w:rPr>
          <w:bCs/>
          <w:vertAlign w:val="superscript"/>
        </w:rPr>
        <w:t>1</w:t>
      </w:r>
      <w:r>
        <w:rPr>
          <w:bCs/>
        </w:rPr>
        <w:t xml:space="preserve">) cu </w:t>
      </w:r>
      <w:r w:rsidRPr="00D5253F">
        <w:rPr>
          <w:bCs/>
        </w:rPr>
        <w:t>următorul cuprins:</w:t>
      </w:r>
    </w:p>
    <w:p w:rsidR="000A5646" w:rsidRDefault="00D83D3B" w:rsidP="00577CAD">
      <w:pPr>
        <w:pStyle w:val="NormalWeb"/>
        <w:rPr>
          <w:bCs/>
        </w:rPr>
      </w:pPr>
      <w:r>
        <w:rPr>
          <w:bCs/>
        </w:rPr>
        <w:t>”</w:t>
      </w:r>
      <w:r w:rsidRPr="00D83D3B">
        <w:rPr>
          <w:bCs/>
        </w:rPr>
        <w:t xml:space="preserve"> </w:t>
      </w:r>
      <w:r>
        <w:rPr>
          <w:bCs/>
        </w:rPr>
        <w:t>(2</w:t>
      </w:r>
      <w:r w:rsidRPr="00D83D3B">
        <w:rPr>
          <w:bCs/>
          <w:vertAlign w:val="superscript"/>
        </w:rPr>
        <w:t>1</w:t>
      </w:r>
      <w:r>
        <w:rPr>
          <w:bCs/>
        </w:rPr>
        <w:t xml:space="preserve">) </w:t>
      </w:r>
      <w:r w:rsidR="00756A50">
        <w:rPr>
          <w:bCs/>
        </w:rPr>
        <w:t xml:space="preserve">Cerințele și condițiile obligatorii pentru titularii de licență în vederea desfășurării activității de colectare, păstrare, prelucrare, comercializare, precum și exportul resturilor și deșeurilor de metale feroase și neferoase, de baterii </w:t>
      </w:r>
      <w:r w:rsidR="000A5646">
        <w:rPr>
          <w:bCs/>
        </w:rPr>
        <w:t>acumulatoare uzate, inclusiv în stare prelucrată sunt:</w:t>
      </w:r>
    </w:p>
    <w:p w:rsidR="00BD2F7C" w:rsidRDefault="000A5646" w:rsidP="00BD2F7C">
      <w:pPr>
        <w:pStyle w:val="NormalWeb"/>
        <w:numPr>
          <w:ilvl w:val="0"/>
          <w:numId w:val="19"/>
        </w:numPr>
        <w:ind w:left="0" w:firstLine="720"/>
        <w:rPr>
          <w:bCs/>
        </w:rPr>
      </w:pPr>
      <w:r>
        <w:rPr>
          <w:bCs/>
        </w:rPr>
        <w:t>achiziționarea de la persoanele fizice numai a resturilor deșeurilor de metale feroase și neferoase de proveniență casnică, mijloacelor de transport uzate, după radierea acestora din evidența registrului de stat a transporturilor sau a unor agregate și baterii de acumulare uzate</w:t>
      </w:r>
      <w:r w:rsidR="00BD2F7C">
        <w:rPr>
          <w:bCs/>
        </w:rPr>
        <w:t>.</w:t>
      </w:r>
    </w:p>
    <w:p w:rsidR="000A5646" w:rsidRPr="00BD2F7C" w:rsidRDefault="00BD2F7C" w:rsidP="00BD2F7C">
      <w:pPr>
        <w:ind w:firstLine="720"/>
        <w:jc w:val="both"/>
      </w:pPr>
      <w:r w:rsidRPr="00FE2B7E">
        <w:t xml:space="preserve">Recepția resturilor și deșeurilor de metale feroase și neferoase de la persoanele fizice se confirmă prin </w:t>
      </w:r>
      <w:r>
        <w:t xml:space="preserve">contractul de </w:t>
      </w:r>
      <w:proofErr w:type="spellStart"/>
      <w:r>
        <w:t>vînzare</w:t>
      </w:r>
      <w:proofErr w:type="spellEnd"/>
      <w:r>
        <w:t>-cumpărare</w:t>
      </w:r>
      <w:r w:rsidRPr="00FE2B7E">
        <w:t>, în care se indică numele și prenumele per</w:t>
      </w:r>
      <w:r>
        <w:t>s</w:t>
      </w:r>
      <w:r w:rsidRPr="00FE2B7E">
        <w:t>oanei care a predat deșeurile, adresa acestuia și datele din buletinul de identitate, lista obiectelor și resturilor de proveniență casnică achiziționate. Actul de cumpărare se semnează de către persoana care a predat deșeurile și de cumpărător.</w:t>
      </w:r>
      <w:r>
        <w:t xml:space="preserve"> </w:t>
      </w:r>
      <w:r w:rsidRPr="00FE2B7E">
        <w:t>Resturile și deșeurile, recepționate de la persoanele fizice se păstrează separat, până la comercializare</w:t>
      </w:r>
      <w:r w:rsidR="000A5646" w:rsidRPr="00BD2F7C">
        <w:rPr>
          <w:bCs/>
        </w:rPr>
        <w:t>;</w:t>
      </w:r>
    </w:p>
    <w:p w:rsidR="00D5253F" w:rsidRDefault="000A5646" w:rsidP="00577CAD">
      <w:pPr>
        <w:pStyle w:val="NormalWeb"/>
        <w:rPr>
          <w:bCs/>
        </w:rPr>
      </w:pPr>
      <w:r>
        <w:rPr>
          <w:bCs/>
        </w:rPr>
        <w:t xml:space="preserve">b) pentru a nu admite descompletarea sau deteriorarea utilajului industrial, mijloacelor de transport, de telecomunicație, semnalizare și altor valori materiale ce conțin metale feroase și neferoase, achiziționarea resturilor și deșeurilor de metale feroase și neferoase se va efectua numai dacă persoana juridică sau întreprinzător individual, care le predă, posedă actul de proveniență a acestora, întocmit în două exemplare. Unul dintre acestea se transmite cumpărătorului, iar al doilea, cu semnătura cumpărătorului, se va păstra la persoana care a predat deșeurile. </w:t>
      </w:r>
      <w:r w:rsidRPr="0003581B">
        <w:rPr>
          <w:bCs/>
        </w:rPr>
        <w:t>Formularul</w:t>
      </w:r>
      <w:r w:rsidR="00EA7DA3" w:rsidRPr="0003581B">
        <w:rPr>
          <w:bCs/>
        </w:rPr>
        <w:t>-tip al act</w:t>
      </w:r>
      <w:r w:rsidR="00FC5600" w:rsidRPr="0003581B">
        <w:rPr>
          <w:bCs/>
        </w:rPr>
        <w:t>ului este prevăzut în Anexa nr.8</w:t>
      </w:r>
      <w:r w:rsidR="00EA7DA3" w:rsidRPr="0003581B">
        <w:rPr>
          <w:bCs/>
        </w:rPr>
        <w:t xml:space="preserve"> la prezenta lege.</w:t>
      </w:r>
      <w:r w:rsidR="00D83D3B" w:rsidRPr="0003581B">
        <w:rPr>
          <w:bCs/>
        </w:rPr>
        <w:t>”</w:t>
      </w:r>
      <w:r w:rsidR="008D2E3F" w:rsidRPr="0003581B">
        <w:rPr>
          <w:bCs/>
        </w:rPr>
        <w:t>;</w:t>
      </w:r>
    </w:p>
    <w:p w:rsidR="008D2E3F" w:rsidRDefault="008D2E3F" w:rsidP="00577CAD">
      <w:pPr>
        <w:pStyle w:val="NormalWeb"/>
        <w:rPr>
          <w:bCs/>
        </w:rPr>
      </w:pPr>
    </w:p>
    <w:p w:rsidR="008D2E3F" w:rsidRDefault="008D2E3F" w:rsidP="008D2E3F">
      <w:pPr>
        <w:pStyle w:val="NormalWeb"/>
        <w:rPr>
          <w:bCs/>
        </w:rPr>
      </w:pPr>
      <w:r>
        <w:rPr>
          <w:bCs/>
        </w:rPr>
        <w:t xml:space="preserve">se completează cu alineatele (8), (9) și (10) cu </w:t>
      </w:r>
      <w:r w:rsidRPr="00D5253F">
        <w:rPr>
          <w:bCs/>
        </w:rPr>
        <w:t>următorul cuprins:</w:t>
      </w:r>
    </w:p>
    <w:p w:rsidR="008D2E3F" w:rsidRDefault="008D2E3F" w:rsidP="008D2E3F">
      <w:pPr>
        <w:pStyle w:val="NormalWeb"/>
        <w:rPr>
          <w:bCs/>
        </w:rPr>
      </w:pPr>
      <w:r>
        <w:rPr>
          <w:bCs/>
        </w:rPr>
        <w:t xml:space="preserve">”(8) Achiziționarea resturilor și deșeurilor de cablu și conductoare, a părților componente ale echipamentelor electrice și de telecomunicații industriale se permite numai de la persoanele juridice – producători, care dispun de resturi și deșeuri proprii, provenite din procesele tehnologice de producere sau ca urmare a casării mijloacelor fixe uzate. </w:t>
      </w:r>
    </w:p>
    <w:p w:rsidR="008D2E3F" w:rsidRDefault="008D2E3F" w:rsidP="008D2E3F">
      <w:pPr>
        <w:pStyle w:val="NormalWeb"/>
        <w:rPr>
          <w:bCs/>
        </w:rPr>
      </w:pPr>
      <w:r>
        <w:rPr>
          <w:bCs/>
        </w:rPr>
        <w:t xml:space="preserve">(9) Se interzice colectarea și achiziționarea capacelor și grilajelor de la </w:t>
      </w:r>
      <w:proofErr w:type="spellStart"/>
      <w:r>
        <w:rPr>
          <w:bCs/>
        </w:rPr>
        <w:t>fîntîne</w:t>
      </w:r>
      <w:proofErr w:type="spellEnd"/>
      <w:r>
        <w:rPr>
          <w:bCs/>
        </w:rPr>
        <w:t xml:space="preserve"> a rețelelor de apă, canalizare și termoficare.</w:t>
      </w:r>
    </w:p>
    <w:p w:rsidR="008D2E3F" w:rsidRPr="00D5253F" w:rsidRDefault="008D2E3F" w:rsidP="008D2E3F">
      <w:pPr>
        <w:pStyle w:val="NormalWeb"/>
        <w:rPr>
          <w:bCs/>
        </w:rPr>
      </w:pPr>
      <w:r>
        <w:rPr>
          <w:bCs/>
        </w:rPr>
        <w:t xml:space="preserve">(10) </w:t>
      </w:r>
      <w:r w:rsidR="00372AB7">
        <w:rPr>
          <w:bCs/>
        </w:rPr>
        <w:t xml:space="preserve">Cuantumul taxei pentru genul de activitate comercializarea </w:t>
      </w:r>
      <w:r>
        <w:rPr>
          <w:bCs/>
        </w:rPr>
        <w:t>resturilor și deșeurilor de metale feroase și neferoase, de baterii de acumulatoare uzate, inclusiv în stare prelucrată, către agenții economici aflați pe teritoriul Republicii Moldova și care nu au relații fiscale cu sistemul ei bugetar, precum și exportul acestora</w:t>
      </w:r>
      <w:r w:rsidR="00372AB7">
        <w:rPr>
          <w:bCs/>
        </w:rPr>
        <w:t xml:space="preserve">, </w:t>
      </w:r>
      <w:r>
        <w:rPr>
          <w:bCs/>
        </w:rPr>
        <w:t>se stabilește în mărime de 100 000 lei.”</w:t>
      </w:r>
    </w:p>
    <w:p w:rsidR="008D2E3F" w:rsidRPr="00D5253F" w:rsidRDefault="008D2E3F" w:rsidP="00577CAD">
      <w:pPr>
        <w:pStyle w:val="NormalWeb"/>
        <w:rPr>
          <w:bCs/>
        </w:rPr>
      </w:pPr>
    </w:p>
    <w:p w:rsidR="00FC5600" w:rsidRPr="00FC5600" w:rsidRDefault="00FC5600" w:rsidP="00FC5600">
      <w:pPr>
        <w:pStyle w:val="NormalWeb"/>
        <w:numPr>
          <w:ilvl w:val="0"/>
          <w:numId w:val="16"/>
        </w:numPr>
      </w:pPr>
      <w:r w:rsidRPr="00FC5600">
        <w:t>Legea se completează cu anexa nr.8 cu următorul cuprins:</w:t>
      </w:r>
    </w:p>
    <w:p w:rsidR="003F4807" w:rsidRDefault="003F4807" w:rsidP="00FC5600">
      <w:pPr>
        <w:pStyle w:val="NormalWeb"/>
        <w:ind w:firstLine="0"/>
        <w:jc w:val="right"/>
      </w:pPr>
    </w:p>
    <w:p w:rsidR="003F4807" w:rsidRDefault="003F4807" w:rsidP="00FC5600">
      <w:pPr>
        <w:pStyle w:val="NormalWeb"/>
        <w:ind w:firstLine="0"/>
        <w:jc w:val="right"/>
      </w:pPr>
    </w:p>
    <w:p w:rsidR="003F4807" w:rsidRDefault="003F4807" w:rsidP="00FC5600">
      <w:pPr>
        <w:pStyle w:val="NormalWeb"/>
        <w:ind w:firstLine="0"/>
        <w:jc w:val="right"/>
      </w:pPr>
    </w:p>
    <w:p w:rsidR="003F4807" w:rsidRDefault="003F4807" w:rsidP="00FC5600">
      <w:pPr>
        <w:pStyle w:val="NormalWeb"/>
        <w:ind w:firstLine="0"/>
        <w:jc w:val="right"/>
      </w:pPr>
    </w:p>
    <w:p w:rsidR="003F4807" w:rsidRDefault="003F4807" w:rsidP="00FC5600">
      <w:pPr>
        <w:pStyle w:val="NormalWeb"/>
        <w:ind w:firstLine="0"/>
        <w:jc w:val="right"/>
      </w:pPr>
    </w:p>
    <w:p w:rsidR="003F4807" w:rsidRDefault="003F4807" w:rsidP="00FC5600">
      <w:pPr>
        <w:pStyle w:val="NormalWeb"/>
        <w:ind w:firstLine="0"/>
        <w:jc w:val="right"/>
      </w:pPr>
    </w:p>
    <w:p w:rsidR="00FC5600" w:rsidRPr="00FC5600" w:rsidRDefault="00FC5600" w:rsidP="00FC5600">
      <w:pPr>
        <w:pStyle w:val="NormalWeb"/>
        <w:ind w:firstLine="0"/>
        <w:jc w:val="right"/>
      </w:pPr>
      <w:r w:rsidRPr="00FC5600">
        <w:t xml:space="preserve">”Anexa nr.8 </w:t>
      </w:r>
    </w:p>
    <w:p w:rsidR="00FC5600" w:rsidRDefault="00FC5600" w:rsidP="00FC5600">
      <w:pPr>
        <w:pStyle w:val="NormalWeb"/>
        <w:ind w:firstLine="0"/>
        <w:rPr>
          <w:highlight w:val="yellow"/>
        </w:rPr>
      </w:pPr>
    </w:p>
    <w:p w:rsidR="00FC5600" w:rsidRPr="00FC5600" w:rsidRDefault="00FC5600" w:rsidP="00FC5600">
      <w:pPr>
        <w:pStyle w:val="NormalWeb"/>
        <w:ind w:firstLine="0"/>
        <w:jc w:val="center"/>
        <w:rPr>
          <w:b/>
        </w:rPr>
      </w:pPr>
      <w:r w:rsidRPr="00FC5600">
        <w:rPr>
          <w:b/>
        </w:rPr>
        <w:t>ACT</w:t>
      </w:r>
    </w:p>
    <w:p w:rsidR="00FC5600" w:rsidRDefault="00FC5600" w:rsidP="00FC5600">
      <w:pPr>
        <w:pStyle w:val="NormalWeb"/>
        <w:ind w:firstLine="0"/>
        <w:jc w:val="center"/>
        <w:rPr>
          <w:b/>
        </w:rPr>
      </w:pPr>
      <w:r w:rsidRPr="00FC5600">
        <w:rPr>
          <w:b/>
        </w:rPr>
        <w:t>de proveniență a resturilor și deșeurilor de metale feroase și neferoase</w:t>
      </w:r>
    </w:p>
    <w:p w:rsidR="00AE15F6" w:rsidRDefault="00AE15F6" w:rsidP="00AE15F6">
      <w:pPr>
        <w:pStyle w:val="NormalWeb"/>
        <w:ind w:firstLine="0"/>
      </w:pPr>
    </w:p>
    <w:p w:rsidR="00AE15F6" w:rsidRDefault="00AE15F6" w:rsidP="00AE15F6">
      <w:pPr>
        <w:pStyle w:val="NormalWeb"/>
        <w:ind w:firstLine="0"/>
      </w:pPr>
      <w:r>
        <w:t>Data întocmirii_________________________</w:t>
      </w:r>
    </w:p>
    <w:p w:rsidR="00AE15F6" w:rsidRDefault="00AE15F6" w:rsidP="00AE15F6">
      <w:pPr>
        <w:pStyle w:val="NormalWeb"/>
        <w:numPr>
          <w:ilvl w:val="0"/>
          <w:numId w:val="17"/>
        </w:numPr>
      </w:pPr>
      <w:r>
        <w:t>Cumpărătorul, adresa lui și codul fiscal_________________________________________</w:t>
      </w:r>
    </w:p>
    <w:p w:rsidR="00AE15F6" w:rsidRDefault="00AE15F6" w:rsidP="00AE15F6">
      <w:pPr>
        <w:pStyle w:val="NormalWeb"/>
        <w:numPr>
          <w:ilvl w:val="0"/>
          <w:numId w:val="17"/>
        </w:numPr>
      </w:pPr>
      <w:r>
        <w:t>Licența cumpărătorului seria____nr._________din__________________, eliberată de Agenția Servicii Publice pentru colectarea, păstrarea, prelucrarea, comercializarea, precum și exportul resturilor și deșeurilor de metale feroase și neferoase.</w:t>
      </w:r>
    </w:p>
    <w:p w:rsidR="00AE15F6" w:rsidRDefault="00AE15F6" w:rsidP="00AE15F6">
      <w:pPr>
        <w:pStyle w:val="NormalWeb"/>
        <w:numPr>
          <w:ilvl w:val="0"/>
          <w:numId w:val="17"/>
        </w:numPr>
      </w:pPr>
      <w:r>
        <w:t>Persoana juridică sau întreprinzător individual ce predă resturile și deșeurile, adresa și codul fiscal______________________________________________________________</w:t>
      </w:r>
    </w:p>
    <w:p w:rsidR="00AE15F6" w:rsidRDefault="00AE15F6" w:rsidP="00AE15F6">
      <w:pPr>
        <w:pStyle w:val="NormalWeb"/>
        <w:numPr>
          <w:ilvl w:val="0"/>
          <w:numId w:val="17"/>
        </w:numPr>
      </w:pPr>
      <w:r>
        <w:t>Denumirea resturilor și deșeurilor, cantitatea (kg)________________________________</w:t>
      </w:r>
    </w:p>
    <w:p w:rsidR="00AE15F6" w:rsidRDefault="00AE15F6" w:rsidP="00AE15F6">
      <w:pPr>
        <w:pStyle w:val="NormalWeb"/>
        <w:numPr>
          <w:ilvl w:val="0"/>
          <w:numId w:val="17"/>
        </w:numPr>
      </w:pPr>
      <w:r>
        <w:t>Sursele de formare a resturilor și deșeurilor de metale feroase și neferoase:</w:t>
      </w:r>
    </w:p>
    <w:p w:rsidR="00401438" w:rsidRDefault="00AE15F6" w:rsidP="00AE15F6">
      <w:pPr>
        <w:pStyle w:val="NormalWeb"/>
        <w:numPr>
          <w:ilvl w:val="0"/>
          <w:numId w:val="18"/>
        </w:numPr>
      </w:pPr>
      <w:r>
        <w:t>resturi și deșeuri obținute de la casarea mijloacelor fixe:</w:t>
      </w:r>
    </w:p>
    <w:p w:rsidR="00401438" w:rsidRPr="00FC5600" w:rsidRDefault="00401438" w:rsidP="00401438">
      <w:pPr>
        <w:pStyle w:val="NormalWeb"/>
        <w:ind w:firstLine="0"/>
      </w:pPr>
      <w:r>
        <w:t xml:space="preserve">       </w:t>
      </w:r>
    </w:p>
    <w:tbl>
      <w:tblPr>
        <w:tblStyle w:val="TableGrid"/>
        <w:tblW w:w="0" w:type="auto"/>
        <w:tblLook w:val="04A0" w:firstRow="1" w:lastRow="0" w:firstColumn="1" w:lastColumn="0" w:noHBand="0" w:noVBand="1"/>
      </w:tblPr>
      <w:tblGrid>
        <w:gridCol w:w="4495"/>
        <w:gridCol w:w="1735"/>
        <w:gridCol w:w="3115"/>
      </w:tblGrid>
      <w:tr w:rsidR="00401438" w:rsidTr="00401438">
        <w:tc>
          <w:tcPr>
            <w:tcW w:w="4495" w:type="dxa"/>
          </w:tcPr>
          <w:p w:rsidR="00401438" w:rsidRPr="00401438" w:rsidRDefault="00401438" w:rsidP="00401438">
            <w:pPr>
              <w:pStyle w:val="NormalWeb"/>
              <w:ind w:firstLine="0"/>
              <w:rPr>
                <w:b/>
              </w:rPr>
            </w:pPr>
            <w:r w:rsidRPr="00401438">
              <w:rPr>
                <w:b/>
              </w:rPr>
              <w:t>Denumirea resturilor</w:t>
            </w:r>
          </w:p>
        </w:tc>
        <w:tc>
          <w:tcPr>
            <w:tcW w:w="1735" w:type="dxa"/>
          </w:tcPr>
          <w:p w:rsidR="00401438" w:rsidRPr="00401438" w:rsidRDefault="00401438" w:rsidP="00401438">
            <w:pPr>
              <w:pStyle w:val="NormalWeb"/>
              <w:ind w:firstLine="0"/>
              <w:rPr>
                <w:b/>
              </w:rPr>
            </w:pPr>
            <w:r w:rsidRPr="00401438">
              <w:rPr>
                <w:b/>
              </w:rPr>
              <w:t>Cantitatea</w:t>
            </w:r>
          </w:p>
        </w:tc>
        <w:tc>
          <w:tcPr>
            <w:tcW w:w="3115" w:type="dxa"/>
          </w:tcPr>
          <w:p w:rsidR="00401438" w:rsidRPr="00401438" w:rsidRDefault="00401438" w:rsidP="00401438">
            <w:pPr>
              <w:pStyle w:val="NormalWeb"/>
              <w:ind w:firstLine="0"/>
              <w:rPr>
                <w:b/>
              </w:rPr>
            </w:pPr>
            <w:r w:rsidRPr="00401438">
              <w:rPr>
                <w:b/>
              </w:rPr>
              <w:t>Nr. și data actelor de casare a bunurilor</w:t>
            </w:r>
          </w:p>
        </w:tc>
      </w:tr>
      <w:tr w:rsidR="00401438" w:rsidTr="00401438">
        <w:tc>
          <w:tcPr>
            <w:tcW w:w="4495" w:type="dxa"/>
          </w:tcPr>
          <w:p w:rsidR="00401438" w:rsidRDefault="00401438" w:rsidP="00401438">
            <w:pPr>
              <w:pStyle w:val="NormalWeb"/>
              <w:ind w:firstLine="0"/>
            </w:pPr>
          </w:p>
        </w:tc>
        <w:tc>
          <w:tcPr>
            <w:tcW w:w="1735" w:type="dxa"/>
          </w:tcPr>
          <w:p w:rsidR="00401438" w:rsidRDefault="00401438" w:rsidP="00401438">
            <w:pPr>
              <w:pStyle w:val="NormalWeb"/>
              <w:ind w:firstLine="0"/>
            </w:pPr>
          </w:p>
        </w:tc>
        <w:tc>
          <w:tcPr>
            <w:tcW w:w="3115" w:type="dxa"/>
          </w:tcPr>
          <w:p w:rsidR="00401438" w:rsidRDefault="00401438" w:rsidP="00401438">
            <w:pPr>
              <w:pStyle w:val="NormalWeb"/>
              <w:ind w:firstLine="0"/>
            </w:pPr>
          </w:p>
        </w:tc>
      </w:tr>
      <w:tr w:rsidR="00401438" w:rsidTr="00401438">
        <w:tc>
          <w:tcPr>
            <w:tcW w:w="4495" w:type="dxa"/>
          </w:tcPr>
          <w:p w:rsidR="00401438" w:rsidRDefault="00401438" w:rsidP="00401438">
            <w:pPr>
              <w:pStyle w:val="NormalWeb"/>
              <w:ind w:firstLine="0"/>
            </w:pPr>
          </w:p>
        </w:tc>
        <w:tc>
          <w:tcPr>
            <w:tcW w:w="1735" w:type="dxa"/>
          </w:tcPr>
          <w:p w:rsidR="00401438" w:rsidRDefault="00401438" w:rsidP="00401438">
            <w:pPr>
              <w:pStyle w:val="NormalWeb"/>
              <w:ind w:firstLine="0"/>
            </w:pPr>
          </w:p>
        </w:tc>
        <w:tc>
          <w:tcPr>
            <w:tcW w:w="3115" w:type="dxa"/>
          </w:tcPr>
          <w:p w:rsidR="00401438" w:rsidRDefault="00401438" w:rsidP="00401438">
            <w:pPr>
              <w:pStyle w:val="NormalWeb"/>
              <w:ind w:firstLine="0"/>
            </w:pPr>
          </w:p>
        </w:tc>
      </w:tr>
    </w:tbl>
    <w:p w:rsidR="00401438" w:rsidRDefault="00401438" w:rsidP="00401438">
      <w:pPr>
        <w:pStyle w:val="NormalWeb"/>
        <w:ind w:firstLine="0"/>
      </w:pPr>
    </w:p>
    <w:p w:rsidR="00FC5600" w:rsidRPr="00FC5600" w:rsidRDefault="00401438" w:rsidP="00401438">
      <w:pPr>
        <w:pStyle w:val="NormalWeb"/>
        <w:numPr>
          <w:ilvl w:val="0"/>
          <w:numId w:val="18"/>
        </w:numPr>
      </w:pPr>
      <w:r>
        <w:t>deșeuri tehnologice și alte deșeuri rezultate din activitatea de producție și economică:</w:t>
      </w:r>
      <w:r w:rsidR="00FC5600" w:rsidRPr="00FC5600">
        <w:t>”</w:t>
      </w:r>
    </w:p>
    <w:tbl>
      <w:tblPr>
        <w:tblStyle w:val="TableGrid"/>
        <w:tblW w:w="0" w:type="auto"/>
        <w:tblLook w:val="04A0" w:firstRow="1" w:lastRow="0" w:firstColumn="1" w:lastColumn="0" w:noHBand="0" w:noVBand="1"/>
      </w:tblPr>
      <w:tblGrid>
        <w:gridCol w:w="4495"/>
        <w:gridCol w:w="1735"/>
        <w:gridCol w:w="3115"/>
      </w:tblGrid>
      <w:tr w:rsidR="00401438" w:rsidRPr="00401438" w:rsidTr="00C876A5">
        <w:tc>
          <w:tcPr>
            <w:tcW w:w="4495" w:type="dxa"/>
          </w:tcPr>
          <w:p w:rsidR="00401438" w:rsidRPr="00401438" w:rsidRDefault="00401438" w:rsidP="00401438">
            <w:pPr>
              <w:pStyle w:val="NormalWeb"/>
              <w:ind w:firstLine="0"/>
              <w:rPr>
                <w:b/>
              </w:rPr>
            </w:pPr>
            <w:r w:rsidRPr="00401438">
              <w:rPr>
                <w:b/>
              </w:rPr>
              <w:t xml:space="preserve">Denumirea </w:t>
            </w:r>
            <w:r>
              <w:rPr>
                <w:b/>
              </w:rPr>
              <w:t>deșe</w:t>
            </w:r>
            <w:r w:rsidRPr="00401438">
              <w:rPr>
                <w:b/>
              </w:rPr>
              <w:t>urilor</w:t>
            </w:r>
          </w:p>
        </w:tc>
        <w:tc>
          <w:tcPr>
            <w:tcW w:w="1735" w:type="dxa"/>
          </w:tcPr>
          <w:p w:rsidR="00401438" w:rsidRPr="00401438" w:rsidRDefault="00401438" w:rsidP="00C876A5">
            <w:pPr>
              <w:pStyle w:val="NormalWeb"/>
              <w:ind w:firstLine="0"/>
              <w:rPr>
                <w:b/>
              </w:rPr>
            </w:pPr>
            <w:r w:rsidRPr="00401438">
              <w:rPr>
                <w:b/>
              </w:rPr>
              <w:t>Cantitatea</w:t>
            </w:r>
          </w:p>
        </w:tc>
        <w:tc>
          <w:tcPr>
            <w:tcW w:w="3115" w:type="dxa"/>
          </w:tcPr>
          <w:p w:rsidR="00401438" w:rsidRPr="00401438" w:rsidRDefault="00401438" w:rsidP="00C876A5">
            <w:pPr>
              <w:pStyle w:val="NormalWeb"/>
              <w:ind w:firstLine="0"/>
              <w:rPr>
                <w:b/>
              </w:rPr>
            </w:pPr>
            <w:r>
              <w:rPr>
                <w:b/>
              </w:rPr>
              <w:t>Tipul concret de activitate din care au rezultat deșeurile</w:t>
            </w:r>
          </w:p>
        </w:tc>
      </w:tr>
      <w:tr w:rsidR="00401438" w:rsidTr="00C876A5">
        <w:tc>
          <w:tcPr>
            <w:tcW w:w="4495" w:type="dxa"/>
          </w:tcPr>
          <w:p w:rsidR="00401438" w:rsidRDefault="00401438" w:rsidP="00C876A5">
            <w:pPr>
              <w:pStyle w:val="NormalWeb"/>
              <w:ind w:firstLine="0"/>
            </w:pPr>
          </w:p>
        </w:tc>
        <w:tc>
          <w:tcPr>
            <w:tcW w:w="1735" w:type="dxa"/>
          </w:tcPr>
          <w:p w:rsidR="00401438" w:rsidRDefault="00401438" w:rsidP="00C876A5">
            <w:pPr>
              <w:pStyle w:val="NormalWeb"/>
              <w:ind w:firstLine="0"/>
            </w:pPr>
          </w:p>
        </w:tc>
        <w:tc>
          <w:tcPr>
            <w:tcW w:w="3115" w:type="dxa"/>
          </w:tcPr>
          <w:p w:rsidR="00401438" w:rsidRDefault="00401438" w:rsidP="00C876A5">
            <w:pPr>
              <w:pStyle w:val="NormalWeb"/>
              <w:ind w:firstLine="0"/>
            </w:pPr>
          </w:p>
        </w:tc>
      </w:tr>
      <w:tr w:rsidR="00401438" w:rsidTr="00C876A5">
        <w:tc>
          <w:tcPr>
            <w:tcW w:w="4495" w:type="dxa"/>
          </w:tcPr>
          <w:p w:rsidR="00401438" w:rsidRDefault="00401438" w:rsidP="00C876A5">
            <w:pPr>
              <w:pStyle w:val="NormalWeb"/>
              <w:ind w:firstLine="0"/>
            </w:pPr>
          </w:p>
        </w:tc>
        <w:tc>
          <w:tcPr>
            <w:tcW w:w="1735" w:type="dxa"/>
          </w:tcPr>
          <w:p w:rsidR="00401438" w:rsidRDefault="00401438" w:rsidP="00C876A5">
            <w:pPr>
              <w:pStyle w:val="NormalWeb"/>
              <w:ind w:firstLine="0"/>
            </w:pPr>
          </w:p>
        </w:tc>
        <w:tc>
          <w:tcPr>
            <w:tcW w:w="3115" w:type="dxa"/>
          </w:tcPr>
          <w:p w:rsidR="00401438" w:rsidRDefault="00401438" w:rsidP="00C876A5">
            <w:pPr>
              <w:pStyle w:val="NormalWeb"/>
              <w:ind w:firstLine="0"/>
            </w:pPr>
          </w:p>
        </w:tc>
      </w:tr>
    </w:tbl>
    <w:p w:rsidR="00AE15F6" w:rsidRDefault="00AE15F6" w:rsidP="00577CAD">
      <w:pPr>
        <w:pStyle w:val="NormalWeb"/>
        <w:rPr>
          <w:b/>
          <w:bCs/>
        </w:rPr>
      </w:pPr>
    </w:p>
    <w:p w:rsidR="00401438" w:rsidRDefault="003943C0" w:rsidP="00401438">
      <w:pPr>
        <w:pStyle w:val="NormalWeb"/>
        <w:numPr>
          <w:ilvl w:val="0"/>
          <w:numId w:val="18"/>
        </w:numPr>
        <w:rPr>
          <w:b/>
          <w:bCs/>
        </w:rPr>
      </w:pPr>
      <w:r>
        <w:rPr>
          <w:b/>
          <w:bCs/>
        </w:rPr>
        <w:t xml:space="preserve">alte surse de formare a resturilor </w:t>
      </w:r>
      <w:r w:rsidR="00D63B60">
        <w:rPr>
          <w:b/>
          <w:bCs/>
        </w:rPr>
        <w:t>deșeurilor:</w:t>
      </w:r>
    </w:p>
    <w:tbl>
      <w:tblPr>
        <w:tblStyle w:val="TableGrid"/>
        <w:tblW w:w="0" w:type="auto"/>
        <w:tblLook w:val="04A0" w:firstRow="1" w:lastRow="0" w:firstColumn="1" w:lastColumn="0" w:noHBand="0" w:noVBand="1"/>
      </w:tblPr>
      <w:tblGrid>
        <w:gridCol w:w="4495"/>
        <w:gridCol w:w="1735"/>
        <w:gridCol w:w="3115"/>
      </w:tblGrid>
      <w:tr w:rsidR="00D63B60" w:rsidRPr="00401438" w:rsidTr="00C876A5">
        <w:tc>
          <w:tcPr>
            <w:tcW w:w="4495" w:type="dxa"/>
          </w:tcPr>
          <w:p w:rsidR="00D63B60" w:rsidRPr="00401438" w:rsidRDefault="00D63B60" w:rsidP="00C876A5">
            <w:pPr>
              <w:pStyle w:val="NormalWeb"/>
              <w:ind w:firstLine="0"/>
              <w:rPr>
                <w:b/>
              </w:rPr>
            </w:pPr>
            <w:r w:rsidRPr="00401438">
              <w:rPr>
                <w:b/>
              </w:rPr>
              <w:t>Denumirea resturilor</w:t>
            </w:r>
            <w:r>
              <w:rPr>
                <w:b/>
              </w:rPr>
              <w:t xml:space="preserve"> și deșe</w:t>
            </w:r>
            <w:r w:rsidRPr="00401438">
              <w:rPr>
                <w:b/>
              </w:rPr>
              <w:t>urilor</w:t>
            </w:r>
          </w:p>
        </w:tc>
        <w:tc>
          <w:tcPr>
            <w:tcW w:w="1735" w:type="dxa"/>
          </w:tcPr>
          <w:p w:rsidR="00D63B60" w:rsidRPr="00401438" w:rsidRDefault="00D63B60" w:rsidP="00C876A5">
            <w:pPr>
              <w:pStyle w:val="NormalWeb"/>
              <w:ind w:firstLine="0"/>
              <w:rPr>
                <w:b/>
              </w:rPr>
            </w:pPr>
            <w:r w:rsidRPr="00401438">
              <w:rPr>
                <w:b/>
              </w:rPr>
              <w:t>Cantitatea</w:t>
            </w:r>
          </w:p>
        </w:tc>
        <w:tc>
          <w:tcPr>
            <w:tcW w:w="3115" w:type="dxa"/>
          </w:tcPr>
          <w:p w:rsidR="00D63B60" w:rsidRPr="00401438" w:rsidRDefault="00D63B60" w:rsidP="00C876A5">
            <w:pPr>
              <w:pStyle w:val="NormalWeb"/>
              <w:ind w:firstLine="0"/>
              <w:rPr>
                <w:b/>
              </w:rPr>
            </w:pPr>
            <w:r>
              <w:rPr>
                <w:b/>
              </w:rPr>
              <w:t>Sursele de formare</w:t>
            </w:r>
          </w:p>
        </w:tc>
      </w:tr>
      <w:tr w:rsidR="00D63B60" w:rsidTr="00C876A5">
        <w:tc>
          <w:tcPr>
            <w:tcW w:w="4495" w:type="dxa"/>
          </w:tcPr>
          <w:p w:rsidR="00D63B60" w:rsidRDefault="00D63B60" w:rsidP="00C876A5">
            <w:pPr>
              <w:pStyle w:val="NormalWeb"/>
              <w:ind w:firstLine="0"/>
            </w:pPr>
          </w:p>
        </w:tc>
        <w:tc>
          <w:tcPr>
            <w:tcW w:w="1735" w:type="dxa"/>
          </w:tcPr>
          <w:p w:rsidR="00D63B60" w:rsidRDefault="00D63B60" w:rsidP="00C876A5">
            <w:pPr>
              <w:pStyle w:val="NormalWeb"/>
              <w:ind w:firstLine="0"/>
            </w:pPr>
          </w:p>
        </w:tc>
        <w:tc>
          <w:tcPr>
            <w:tcW w:w="3115" w:type="dxa"/>
          </w:tcPr>
          <w:p w:rsidR="00D63B60" w:rsidRDefault="00D63B60" w:rsidP="00C876A5">
            <w:pPr>
              <w:pStyle w:val="NormalWeb"/>
              <w:ind w:firstLine="0"/>
            </w:pPr>
          </w:p>
        </w:tc>
      </w:tr>
      <w:tr w:rsidR="00D63B60" w:rsidTr="00C876A5">
        <w:tc>
          <w:tcPr>
            <w:tcW w:w="4495" w:type="dxa"/>
          </w:tcPr>
          <w:p w:rsidR="00D63B60" w:rsidRDefault="00D63B60" w:rsidP="00C876A5">
            <w:pPr>
              <w:pStyle w:val="NormalWeb"/>
              <w:ind w:firstLine="0"/>
            </w:pPr>
          </w:p>
        </w:tc>
        <w:tc>
          <w:tcPr>
            <w:tcW w:w="1735" w:type="dxa"/>
          </w:tcPr>
          <w:p w:rsidR="00D63B60" w:rsidRDefault="00D63B60" w:rsidP="00C876A5">
            <w:pPr>
              <w:pStyle w:val="NormalWeb"/>
              <w:ind w:firstLine="0"/>
            </w:pPr>
          </w:p>
        </w:tc>
        <w:tc>
          <w:tcPr>
            <w:tcW w:w="3115" w:type="dxa"/>
          </w:tcPr>
          <w:p w:rsidR="00D63B60" w:rsidRDefault="00D63B60" w:rsidP="00C876A5">
            <w:pPr>
              <w:pStyle w:val="NormalWeb"/>
              <w:ind w:firstLine="0"/>
            </w:pPr>
          </w:p>
        </w:tc>
      </w:tr>
    </w:tbl>
    <w:p w:rsidR="00D63B60" w:rsidRDefault="00D63B60" w:rsidP="00D63B60">
      <w:pPr>
        <w:pStyle w:val="NormalWeb"/>
        <w:ind w:left="1080" w:firstLine="0"/>
        <w:rPr>
          <w:b/>
          <w:bCs/>
        </w:rPr>
      </w:pPr>
    </w:p>
    <w:p w:rsidR="00D63B60" w:rsidRDefault="00D63B60" w:rsidP="00D63B60">
      <w:pPr>
        <w:pStyle w:val="NormalWeb"/>
        <w:numPr>
          <w:ilvl w:val="0"/>
          <w:numId w:val="17"/>
        </w:numPr>
        <w:rPr>
          <w:bCs/>
        </w:rPr>
      </w:pPr>
      <w:r>
        <w:rPr>
          <w:bCs/>
        </w:rPr>
        <w:t>R</w:t>
      </w:r>
      <w:r w:rsidRPr="00D63B60">
        <w:rPr>
          <w:bCs/>
        </w:rPr>
        <w:t xml:space="preserve">esturile și deșeurile </w:t>
      </w:r>
      <w:r>
        <w:rPr>
          <w:bCs/>
        </w:rPr>
        <w:t>indicate în prezentul act sunt furnizate cumpărătorului conform contractului nr.____ din ____________ și transportate conform facturii sau facturii fiscale</w:t>
      </w:r>
    </w:p>
    <w:p w:rsidR="00D63B60" w:rsidRPr="00D63B60" w:rsidRDefault="00D63B60" w:rsidP="00D63B60">
      <w:pPr>
        <w:pStyle w:val="NormalWeb"/>
        <w:ind w:left="900" w:firstLine="0"/>
        <w:rPr>
          <w:bCs/>
        </w:rPr>
      </w:pPr>
      <w:r>
        <w:rPr>
          <w:bCs/>
        </w:rPr>
        <w:t>nr.___________________________________________________________________</w:t>
      </w:r>
    </w:p>
    <w:p w:rsidR="00D63B60" w:rsidRPr="00D63B60" w:rsidRDefault="00D63B60" w:rsidP="00D63B60">
      <w:pPr>
        <w:pStyle w:val="NormalWeb"/>
        <w:ind w:left="900" w:firstLine="0"/>
        <w:rPr>
          <w:bCs/>
        </w:rPr>
      </w:pPr>
      <w:r>
        <w:rPr>
          <w:bCs/>
        </w:rPr>
        <w:t>nr.___________________________________________________________________</w:t>
      </w:r>
    </w:p>
    <w:p w:rsidR="00D63B60" w:rsidRPr="00D63B60" w:rsidRDefault="00D63B60" w:rsidP="00D63B60">
      <w:pPr>
        <w:pStyle w:val="NormalWeb"/>
        <w:ind w:left="900" w:firstLine="0"/>
        <w:rPr>
          <w:bCs/>
        </w:rPr>
      </w:pPr>
      <w:r>
        <w:rPr>
          <w:bCs/>
        </w:rPr>
        <w:t>nr.___________________________________________________________________</w:t>
      </w:r>
    </w:p>
    <w:p w:rsidR="00D63B60" w:rsidRDefault="00D63B60" w:rsidP="00577CAD">
      <w:pPr>
        <w:pStyle w:val="NormalWeb"/>
        <w:rPr>
          <w:b/>
          <w:bCs/>
        </w:rPr>
      </w:pPr>
    </w:p>
    <w:p w:rsidR="00D63B60" w:rsidRDefault="00D63B60" w:rsidP="00577CAD">
      <w:pPr>
        <w:pStyle w:val="NormalWeb"/>
        <w:rPr>
          <w:b/>
          <w:bCs/>
        </w:rPr>
      </w:pPr>
      <w:r>
        <w:rPr>
          <w:b/>
          <w:bCs/>
        </w:rPr>
        <w:t>Notă:</w:t>
      </w:r>
    </w:p>
    <w:p w:rsidR="00D63B60" w:rsidRDefault="00D63B60" w:rsidP="00577CAD">
      <w:pPr>
        <w:pStyle w:val="NormalWeb"/>
        <w:rPr>
          <w:bCs/>
        </w:rPr>
      </w:pPr>
      <w:r w:rsidRPr="00D63B60">
        <w:rPr>
          <w:bCs/>
        </w:rPr>
        <w:t>Actul de proveniență a resturilor și deșeurilor de metale feroase și neferoase se perfectează de persoanele ce predau deșeurile, care sunt subiecții ai activității antr</w:t>
      </w:r>
      <w:r>
        <w:rPr>
          <w:bCs/>
        </w:rPr>
        <w:t>eprenoriale</w:t>
      </w:r>
      <w:r w:rsidRPr="00D63B60">
        <w:rPr>
          <w:bCs/>
        </w:rPr>
        <w:t>, pentru fiecare lot separat.</w:t>
      </w:r>
    </w:p>
    <w:p w:rsidR="00D63B60" w:rsidRDefault="00D63B60" w:rsidP="00577CAD">
      <w:pPr>
        <w:pStyle w:val="NormalWeb"/>
        <w:rPr>
          <w:bCs/>
        </w:rPr>
      </w:pPr>
    </w:p>
    <w:p w:rsidR="00D63B60" w:rsidRDefault="00D63B60" w:rsidP="00577CAD">
      <w:pPr>
        <w:pStyle w:val="NormalWeb"/>
        <w:rPr>
          <w:bCs/>
        </w:rPr>
      </w:pPr>
      <w:r>
        <w:rPr>
          <w:bCs/>
        </w:rPr>
        <w:t>Conducătorul_________________                        Contabil șef______________________”</w:t>
      </w:r>
    </w:p>
    <w:p w:rsidR="00D63B60" w:rsidRDefault="00D63B60" w:rsidP="00577CAD">
      <w:pPr>
        <w:pStyle w:val="NormalWeb"/>
        <w:rPr>
          <w:bCs/>
        </w:rPr>
      </w:pPr>
    </w:p>
    <w:p w:rsidR="00D63B60" w:rsidRPr="00D63B60" w:rsidRDefault="00D63B60" w:rsidP="00577CAD">
      <w:pPr>
        <w:pStyle w:val="NormalWeb"/>
        <w:rPr>
          <w:bCs/>
        </w:rPr>
      </w:pPr>
    </w:p>
    <w:p w:rsidR="00D63B60" w:rsidRDefault="00D63B60" w:rsidP="00577CAD">
      <w:pPr>
        <w:pStyle w:val="NormalWeb"/>
        <w:rPr>
          <w:b/>
          <w:bCs/>
        </w:rPr>
      </w:pPr>
    </w:p>
    <w:p w:rsidR="00577CAD" w:rsidRDefault="00577CAD" w:rsidP="00577CAD">
      <w:pPr>
        <w:pStyle w:val="NormalWeb"/>
      </w:pPr>
      <w:proofErr w:type="spellStart"/>
      <w:r>
        <w:rPr>
          <w:b/>
          <w:bCs/>
        </w:rPr>
        <w:t>Art.II</w:t>
      </w:r>
      <w:proofErr w:type="spellEnd"/>
      <w:r>
        <w:rPr>
          <w:b/>
          <w:bCs/>
        </w:rPr>
        <w:t>.</w:t>
      </w:r>
      <w:r>
        <w:t xml:space="preserve"> – Prezenta lege intră în vigoare la data publicării în Monitorul Oficial al Republicii Moldova.</w:t>
      </w:r>
    </w:p>
    <w:p w:rsidR="008162E2" w:rsidRDefault="008162E2" w:rsidP="00577CAD">
      <w:pPr>
        <w:pStyle w:val="NormalWeb"/>
      </w:pPr>
    </w:p>
    <w:p w:rsidR="008162E2" w:rsidRPr="00CC7EDC" w:rsidRDefault="008162E2" w:rsidP="008162E2">
      <w:pPr>
        <w:jc w:val="both"/>
        <w:rPr>
          <w:b/>
        </w:rPr>
      </w:pPr>
      <w:r w:rsidRPr="00CC7EDC">
        <w:rPr>
          <w:b/>
        </w:rPr>
        <w:t>PREȘEDINTELE PARLAMENTULUI</w:t>
      </w:r>
    </w:p>
    <w:p w:rsidR="008162E2" w:rsidRDefault="008162E2" w:rsidP="00577CAD">
      <w:pPr>
        <w:pStyle w:val="NormalWeb"/>
      </w:pPr>
    </w:p>
    <w:p w:rsidR="00F15674" w:rsidRPr="00962867" w:rsidRDefault="00154226" w:rsidP="00577CAD">
      <w:pPr>
        <w:jc w:val="both"/>
      </w:pPr>
      <w:r w:rsidRPr="00594E46">
        <w:tab/>
      </w:r>
    </w:p>
    <w:p w:rsidR="00F15674" w:rsidRDefault="00F15674" w:rsidP="00F15674">
      <w:pPr>
        <w:jc w:val="both"/>
      </w:pPr>
    </w:p>
    <w:p w:rsidR="00C13687" w:rsidRDefault="00C13687" w:rsidP="00F15674">
      <w:pPr>
        <w:jc w:val="both"/>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8E3897" w:rsidRDefault="008E3897" w:rsidP="00C13687">
      <w:pPr>
        <w:pStyle w:val="tt"/>
        <w:rPr>
          <w:sz w:val="26"/>
          <w:szCs w:val="26"/>
          <w:lang w:val="ro-MD"/>
        </w:rPr>
      </w:pPr>
    </w:p>
    <w:p w:rsidR="00C13687" w:rsidRPr="00B249F9" w:rsidRDefault="00C13687" w:rsidP="00C13687">
      <w:pPr>
        <w:pStyle w:val="tt"/>
        <w:rPr>
          <w:sz w:val="26"/>
          <w:szCs w:val="26"/>
          <w:lang w:val="ro-MD"/>
        </w:rPr>
      </w:pPr>
      <w:r w:rsidRPr="00B249F9">
        <w:rPr>
          <w:sz w:val="26"/>
          <w:szCs w:val="26"/>
          <w:lang w:val="ro-MD"/>
        </w:rPr>
        <w:t xml:space="preserve">Nota informativă </w:t>
      </w:r>
    </w:p>
    <w:p w:rsidR="00C13687" w:rsidRPr="00B249F9" w:rsidRDefault="00C13687" w:rsidP="00C13687">
      <w:pPr>
        <w:pStyle w:val="tt"/>
        <w:rPr>
          <w:sz w:val="26"/>
          <w:szCs w:val="26"/>
          <w:lang w:val="ro-MD"/>
        </w:rPr>
      </w:pPr>
      <w:r w:rsidRPr="00B249F9">
        <w:rPr>
          <w:sz w:val="26"/>
          <w:szCs w:val="26"/>
          <w:lang w:val="ro-MD"/>
        </w:rPr>
        <w:t xml:space="preserve">la proiectul Legii pentru modificarea </w:t>
      </w:r>
      <w:r w:rsidRPr="00B249F9">
        <w:rPr>
          <w:b w:val="0"/>
          <w:bCs w:val="0"/>
          <w:sz w:val="26"/>
          <w:szCs w:val="26"/>
          <w:vertAlign w:val="superscript"/>
          <w:lang w:val="ro-MD"/>
        </w:rPr>
        <w:t xml:space="preserve"> </w:t>
      </w:r>
      <w:r w:rsidRPr="00B249F9">
        <w:rPr>
          <w:sz w:val="26"/>
          <w:szCs w:val="26"/>
          <w:lang w:val="ro-MD"/>
        </w:rPr>
        <w:t xml:space="preserve">Legii nr. 209/2016 privind </w:t>
      </w:r>
      <w:proofErr w:type="spellStart"/>
      <w:r w:rsidRPr="00B249F9">
        <w:rPr>
          <w:sz w:val="26"/>
          <w:szCs w:val="26"/>
          <w:lang w:val="ro-MD"/>
        </w:rPr>
        <w:t>deşeurile</w:t>
      </w:r>
      <w:proofErr w:type="spellEnd"/>
    </w:p>
    <w:p w:rsidR="00C13687" w:rsidRPr="00B249F9" w:rsidRDefault="00C13687" w:rsidP="00C13687">
      <w:pPr>
        <w:ind w:firstLine="708"/>
        <w:jc w:val="center"/>
        <w:rPr>
          <w:sz w:val="26"/>
          <w:szCs w:val="26"/>
          <w:lang w:val="ro-MD"/>
        </w:rPr>
      </w:pPr>
    </w:p>
    <w:tbl>
      <w:tblPr>
        <w:tblW w:w="5318" w:type="pct"/>
        <w:jc w:val="center"/>
        <w:tblCellMar>
          <w:top w:w="15" w:type="dxa"/>
          <w:left w:w="15" w:type="dxa"/>
          <w:bottom w:w="15" w:type="dxa"/>
          <w:right w:w="15" w:type="dxa"/>
        </w:tblCellMar>
        <w:tblLook w:val="04A0" w:firstRow="1" w:lastRow="0" w:firstColumn="1" w:lastColumn="0" w:noHBand="0" w:noVBand="1"/>
      </w:tblPr>
      <w:tblGrid>
        <w:gridCol w:w="9933"/>
      </w:tblGrid>
      <w:tr w:rsidR="00C13687" w:rsidRPr="00B249F9" w:rsidTr="000D2E9C">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jc w:val="both"/>
              <w:rPr>
                <w:rFonts w:eastAsia="Times New Roman"/>
                <w:b/>
                <w:sz w:val="26"/>
                <w:szCs w:val="26"/>
                <w:lang w:val="ro-MD"/>
              </w:rPr>
            </w:pPr>
            <w:r w:rsidRPr="00B249F9">
              <w:rPr>
                <w:rFonts w:eastAsia="Times New Roman"/>
                <w:b/>
                <w:bCs/>
                <w:sz w:val="26"/>
                <w:szCs w:val="26"/>
                <w:lang w:val="ro-MD"/>
              </w:rPr>
              <w:t>1.</w:t>
            </w:r>
            <w:r w:rsidRPr="00B249F9">
              <w:rPr>
                <w:rFonts w:eastAsia="Times New Roman"/>
                <w:b/>
                <w:sz w:val="26"/>
                <w:szCs w:val="26"/>
                <w:lang w:val="ro-MD"/>
              </w:rPr>
              <w:t xml:space="preserve"> Denumirea autorului </w:t>
            </w:r>
            <w:proofErr w:type="spellStart"/>
            <w:r w:rsidRPr="00B249F9">
              <w:rPr>
                <w:rFonts w:eastAsia="Times New Roman"/>
                <w:b/>
                <w:sz w:val="26"/>
                <w:szCs w:val="26"/>
                <w:lang w:val="ro-MD"/>
              </w:rPr>
              <w:t>şi</w:t>
            </w:r>
            <w:proofErr w:type="spellEnd"/>
            <w:r w:rsidRPr="00B249F9">
              <w:rPr>
                <w:rFonts w:eastAsia="Times New Roman"/>
                <w:b/>
                <w:sz w:val="26"/>
                <w:szCs w:val="26"/>
                <w:lang w:val="ro-MD"/>
              </w:rPr>
              <w:t xml:space="preserve">, după caz, a </w:t>
            </w:r>
            <w:proofErr w:type="spellStart"/>
            <w:r w:rsidRPr="00B249F9">
              <w:rPr>
                <w:rFonts w:eastAsia="Times New Roman"/>
                <w:b/>
                <w:sz w:val="26"/>
                <w:szCs w:val="26"/>
                <w:lang w:val="ro-MD"/>
              </w:rPr>
              <w:t>participanţilor</w:t>
            </w:r>
            <w:proofErr w:type="spellEnd"/>
            <w:r w:rsidRPr="00B249F9">
              <w:rPr>
                <w:rFonts w:eastAsia="Times New Roman"/>
                <w:b/>
                <w:sz w:val="26"/>
                <w:szCs w:val="26"/>
                <w:lang w:val="ro-MD"/>
              </w:rPr>
              <w:t xml:space="preserve"> la elaborarea proiectului</w:t>
            </w:r>
          </w:p>
        </w:tc>
      </w:tr>
      <w:tr w:rsidR="00C13687" w:rsidRPr="00B249F9" w:rsidTr="000D2E9C">
        <w:trPr>
          <w:trHeight w:val="21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rPr>
                <w:rFonts w:eastAsia="Times New Roman"/>
                <w:sz w:val="26"/>
                <w:szCs w:val="26"/>
                <w:lang w:val="ro-MD"/>
              </w:rPr>
            </w:pPr>
            <w:r w:rsidRPr="00B249F9">
              <w:rPr>
                <w:rFonts w:eastAsia="Times New Roman"/>
                <w:sz w:val="26"/>
                <w:szCs w:val="26"/>
                <w:lang w:val="ro-MD"/>
              </w:rPr>
              <w:t>Proiectul de lege este elaborat de către Ministerul Economiei și Infrastructurii.</w:t>
            </w:r>
          </w:p>
        </w:tc>
      </w:tr>
      <w:tr w:rsidR="00C13687" w:rsidRPr="00B249F9" w:rsidTr="000D2E9C">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 xml:space="preserve">2. </w:t>
            </w:r>
            <w:proofErr w:type="spellStart"/>
            <w:r w:rsidRPr="00B249F9">
              <w:rPr>
                <w:rFonts w:eastAsia="Times New Roman"/>
                <w:b/>
                <w:sz w:val="26"/>
                <w:szCs w:val="26"/>
                <w:lang w:val="ro-MD"/>
              </w:rPr>
              <w:t>Condiţiile</w:t>
            </w:r>
            <w:proofErr w:type="spellEnd"/>
            <w:r w:rsidRPr="00B249F9">
              <w:rPr>
                <w:rFonts w:eastAsia="Times New Roman"/>
                <w:b/>
                <w:sz w:val="26"/>
                <w:szCs w:val="26"/>
                <w:lang w:val="ro-MD"/>
              </w:rPr>
              <w:t xml:space="preserve"> ce au impus elaborarea proiectul </w:t>
            </w:r>
            <w:proofErr w:type="spellStart"/>
            <w:r w:rsidRPr="00B249F9">
              <w:rPr>
                <w:rFonts w:eastAsia="Times New Roman"/>
                <w:b/>
                <w:sz w:val="26"/>
                <w:szCs w:val="26"/>
                <w:lang w:val="ro-MD"/>
              </w:rPr>
              <w:t>activităţilor</w:t>
            </w:r>
            <w:proofErr w:type="spellEnd"/>
            <w:r w:rsidRPr="00B249F9">
              <w:rPr>
                <w:rFonts w:eastAsia="Times New Roman"/>
                <w:b/>
                <w:sz w:val="26"/>
                <w:szCs w:val="26"/>
                <w:lang w:val="ro-MD"/>
              </w:rPr>
              <w:t xml:space="preserve"> comerciale ui de act normativ </w:t>
            </w:r>
            <w:proofErr w:type="spellStart"/>
            <w:r w:rsidRPr="00B249F9">
              <w:rPr>
                <w:rFonts w:eastAsia="Times New Roman"/>
                <w:b/>
                <w:sz w:val="26"/>
                <w:szCs w:val="26"/>
                <w:lang w:val="ro-MD"/>
              </w:rPr>
              <w:t>şi</w:t>
            </w:r>
            <w:proofErr w:type="spellEnd"/>
            <w:r w:rsidRPr="00B249F9">
              <w:rPr>
                <w:rFonts w:eastAsia="Times New Roman"/>
                <w:b/>
                <w:sz w:val="26"/>
                <w:szCs w:val="26"/>
                <w:lang w:val="ro-MD"/>
              </w:rPr>
              <w:t xml:space="preserve"> </w:t>
            </w:r>
            <w:proofErr w:type="spellStart"/>
            <w:r w:rsidRPr="00B249F9">
              <w:rPr>
                <w:rFonts w:eastAsia="Times New Roman"/>
                <w:b/>
                <w:sz w:val="26"/>
                <w:szCs w:val="26"/>
                <w:lang w:val="ro-MD"/>
              </w:rPr>
              <w:t>finalităţile</w:t>
            </w:r>
            <w:proofErr w:type="spellEnd"/>
            <w:r w:rsidRPr="00B249F9">
              <w:rPr>
                <w:rFonts w:eastAsia="Times New Roman"/>
                <w:b/>
                <w:sz w:val="26"/>
                <w:szCs w:val="26"/>
                <w:lang w:val="ro-MD"/>
              </w:rPr>
              <w:t xml:space="preserve"> urmărite</w:t>
            </w:r>
          </w:p>
        </w:tc>
      </w:tr>
      <w:tr w:rsidR="00C13687" w:rsidRPr="00B249F9" w:rsidTr="000D2E9C">
        <w:trPr>
          <w:trHeight w:val="69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r w:rsidRPr="00B249F9">
              <w:rPr>
                <w:sz w:val="26"/>
                <w:szCs w:val="26"/>
                <w:lang w:val="ro-MD"/>
              </w:rPr>
              <w:t xml:space="preserve">Proiectul de lege are ca scop demonopolizarea </w:t>
            </w:r>
            <w:proofErr w:type="spellStart"/>
            <w:r w:rsidRPr="00B249F9">
              <w:rPr>
                <w:sz w:val="26"/>
                <w:szCs w:val="26"/>
                <w:lang w:val="ro-MD"/>
              </w:rPr>
              <w:t>activităţilor</w:t>
            </w:r>
            <w:proofErr w:type="spellEnd"/>
            <w:r w:rsidRPr="00B249F9">
              <w:rPr>
                <w:sz w:val="26"/>
                <w:szCs w:val="26"/>
                <w:lang w:val="ro-MD"/>
              </w:rPr>
              <w:t xml:space="preserve"> de  </w:t>
            </w:r>
            <w:r w:rsidRPr="00B249F9">
              <w:rPr>
                <w:rFonts w:eastAsia="Times New Roman"/>
                <w:sz w:val="26"/>
                <w:szCs w:val="26"/>
                <w:lang w:val="ro-MD"/>
              </w:rPr>
              <w:t xml:space="preserve">comercializare, precum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de export al resturilor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deşeurilor</w:t>
            </w:r>
            <w:proofErr w:type="spellEnd"/>
            <w:r w:rsidRPr="00B249F9">
              <w:rPr>
                <w:rFonts w:eastAsia="Times New Roman"/>
                <w:sz w:val="26"/>
                <w:szCs w:val="26"/>
                <w:lang w:val="ro-MD"/>
              </w:rPr>
              <w:t xml:space="preserve"> de metale feroase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neferoase, de baterii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acumulatori </w:t>
            </w:r>
            <w:proofErr w:type="spellStart"/>
            <w:r w:rsidRPr="00B249F9">
              <w:rPr>
                <w:rFonts w:eastAsia="Times New Roman"/>
                <w:sz w:val="26"/>
                <w:szCs w:val="26"/>
                <w:lang w:val="ro-MD"/>
              </w:rPr>
              <w:t>uzaţi</w:t>
            </w:r>
            <w:proofErr w:type="spellEnd"/>
            <w:r w:rsidRPr="00B249F9">
              <w:rPr>
                <w:rFonts w:eastAsia="Times New Roman"/>
                <w:sz w:val="26"/>
                <w:szCs w:val="26"/>
                <w:lang w:val="ro-MD"/>
              </w:rPr>
              <w:t xml:space="preserve">. </w:t>
            </w:r>
          </w:p>
        </w:tc>
      </w:tr>
      <w:tr w:rsidR="00C13687" w:rsidRPr="00B249F9" w:rsidTr="000D2E9C">
        <w:trPr>
          <w:trHeight w:val="4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3.</w:t>
            </w:r>
            <w:r w:rsidRPr="00B249F9">
              <w:rPr>
                <w:rFonts w:eastAsia="Times New Roman"/>
                <w:b/>
                <w:sz w:val="26"/>
                <w:szCs w:val="26"/>
                <w:lang w:val="ro-MD"/>
              </w:rPr>
              <w:t xml:space="preserve"> Descrierea gradului de compatibilitate pentru proiectele care au ca scop armonizarea </w:t>
            </w:r>
            <w:proofErr w:type="spellStart"/>
            <w:r w:rsidRPr="00B249F9">
              <w:rPr>
                <w:rFonts w:eastAsia="Times New Roman"/>
                <w:b/>
                <w:sz w:val="26"/>
                <w:szCs w:val="26"/>
                <w:lang w:val="ro-MD"/>
              </w:rPr>
              <w:t>legislaţiei</w:t>
            </w:r>
            <w:proofErr w:type="spellEnd"/>
            <w:r w:rsidRPr="00B249F9">
              <w:rPr>
                <w:rFonts w:eastAsia="Times New Roman"/>
                <w:b/>
                <w:sz w:val="26"/>
                <w:szCs w:val="26"/>
                <w:lang w:val="ro-MD"/>
              </w:rPr>
              <w:t xml:space="preserve"> </w:t>
            </w:r>
            <w:proofErr w:type="spellStart"/>
            <w:r w:rsidRPr="00B249F9">
              <w:rPr>
                <w:rFonts w:eastAsia="Times New Roman"/>
                <w:b/>
                <w:sz w:val="26"/>
                <w:szCs w:val="26"/>
                <w:lang w:val="ro-MD"/>
              </w:rPr>
              <w:t>naţionale</w:t>
            </w:r>
            <w:proofErr w:type="spellEnd"/>
            <w:r w:rsidRPr="00B249F9">
              <w:rPr>
                <w:rFonts w:eastAsia="Times New Roman"/>
                <w:b/>
                <w:sz w:val="26"/>
                <w:szCs w:val="26"/>
                <w:lang w:val="ro-MD"/>
              </w:rPr>
              <w:t xml:space="preserve"> cu </w:t>
            </w:r>
            <w:proofErr w:type="spellStart"/>
            <w:r w:rsidRPr="00B249F9">
              <w:rPr>
                <w:rFonts w:eastAsia="Times New Roman"/>
                <w:b/>
                <w:sz w:val="26"/>
                <w:szCs w:val="26"/>
                <w:lang w:val="ro-MD"/>
              </w:rPr>
              <w:t>legislaţia</w:t>
            </w:r>
            <w:proofErr w:type="spellEnd"/>
            <w:r w:rsidRPr="00B249F9">
              <w:rPr>
                <w:rFonts w:eastAsia="Times New Roman"/>
                <w:b/>
                <w:sz w:val="26"/>
                <w:szCs w:val="26"/>
                <w:lang w:val="ro-MD"/>
              </w:rPr>
              <w:t xml:space="preserve"> Uniunii Europene</w:t>
            </w:r>
          </w:p>
        </w:tc>
      </w:tr>
      <w:tr w:rsidR="00C13687" w:rsidRPr="00B249F9" w:rsidTr="000D2E9C">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 xml:space="preserve">Proiectul de lege nu conține norme privind armonizarea legislației naționale cu </w:t>
            </w:r>
            <w:proofErr w:type="spellStart"/>
            <w:r w:rsidRPr="00B249F9">
              <w:rPr>
                <w:rFonts w:eastAsia="Times New Roman"/>
                <w:sz w:val="26"/>
                <w:szCs w:val="26"/>
                <w:lang w:val="ro-MD"/>
              </w:rPr>
              <w:t>legislaţia</w:t>
            </w:r>
            <w:proofErr w:type="spellEnd"/>
            <w:r w:rsidRPr="00B249F9">
              <w:rPr>
                <w:rFonts w:eastAsia="Times New Roman"/>
                <w:sz w:val="26"/>
                <w:szCs w:val="26"/>
                <w:lang w:val="ro-MD"/>
              </w:rPr>
              <w:t xml:space="preserve"> Uniunii Europene.</w:t>
            </w:r>
          </w:p>
        </w:tc>
      </w:tr>
      <w:tr w:rsidR="00C13687" w:rsidRPr="00B249F9" w:rsidTr="000D2E9C">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4.</w:t>
            </w:r>
            <w:r w:rsidRPr="00B249F9">
              <w:rPr>
                <w:rFonts w:eastAsia="Times New Roman"/>
                <w:b/>
                <w:sz w:val="26"/>
                <w:szCs w:val="26"/>
                <w:lang w:val="ro-MD"/>
              </w:rPr>
              <w:t xml:space="preserve"> Principalele prevederi ale proiectului </w:t>
            </w:r>
            <w:proofErr w:type="spellStart"/>
            <w:r w:rsidRPr="00B249F9">
              <w:rPr>
                <w:rFonts w:eastAsia="Times New Roman"/>
                <w:b/>
                <w:sz w:val="26"/>
                <w:szCs w:val="26"/>
                <w:lang w:val="ro-MD"/>
              </w:rPr>
              <w:t>şi</w:t>
            </w:r>
            <w:proofErr w:type="spellEnd"/>
            <w:r w:rsidRPr="00B249F9">
              <w:rPr>
                <w:rFonts w:eastAsia="Times New Roman"/>
                <w:b/>
                <w:sz w:val="26"/>
                <w:szCs w:val="26"/>
                <w:lang w:val="ro-MD"/>
              </w:rPr>
              <w:t xml:space="preserve"> </w:t>
            </w:r>
            <w:proofErr w:type="spellStart"/>
            <w:r w:rsidRPr="00B249F9">
              <w:rPr>
                <w:rFonts w:eastAsia="Times New Roman"/>
                <w:b/>
                <w:sz w:val="26"/>
                <w:szCs w:val="26"/>
                <w:lang w:val="ro-MD"/>
              </w:rPr>
              <w:t>evidenţierea</w:t>
            </w:r>
            <w:proofErr w:type="spellEnd"/>
            <w:r w:rsidRPr="00B249F9">
              <w:rPr>
                <w:rFonts w:eastAsia="Times New Roman"/>
                <w:b/>
                <w:sz w:val="26"/>
                <w:szCs w:val="26"/>
                <w:lang w:val="ro-MD"/>
              </w:rPr>
              <w:t xml:space="preserve"> elementelor noi </w:t>
            </w:r>
          </w:p>
        </w:tc>
      </w:tr>
      <w:tr w:rsidR="00C13687" w:rsidRPr="00B249F9" w:rsidTr="000D2E9C">
        <w:trPr>
          <w:trHeight w:val="2265"/>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sz w:val="26"/>
                <w:szCs w:val="26"/>
                <w:lang w:val="ro-MD"/>
              </w:rPr>
            </w:pPr>
            <w:r w:rsidRPr="00B249F9">
              <w:rPr>
                <w:sz w:val="26"/>
                <w:szCs w:val="26"/>
                <w:lang w:val="ro-MD"/>
              </w:rPr>
              <w:t xml:space="preserve">Aspectul principal de noutate al proiectului de lege constă în introducerea unor norme care să prevadă unele </w:t>
            </w:r>
            <w:proofErr w:type="spellStart"/>
            <w:r w:rsidRPr="00B249F9">
              <w:rPr>
                <w:sz w:val="26"/>
                <w:szCs w:val="26"/>
                <w:lang w:val="ro-MD"/>
              </w:rPr>
              <w:t>cerinţe</w:t>
            </w:r>
            <w:proofErr w:type="spellEnd"/>
            <w:r w:rsidRPr="00B249F9">
              <w:rPr>
                <w:sz w:val="26"/>
                <w:szCs w:val="26"/>
                <w:lang w:val="ro-MD"/>
              </w:rPr>
              <w:t xml:space="preserve"> </w:t>
            </w:r>
            <w:r>
              <w:rPr>
                <w:sz w:val="26"/>
                <w:szCs w:val="26"/>
                <w:lang w:val="ro-MD"/>
              </w:rPr>
              <w:t>prudențiale minime</w:t>
            </w:r>
            <w:r w:rsidRPr="00B249F9">
              <w:rPr>
                <w:sz w:val="26"/>
                <w:szCs w:val="26"/>
                <w:lang w:val="ro-MD"/>
              </w:rPr>
              <w:t xml:space="preserve"> pentru </w:t>
            </w:r>
            <w:proofErr w:type="spellStart"/>
            <w:r w:rsidRPr="00B249F9">
              <w:rPr>
                <w:sz w:val="26"/>
                <w:szCs w:val="26"/>
                <w:lang w:val="ro-MD"/>
              </w:rPr>
              <w:t>solicitanţii</w:t>
            </w:r>
            <w:proofErr w:type="spellEnd"/>
            <w:r w:rsidRPr="00B249F9">
              <w:rPr>
                <w:sz w:val="26"/>
                <w:szCs w:val="26"/>
                <w:lang w:val="ro-MD"/>
              </w:rPr>
              <w:t xml:space="preserve"> </w:t>
            </w:r>
            <w:proofErr w:type="spellStart"/>
            <w:r w:rsidRPr="00B249F9">
              <w:rPr>
                <w:sz w:val="26"/>
                <w:szCs w:val="26"/>
                <w:lang w:val="ro-MD"/>
              </w:rPr>
              <w:t>şi</w:t>
            </w:r>
            <w:proofErr w:type="spellEnd"/>
            <w:r w:rsidRPr="00B249F9">
              <w:rPr>
                <w:sz w:val="26"/>
                <w:szCs w:val="26"/>
                <w:lang w:val="ro-MD"/>
              </w:rPr>
              <w:t xml:space="preserve"> titularii de </w:t>
            </w:r>
            <w:proofErr w:type="spellStart"/>
            <w:r w:rsidRPr="00B249F9">
              <w:rPr>
                <w:sz w:val="26"/>
                <w:szCs w:val="26"/>
                <w:lang w:val="ro-MD"/>
              </w:rPr>
              <w:t>licenţe</w:t>
            </w:r>
            <w:proofErr w:type="spellEnd"/>
            <w:r w:rsidRPr="00B249F9">
              <w:rPr>
                <w:sz w:val="26"/>
                <w:szCs w:val="26"/>
                <w:lang w:val="ro-MD"/>
              </w:rPr>
              <w:t xml:space="preserve"> în domeniul </w:t>
            </w:r>
            <w:proofErr w:type="spellStart"/>
            <w:r w:rsidRPr="00B249F9">
              <w:rPr>
                <w:sz w:val="26"/>
                <w:szCs w:val="26"/>
                <w:lang w:val="ro-MD"/>
              </w:rPr>
              <w:t>desfăşurării</w:t>
            </w:r>
            <w:proofErr w:type="spellEnd"/>
            <w:r w:rsidRPr="00B249F9">
              <w:rPr>
                <w:sz w:val="26"/>
                <w:szCs w:val="26"/>
                <w:lang w:val="ro-MD"/>
              </w:rPr>
              <w:t xml:space="preserve"> </w:t>
            </w:r>
            <w:proofErr w:type="spellStart"/>
            <w:r w:rsidRPr="00B249F9">
              <w:rPr>
                <w:sz w:val="26"/>
                <w:szCs w:val="26"/>
                <w:lang w:val="ro-MD"/>
              </w:rPr>
              <w:t>activităţii</w:t>
            </w:r>
            <w:proofErr w:type="spellEnd"/>
            <w:r w:rsidRPr="00B249F9">
              <w:rPr>
                <w:sz w:val="26"/>
                <w:szCs w:val="26"/>
                <w:lang w:val="ro-MD"/>
              </w:rPr>
              <w:t xml:space="preserve"> de colectare, păstrare, prelucrare </w:t>
            </w:r>
            <w:proofErr w:type="spellStart"/>
            <w:r w:rsidRPr="00B249F9">
              <w:rPr>
                <w:sz w:val="26"/>
                <w:szCs w:val="26"/>
                <w:lang w:val="ro-MD"/>
              </w:rPr>
              <w:t>şi</w:t>
            </w:r>
            <w:proofErr w:type="spellEnd"/>
            <w:r w:rsidRPr="00B249F9">
              <w:rPr>
                <w:sz w:val="26"/>
                <w:szCs w:val="26"/>
                <w:lang w:val="ro-MD"/>
              </w:rPr>
              <w:t xml:space="preserve"> comercializare, </w:t>
            </w:r>
            <w:r w:rsidRPr="00B249F9">
              <w:rPr>
                <w:rFonts w:eastAsia="Times New Roman"/>
                <w:sz w:val="26"/>
                <w:szCs w:val="26"/>
                <w:lang w:val="ro-MD"/>
              </w:rPr>
              <w:t xml:space="preserve">precum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de export al resturilor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deşeurilor</w:t>
            </w:r>
            <w:proofErr w:type="spellEnd"/>
            <w:r w:rsidRPr="00B249F9">
              <w:rPr>
                <w:rFonts w:eastAsia="Times New Roman"/>
                <w:sz w:val="26"/>
                <w:szCs w:val="26"/>
                <w:lang w:val="ro-MD"/>
              </w:rPr>
              <w:t xml:space="preserve"> de metale feroase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neferoase, de baterii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acumulatori </w:t>
            </w:r>
            <w:proofErr w:type="spellStart"/>
            <w:r w:rsidRPr="00B249F9">
              <w:rPr>
                <w:rFonts w:eastAsia="Times New Roman"/>
                <w:sz w:val="26"/>
                <w:szCs w:val="26"/>
                <w:lang w:val="ro-MD"/>
              </w:rPr>
              <w:t>uzaţi</w:t>
            </w:r>
            <w:proofErr w:type="spellEnd"/>
            <w:r w:rsidRPr="00B249F9">
              <w:rPr>
                <w:rFonts w:eastAsia="Times New Roman"/>
                <w:sz w:val="26"/>
                <w:szCs w:val="26"/>
                <w:lang w:val="ro-MD"/>
              </w:rPr>
              <w:t>, inclusiv în stare prelucrată</w:t>
            </w:r>
            <w:r>
              <w:rPr>
                <w:rFonts w:eastAsia="Times New Roman"/>
                <w:sz w:val="26"/>
                <w:szCs w:val="26"/>
                <w:lang w:val="ro-MD"/>
              </w:rPr>
              <w:t>.</w:t>
            </w:r>
            <w:r w:rsidRPr="00B249F9">
              <w:rPr>
                <w:sz w:val="26"/>
                <w:szCs w:val="26"/>
                <w:lang w:val="ro-MD"/>
              </w:rPr>
              <w:t xml:space="preserve"> </w:t>
            </w:r>
          </w:p>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Astfel a</w:t>
            </w:r>
            <w:r>
              <w:rPr>
                <w:rFonts w:eastAsia="Times New Roman"/>
                <w:sz w:val="26"/>
                <w:szCs w:val="26"/>
                <w:lang w:val="ro-MD"/>
              </w:rPr>
              <w:t>r</w:t>
            </w:r>
            <w:r w:rsidRPr="00B249F9">
              <w:rPr>
                <w:rFonts w:eastAsia="Times New Roman"/>
                <w:sz w:val="26"/>
                <w:szCs w:val="26"/>
                <w:lang w:val="ro-MD"/>
              </w:rPr>
              <w:t>t.61</w:t>
            </w:r>
            <w:r w:rsidRPr="00B249F9">
              <w:rPr>
                <w:rFonts w:eastAsia="Times New Roman"/>
                <w:sz w:val="26"/>
                <w:szCs w:val="26"/>
                <w:vertAlign w:val="superscript"/>
                <w:lang w:val="ro-MD"/>
              </w:rPr>
              <w:t xml:space="preserve">1 </w:t>
            </w:r>
            <w:r w:rsidRPr="00B249F9">
              <w:rPr>
                <w:rFonts w:eastAsia="Times New Roman"/>
                <w:sz w:val="26"/>
                <w:szCs w:val="26"/>
                <w:lang w:val="ro-MD"/>
              </w:rPr>
              <w:t>se completează cu un alineat nou (2</w:t>
            </w:r>
            <w:r w:rsidRPr="00B249F9">
              <w:rPr>
                <w:rFonts w:eastAsia="Times New Roman"/>
                <w:sz w:val="26"/>
                <w:szCs w:val="26"/>
                <w:vertAlign w:val="superscript"/>
                <w:lang w:val="ro-MD"/>
              </w:rPr>
              <w:t>1</w:t>
            </w:r>
            <w:r w:rsidRPr="00B249F9">
              <w:rPr>
                <w:rFonts w:eastAsia="Times New Roman"/>
                <w:sz w:val="26"/>
                <w:szCs w:val="26"/>
                <w:lang w:val="ro-MD"/>
              </w:rPr>
              <w:t>) cu următorul cuprins:</w:t>
            </w:r>
          </w:p>
          <w:p w:rsidR="00C13687" w:rsidRPr="00B249F9" w:rsidRDefault="00C13687" w:rsidP="000D2E9C">
            <w:pPr>
              <w:pStyle w:val="NormalWeb"/>
              <w:rPr>
                <w:bCs/>
                <w:sz w:val="26"/>
                <w:szCs w:val="26"/>
                <w:lang w:val="ro-MD"/>
              </w:rPr>
            </w:pPr>
            <w:r w:rsidRPr="00B249F9">
              <w:rPr>
                <w:sz w:val="26"/>
                <w:szCs w:val="26"/>
                <w:lang w:val="ro-MD"/>
              </w:rPr>
              <w:t>„</w:t>
            </w:r>
            <w:r w:rsidRPr="00B249F9">
              <w:rPr>
                <w:bCs/>
                <w:sz w:val="26"/>
                <w:szCs w:val="26"/>
                <w:lang w:val="ro-MD"/>
              </w:rPr>
              <w:t>(2</w:t>
            </w:r>
            <w:r w:rsidRPr="00B249F9">
              <w:rPr>
                <w:bCs/>
                <w:sz w:val="26"/>
                <w:szCs w:val="26"/>
                <w:vertAlign w:val="superscript"/>
                <w:lang w:val="ro-MD"/>
              </w:rPr>
              <w:t>1</w:t>
            </w:r>
            <w:r w:rsidRPr="00B249F9">
              <w:rPr>
                <w:bCs/>
                <w:sz w:val="26"/>
                <w:szCs w:val="26"/>
                <w:lang w:val="ro-MD"/>
              </w:rPr>
              <w:t>) Cerințele și condițiile obligatorii pentru titularii de licență în vederea desfășurării activității de colectare, păstrare, prelucrare, comercializare, precum și exportul resturilor și deșeurilor de metale feroase și neferoase, de baterii acumulatoare uzate, inclusiv în stare prelucrată sunt:</w:t>
            </w:r>
          </w:p>
          <w:p w:rsidR="00C13687" w:rsidRPr="00B249F9" w:rsidRDefault="00C13687" w:rsidP="000D2E9C">
            <w:pPr>
              <w:pStyle w:val="NormalWeb"/>
              <w:rPr>
                <w:bCs/>
                <w:sz w:val="26"/>
                <w:szCs w:val="26"/>
                <w:lang w:val="ro-MD"/>
              </w:rPr>
            </w:pPr>
            <w:r w:rsidRPr="00B249F9">
              <w:rPr>
                <w:bCs/>
                <w:sz w:val="26"/>
                <w:szCs w:val="26"/>
                <w:lang w:val="ro-MD"/>
              </w:rPr>
              <w:t>a) achiziționarea de la persoanele fizice numai a resturilor deșeurilor de metale feroase și neferoase de proveniență casnică, mijloacelor de transport uzate, după radierea acestora din evidența registrului de stat a transporturilor sau a unor agregate și baterii de acumulare uzate;</w:t>
            </w:r>
          </w:p>
          <w:p w:rsidR="00F04BE1" w:rsidRPr="00B249F9" w:rsidRDefault="00F04BE1" w:rsidP="00F04BE1">
            <w:pPr>
              <w:jc w:val="both"/>
              <w:rPr>
                <w:bCs/>
                <w:sz w:val="26"/>
                <w:szCs w:val="26"/>
                <w:lang w:val="ro-MD"/>
              </w:rPr>
            </w:pPr>
            <w:r>
              <w:rPr>
                <w:sz w:val="26"/>
                <w:szCs w:val="26"/>
              </w:rPr>
              <w:t xml:space="preserve">         </w:t>
            </w:r>
            <w:r w:rsidRPr="00F04BE1">
              <w:rPr>
                <w:sz w:val="26"/>
                <w:szCs w:val="26"/>
              </w:rPr>
              <w:t xml:space="preserve">Recepția resturilor și deșeurilor de metale feroase și neferoase de la persoanele fizice se confirmă prin contractul de </w:t>
            </w:r>
            <w:proofErr w:type="spellStart"/>
            <w:r w:rsidRPr="00F04BE1">
              <w:rPr>
                <w:sz w:val="26"/>
                <w:szCs w:val="26"/>
              </w:rPr>
              <w:t>vînzare</w:t>
            </w:r>
            <w:proofErr w:type="spellEnd"/>
            <w:r w:rsidRPr="00F04BE1">
              <w:rPr>
                <w:sz w:val="26"/>
                <w:szCs w:val="26"/>
              </w:rPr>
              <w:t>-cumpărare, în care se indică numele și prenumele persoanei care a predat deșeurile, adresa acestuia și datele din buletinul de identitate, lista obiectelor și resturilor de proveniență casnică achiziționate. Actul de cumpărare se semnează de către persoana care a predat deșeurile și de cumpărător. Resturile și deșeurile, recepționate de la persoanele fizice se păstrează separat, până la comercializare</w:t>
            </w:r>
            <w:r w:rsidRPr="00F04BE1">
              <w:rPr>
                <w:bCs/>
                <w:sz w:val="26"/>
                <w:szCs w:val="26"/>
                <w:lang w:val="ro-MD"/>
              </w:rPr>
              <w:t>;</w:t>
            </w:r>
          </w:p>
          <w:p w:rsidR="00F04BE1" w:rsidRDefault="00F04BE1" w:rsidP="000D2E9C">
            <w:pPr>
              <w:pStyle w:val="NormalWeb"/>
              <w:rPr>
                <w:bCs/>
                <w:sz w:val="26"/>
                <w:szCs w:val="26"/>
                <w:lang w:val="ro-MD"/>
              </w:rPr>
            </w:pPr>
          </w:p>
          <w:p w:rsidR="00C13687" w:rsidRPr="00B249F9" w:rsidRDefault="00C13687" w:rsidP="000D2E9C">
            <w:pPr>
              <w:pStyle w:val="NormalWeb"/>
              <w:rPr>
                <w:bCs/>
                <w:sz w:val="26"/>
                <w:szCs w:val="26"/>
                <w:lang w:val="ro-MD"/>
              </w:rPr>
            </w:pPr>
            <w:r w:rsidRPr="00B249F9">
              <w:rPr>
                <w:bCs/>
                <w:sz w:val="26"/>
                <w:szCs w:val="26"/>
                <w:lang w:val="ro-MD"/>
              </w:rPr>
              <w:t>b) pentru a nu admite descompletarea sau deteriorarea utilajului industrial, mijloacelor de transport, de telecomunicație, semnalizare și altor valori materiale ce conțin metale feroase și neferoase, achiziționarea resturilor și deșeurilor de metale feroase și neferoase se va efectua numai dacă persoana juridică sau întreprinzător individual, care le predă, posedă actul de proveniență a acestora, întocmit în două exemplare. Unul dintre acestea se transmite cumpărătorului, iar al doilea, cu semnătura cumpărătorului, se va păstra la persoana care a predat deșeurile. Formularul-tip al actului este prevăzut în Anexa nr.8 la prezenta lege.”;</w:t>
            </w:r>
          </w:p>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 xml:space="preserve">Valorificare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reciclarea </w:t>
            </w:r>
            <w:proofErr w:type="spellStart"/>
            <w:r w:rsidRPr="00B249F9">
              <w:rPr>
                <w:rFonts w:eastAsia="Times New Roman"/>
                <w:sz w:val="26"/>
                <w:szCs w:val="26"/>
                <w:lang w:val="ro-MD"/>
              </w:rPr>
              <w:t>deşeurilor</w:t>
            </w:r>
            <w:proofErr w:type="spellEnd"/>
            <w:r w:rsidRPr="00B249F9">
              <w:rPr>
                <w:rFonts w:eastAsia="Times New Roman"/>
                <w:sz w:val="26"/>
                <w:szCs w:val="26"/>
                <w:lang w:val="ro-MD"/>
              </w:rPr>
              <w:t xml:space="preserve"> de metale constituie o ramură importantă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specifică a economiei statului, care implică necesitatea folosirii </w:t>
            </w:r>
            <w:proofErr w:type="spellStart"/>
            <w:r w:rsidRPr="00B249F9">
              <w:rPr>
                <w:rFonts w:eastAsia="Times New Roman"/>
                <w:sz w:val="26"/>
                <w:szCs w:val="26"/>
                <w:lang w:val="ro-MD"/>
              </w:rPr>
              <w:t>raţionale</w:t>
            </w:r>
            <w:proofErr w:type="spellEnd"/>
            <w:r w:rsidRPr="00B249F9">
              <w:rPr>
                <w:rFonts w:eastAsia="Times New Roman"/>
                <w:sz w:val="26"/>
                <w:szCs w:val="26"/>
                <w:lang w:val="ro-MD"/>
              </w:rPr>
              <w:t xml:space="preserve"> a resurselor limitate, respectarea </w:t>
            </w:r>
            <w:proofErr w:type="spellStart"/>
            <w:r w:rsidRPr="00B249F9">
              <w:rPr>
                <w:rFonts w:eastAsia="Times New Roman"/>
                <w:sz w:val="26"/>
                <w:szCs w:val="26"/>
                <w:lang w:val="ro-MD"/>
              </w:rPr>
              <w:lastRenderedPageBreak/>
              <w:t>cerinţelor</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securităţii</w:t>
            </w:r>
            <w:proofErr w:type="spellEnd"/>
            <w:r w:rsidRPr="00B249F9">
              <w:rPr>
                <w:rFonts w:eastAsia="Times New Roman"/>
                <w:sz w:val="26"/>
                <w:szCs w:val="26"/>
                <w:lang w:val="ro-MD"/>
              </w:rPr>
              <w:t xml:space="preserve"> industriale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energetice,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pe acest motiv, asigurarea unui control de stat este un imperativ de securitate economică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tehnică. </w:t>
            </w:r>
            <w:proofErr w:type="spellStart"/>
            <w:r w:rsidRPr="00B249F9">
              <w:rPr>
                <w:rFonts w:eastAsia="Times New Roman"/>
                <w:sz w:val="26"/>
                <w:szCs w:val="26"/>
                <w:lang w:val="ro-MD"/>
              </w:rPr>
              <w:t>Reieşind</w:t>
            </w:r>
            <w:proofErr w:type="spellEnd"/>
            <w:r w:rsidRPr="00B249F9">
              <w:rPr>
                <w:rFonts w:eastAsia="Times New Roman"/>
                <w:sz w:val="26"/>
                <w:szCs w:val="26"/>
                <w:lang w:val="ro-MD"/>
              </w:rPr>
              <w:t xml:space="preserve"> din aceasta se propun includerea de </w:t>
            </w:r>
            <w:proofErr w:type="spellStart"/>
            <w:r w:rsidRPr="00B249F9">
              <w:rPr>
                <w:rFonts w:eastAsia="Times New Roman"/>
                <w:sz w:val="26"/>
                <w:szCs w:val="26"/>
                <w:lang w:val="ro-MD"/>
              </w:rPr>
              <w:t>restricţii</w:t>
            </w:r>
            <w:proofErr w:type="spellEnd"/>
            <w:r w:rsidRPr="00B249F9">
              <w:rPr>
                <w:rFonts w:eastAsia="Times New Roman"/>
                <w:sz w:val="26"/>
                <w:szCs w:val="26"/>
                <w:lang w:val="ro-MD"/>
              </w:rPr>
              <w:t xml:space="preserve"> la </w:t>
            </w:r>
            <w:proofErr w:type="spellStart"/>
            <w:r w:rsidRPr="00B249F9">
              <w:rPr>
                <w:rFonts w:eastAsia="Times New Roman"/>
                <w:sz w:val="26"/>
                <w:szCs w:val="26"/>
                <w:lang w:val="ro-MD"/>
              </w:rPr>
              <w:t>achiziţionarea</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deşeurilor</w:t>
            </w:r>
            <w:proofErr w:type="spellEnd"/>
            <w:r w:rsidRPr="00B249F9">
              <w:rPr>
                <w:rFonts w:eastAsia="Times New Roman"/>
                <w:sz w:val="26"/>
                <w:szCs w:val="26"/>
                <w:lang w:val="ro-MD"/>
              </w:rPr>
              <w:t xml:space="preserve"> de cablu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de conductoare, a </w:t>
            </w:r>
            <w:proofErr w:type="spellStart"/>
            <w:r w:rsidRPr="00B249F9">
              <w:rPr>
                <w:rFonts w:eastAsia="Times New Roman"/>
                <w:sz w:val="26"/>
                <w:szCs w:val="26"/>
                <w:lang w:val="ro-MD"/>
              </w:rPr>
              <w:t>părţilor</w:t>
            </w:r>
            <w:proofErr w:type="spellEnd"/>
            <w:r w:rsidRPr="00B249F9">
              <w:rPr>
                <w:rFonts w:eastAsia="Times New Roman"/>
                <w:sz w:val="26"/>
                <w:szCs w:val="26"/>
                <w:lang w:val="ro-MD"/>
              </w:rPr>
              <w:t xml:space="preserve"> componente ale echipamentelor electrice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de </w:t>
            </w:r>
            <w:proofErr w:type="spellStart"/>
            <w:r w:rsidRPr="00B249F9">
              <w:rPr>
                <w:rFonts w:eastAsia="Times New Roman"/>
                <w:sz w:val="26"/>
                <w:szCs w:val="26"/>
                <w:lang w:val="ro-MD"/>
              </w:rPr>
              <w:t>telecomunicaţii</w:t>
            </w:r>
            <w:proofErr w:type="spellEnd"/>
            <w:r w:rsidRPr="00B249F9">
              <w:rPr>
                <w:rFonts w:eastAsia="Times New Roman"/>
                <w:sz w:val="26"/>
                <w:szCs w:val="26"/>
                <w:lang w:val="ro-MD"/>
              </w:rPr>
              <w:t xml:space="preserve">, precum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interzicerea la colectarea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achiziţionarea</w:t>
            </w:r>
            <w:proofErr w:type="spellEnd"/>
            <w:r w:rsidRPr="00B249F9">
              <w:rPr>
                <w:rFonts w:eastAsia="Times New Roman"/>
                <w:sz w:val="26"/>
                <w:szCs w:val="26"/>
                <w:lang w:val="ro-MD"/>
              </w:rPr>
              <w:t xml:space="preserve"> capacelor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grilajelor de la </w:t>
            </w:r>
            <w:proofErr w:type="spellStart"/>
            <w:r w:rsidRPr="00B249F9">
              <w:rPr>
                <w:rFonts w:eastAsia="Times New Roman"/>
                <w:sz w:val="26"/>
                <w:szCs w:val="26"/>
                <w:lang w:val="ro-MD"/>
              </w:rPr>
              <w:t>fîntînele</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reţelelor</w:t>
            </w:r>
            <w:proofErr w:type="spellEnd"/>
            <w:r w:rsidRPr="00B249F9">
              <w:rPr>
                <w:rFonts w:eastAsia="Times New Roman"/>
                <w:sz w:val="26"/>
                <w:szCs w:val="26"/>
                <w:lang w:val="ro-MD"/>
              </w:rPr>
              <w:t xml:space="preserve"> de apă, canalizare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termoficare. </w:t>
            </w:r>
          </w:p>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În acest sens, se propune de a completa art.61</w:t>
            </w:r>
            <w:r w:rsidRPr="00B249F9">
              <w:rPr>
                <w:rFonts w:eastAsia="Times New Roman"/>
                <w:sz w:val="26"/>
                <w:szCs w:val="26"/>
                <w:vertAlign w:val="superscript"/>
                <w:lang w:val="ro-MD"/>
              </w:rPr>
              <w:t>1</w:t>
            </w:r>
            <w:r w:rsidRPr="00B249F9">
              <w:rPr>
                <w:rFonts w:eastAsia="Times New Roman"/>
                <w:sz w:val="26"/>
                <w:szCs w:val="26"/>
                <w:lang w:val="ro-MD"/>
              </w:rPr>
              <w:t xml:space="preserve"> cu 2 alineate noi cu următorul cuprins:</w:t>
            </w:r>
          </w:p>
          <w:p w:rsidR="00C13687" w:rsidRPr="00B249F9" w:rsidRDefault="00C13687" w:rsidP="000D2E9C">
            <w:pPr>
              <w:pStyle w:val="NormalWeb"/>
              <w:rPr>
                <w:bCs/>
                <w:sz w:val="26"/>
                <w:szCs w:val="26"/>
                <w:lang w:val="ro-MD"/>
              </w:rPr>
            </w:pPr>
            <w:r w:rsidRPr="00B249F9">
              <w:rPr>
                <w:sz w:val="26"/>
                <w:szCs w:val="26"/>
                <w:lang w:val="ro-MD"/>
              </w:rPr>
              <w:t>“</w:t>
            </w:r>
            <w:r w:rsidRPr="00B249F9">
              <w:rPr>
                <w:bCs/>
                <w:sz w:val="26"/>
                <w:szCs w:val="26"/>
                <w:lang w:val="ro-MD"/>
              </w:rPr>
              <w:t xml:space="preserve">”(8) Achiziționarea resturilor și deșeurilor de cablu și conductoare, a părților componente ale echipamentelor electrice și de telecomunicații industriale se permite numai de la persoanele juridice – producători, care dispun de resturi și deșeuri proprii, provenite din procesele tehnologice de producere sau ca urmare a casării mijloacelor fixe uzate. </w:t>
            </w:r>
          </w:p>
          <w:p w:rsidR="00C13687" w:rsidRPr="00B249F9" w:rsidRDefault="00C13687" w:rsidP="000D2E9C">
            <w:pPr>
              <w:pStyle w:val="NormalWeb"/>
              <w:rPr>
                <w:sz w:val="26"/>
                <w:szCs w:val="26"/>
                <w:lang w:val="ro-MD"/>
              </w:rPr>
            </w:pPr>
            <w:r w:rsidRPr="00B249F9">
              <w:rPr>
                <w:bCs/>
                <w:sz w:val="26"/>
                <w:szCs w:val="26"/>
                <w:lang w:val="ro-MD"/>
              </w:rPr>
              <w:t xml:space="preserve">(9) Se interzice colectarea și achiziționarea capacelor și grilajelor de la </w:t>
            </w:r>
            <w:proofErr w:type="spellStart"/>
            <w:r w:rsidRPr="00B249F9">
              <w:rPr>
                <w:bCs/>
                <w:sz w:val="26"/>
                <w:szCs w:val="26"/>
                <w:lang w:val="ro-MD"/>
              </w:rPr>
              <w:t>fîntîne</w:t>
            </w:r>
            <w:proofErr w:type="spellEnd"/>
            <w:r w:rsidRPr="00B249F9">
              <w:rPr>
                <w:bCs/>
                <w:sz w:val="26"/>
                <w:szCs w:val="26"/>
                <w:lang w:val="ro-MD"/>
              </w:rPr>
              <w:t xml:space="preserve"> a rețelelor de apă, canalizare și termoficare.”</w:t>
            </w:r>
            <w:r w:rsidRPr="00B249F9">
              <w:rPr>
                <w:sz w:val="26"/>
                <w:szCs w:val="26"/>
                <w:lang w:val="ro-MD"/>
              </w:rPr>
              <w:t>.</w:t>
            </w:r>
          </w:p>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 xml:space="preserve">De </w:t>
            </w:r>
            <w:proofErr w:type="spellStart"/>
            <w:r w:rsidRPr="00B249F9">
              <w:rPr>
                <w:rFonts w:eastAsia="Times New Roman"/>
                <w:sz w:val="26"/>
                <w:szCs w:val="26"/>
                <w:lang w:val="ro-MD"/>
              </w:rPr>
              <w:t>menţionat</w:t>
            </w:r>
            <w:proofErr w:type="spellEnd"/>
            <w:r w:rsidRPr="00B249F9">
              <w:rPr>
                <w:rFonts w:eastAsia="Times New Roman"/>
                <w:sz w:val="26"/>
                <w:szCs w:val="26"/>
                <w:lang w:val="ro-MD"/>
              </w:rPr>
              <w:t xml:space="preserve"> că, propunerile de a introduce unele </w:t>
            </w:r>
            <w:proofErr w:type="spellStart"/>
            <w:r w:rsidRPr="00B249F9">
              <w:rPr>
                <w:rFonts w:eastAsia="Times New Roman"/>
                <w:sz w:val="26"/>
                <w:szCs w:val="26"/>
                <w:lang w:val="ro-MD"/>
              </w:rPr>
              <w:t>restricţii</w:t>
            </w:r>
            <w:proofErr w:type="spellEnd"/>
            <w:r w:rsidRPr="00B249F9">
              <w:rPr>
                <w:rFonts w:eastAsia="Times New Roman"/>
                <w:sz w:val="26"/>
                <w:szCs w:val="26"/>
                <w:lang w:val="ro-MD"/>
              </w:rPr>
              <w:t xml:space="preserve"> nu contravin </w:t>
            </w:r>
            <w:proofErr w:type="spellStart"/>
            <w:r w:rsidRPr="00B249F9">
              <w:rPr>
                <w:rFonts w:eastAsia="Times New Roman"/>
                <w:sz w:val="26"/>
                <w:szCs w:val="26"/>
                <w:lang w:val="ro-MD"/>
              </w:rPr>
              <w:t>legislaţiei</w:t>
            </w:r>
            <w:proofErr w:type="spellEnd"/>
            <w:r w:rsidRPr="00B249F9">
              <w:rPr>
                <w:rFonts w:eastAsia="Times New Roman"/>
                <w:sz w:val="26"/>
                <w:szCs w:val="26"/>
                <w:lang w:val="ro-MD"/>
              </w:rPr>
              <w:t xml:space="preserve">, </w:t>
            </w:r>
            <w:proofErr w:type="spellStart"/>
            <w:r w:rsidRPr="00B249F9">
              <w:rPr>
                <w:rFonts w:eastAsia="Times New Roman"/>
                <w:sz w:val="26"/>
                <w:szCs w:val="26"/>
                <w:lang w:val="ro-MD"/>
              </w:rPr>
              <w:t>şi</w:t>
            </w:r>
            <w:proofErr w:type="spellEnd"/>
            <w:r w:rsidRPr="00B249F9">
              <w:rPr>
                <w:rFonts w:eastAsia="Times New Roman"/>
                <w:sz w:val="26"/>
                <w:szCs w:val="26"/>
                <w:lang w:val="ro-MD"/>
              </w:rPr>
              <w:t xml:space="preserve"> anume </w:t>
            </w:r>
            <w:proofErr w:type="spellStart"/>
            <w:r w:rsidRPr="00B249F9">
              <w:rPr>
                <w:rFonts w:eastAsia="Times New Roman"/>
                <w:sz w:val="26"/>
                <w:szCs w:val="26"/>
                <w:lang w:val="ro-MD"/>
              </w:rPr>
              <w:t>Constituţiei</w:t>
            </w:r>
            <w:proofErr w:type="spellEnd"/>
            <w:r w:rsidRPr="00B249F9">
              <w:rPr>
                <w:rFonts w:eastAsia="Times New Roman"/>
                <w:sz w:val="26"/>
                <w:szCs w:val="26"/>
                <w:lang w:val="ro-MD"/>
              </w:rPr>
              <w:t xml:space="preserve"> Republicii Moldova. </w:t>
            </w:r>
            <w:proofErr w:type="spellStart"/>
            <w:r w:rsidRPr="00B249F9">
              <w:rPr>
                <w:rFonts w:eastAsia="Times New Roman"/>
                <w:sz w:val="26"/>
                <w:szCs w:val="26"/>
                <w:lang w:val="ro-MD"/>
              </w:rPr>
              <w:t>Obligaţia</w:t>
            </w:r>
            <w:proofErr w:type="spellEnd"/>
            <w:r w:rsidRPr="00B249F9">
              <w:rPr>
                <w:rFonts w:eastAsia="Times New Roman"/>
                <w:sz w:val="26"/>
                <w:szCs w:val="26"/>
                <w:lang w:val="ro-MD"/>
              </w:rPr>
              <w:t xml:space="preserve"> Guvernului, expusă la art.129 alin. (2) din </w:t>
            </w:r>
            <w:proofErr w:type="spellStart"/>
            <w:r w:rsidRPr="00B249F9">
              <w:rPr>
                <w:rFonts w:eastAsia="Times New Roman"/>
                <w:sz w:val="26"/>
                <w:szCs w:val="26"/>
                <w:lang w:val="ro-MD"/>
              </w:rPr>
              <w:t>Constituţie</w:t>
            </w:r>
            <w:proofErr w:type="spellEnd"/>
            <w:r w:rsidRPr="00B249F9">
              <w:rPr>
                <w:rFonts w:eastAsia="Times New Roman"/>
                <w:sz w:val="26"/>
                <w:szCs w:val="26"/>
                <w:lang w:val="ro-MD"/>
              </w:rPr>
              <w:t xml:space="preserve"> este de a asigura protejarea intereselor </w:t>
            </w:r>
            <w:proofErr w:type="spellStart"/>
            <w:r w:rsidRPr="00B249F9">
              <w:rPr>
                <w:rFonts w:eastAsia="Times New Roman"/>
                <w:sz w:val="26"/>
                <w:szCs w:val="26"/>
                <w:lang w:val="ro-MD"/>
              </w:rPr>
              <w:t>naţionale</w:t>
            </w:r>
            <w:proofErr w:type="spellEnd"/>
            <w:r w:rsidRPr="00B249F9">
              <w:rPr>
                <w:rFonts w:eastAsia="Times New Roman"/>
                <w:sz w:val="26"/>
                <w:szCs w:val="26"/>
                <w:lang w:val="ro-MD"/>
              </w:rPr>
              <w:t xml:space="preserve"> în activitatea economică externă.</w:t>
            </w:r>
          </w:p>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 xml:space="preserve">Totodată, se consideră </w:t>
            </w:r>
            <w:proofErr w:type="spellStart"/>
            <w:r w:rsidRPr="00B249F9">
              <w:rPr>
                <w:rFonts w:eastAsia="Times New Roman"/>
                <w:sz w:val="26"/>
                <w:szCs w:val="26"/>
                <w:lang w:val="ro-MD"/>
              </w:rPr>
              <w:t>raţional</w:t>
            </w:r>
            <w:proofErr w:type="spellEnd"/>
            <w:r w:rsidRPr="00B249F9">
              <w:rPr>
                <w:rFonts w:eastAsia="Times New Roman"/>
                <w:sz w:val="26"/>
                <w:szCs w:val="26"/>
                <w:lang w:val="ro-MD"/>
              </w:rPr>
              <w:t xml:space="preserve"> de a majora taxa pentru eliberarea acestei </w:t>
            </w:r>
            <w:proofErr w:type="spellStart"/>
            <w:r w:rsidRPr="00B249F9">
              <w:rPr>
                <w:rFonts w:eastAsia="Times New Roman"/>
                <w:sz w:val="26"/>
                <w:szCs w:val="26"/>
                <w:lang w:val="ro-MD"/>
              </w:rPr>
              <w:t>licenţe</w:t>
            </w:r>
            <w:proofErr w:type="spellEnd"/>
            <w:r w:rsidRPr="00B249F9">
              <w:rPr>
                <w:rFonts w:eastAsia="Times New Roman"/>
                <w:sz w:val="26"/>
                <w:szCs w:val="26"/>
                <w:lang w:val="ro-MD"/>
              </w:rPr>
              <w:t xml:space="preserve"> de la  3250 lei </w:t>
            </w:r>
            <w:proofErr w:type="spellStart"/>
            <w:r w:rsidRPr="00B249F9">
              <w:rPr>
                <w:rFonts w:eastAsia="Times New Roman"/>
                <w:sz w:val="26"/>
                <w:szCs w:val="26"/>
                <w:lang w:val="ro-MD"/>
              </w:rPr>
              <w:t>pînă</w:t>
            </w:r>
            <w:proofErr w:type="spellEnd"/>
            <w:r w:rsidRPr="00B249F9">
              <w:rPr>
                <w:rFonts w:eastAsia="Times New Roman"/>
                <w:sz w:val="26"/>
                <w:szCs w:val="26"/>
                <w:lang w:val="ro-MD"/>
              </w:rPr>
              <w:t xml:space="preserve"> la 100 </w:t>
            </w:r>
            <w:r w:rsidR="00B12EA5">
              <w:rPr>
                <w:rFonts w:eastAsia="Times New Roman"/>
                <w:sz w:val="26"/>
                <w:szCs w:val="26"/>
                <w:lang w:val="ro-MD"/>
              </w:rPr>
              <w:t>0</w:t>
            </w:r>
            <w:r w:rsidRPr="00B249F9">
              <w:rPr>
                <w:rFonts w:eastAsia="Times New Roman"/>
                <w:sz w:val="26"/>
                <w:szCs w:val="26"/>
                <w:lang w:val="ro-MD"/>
              </w:rPr>
              <w:t xml:space="preserve">00 lei. </w:t>
            </w:r>
            <w:proofErr w:type="spellStart"/>
            <w:r w:rsidRPr="00B249F9">
              <w:rPr>
                <w:rFonts w:eastAsia="Times New Roman"/>
                <w:sz w:val="26"/>
                <w:szCs w:val="26"/>
                <w:lang w:val="ro-MD"/>
              </w:rPr>
              <w:t>Evidenţiem</w:t>
            </w:r>
            <w:proofErr w:type="spellEnd"/>
            <w:r w:rsidRPr="00B249F9">
              <w:rPr>
                <w:rFonts w:eastAsia="Times New Roman"/>
                <w:sz w:val="26"/>
                <w:szCs w:val="26"/>
                <w:lang w:val="ro-MD"/>
              </w:rPr>
              <w:t xml:space="preserve"> că, </w:t>
            </w:r>
            <w:proofErr w:type="spellStart"/>
            <w:r w:rsidRPr="00B249F9">
              <w:rPr>
                <w:rFonts w:eastAsia="Times New Roman"/>
                <w:sz w:val="26"/>
                <w:szCs w:val="26"/>
                <w:lang w:val="ro-MD"/>
              </w:rPr>
              <w:t>creşterea</w:t>
            </w:r>
            <w:proofErr w:type="spellEnd"/>
            <w:r w:rsidRPr="00B249F9">
              <w:rPr>
                <w:rFonts w:eastAsia="Times New Roman"/>
                <w:sz w:val="26"/>
                <w:szCs w:val="26"/>
                <w:lang w:val="ro-MD"/>
              </w:rPr>
              <w:t xml:space="preserve"> semnificativă a costului de </w:t>
            </w:r>
            <w:proofErr w:type="spellStart"/>
            <w:r w:rsidRPr="00B249F9">
              <w:rPr>
                <w:rFonts w:eastAsia="Times New Roman"/>
                <w:sz w:val="26"/>
                <w:szCs w:val="26"/>
                <w:lang w:val="ro-MD"/>
              </w:rPr>
              <w:t>licenţe</w:t>
            </w:r>
            <w:proofErr w:type="spellEnd"/>
            <w:r w:rsidRPr="00B249F9">
              <w:rPr>
                <w:rFonts w:eastAsia="Times New Roman"/>
                <w:sz w:val="26"/>
                <w:szCs w:val="26"/>
                <w:lang w:val="ro-MD"/>
              </w:rPr>
              <w:t xml:space="preserve"> va contribui, de asemenea, pentru a </w:t>
            </w:r>
            <w:proofErr w:type="spellStart"/>
            <w:r w:rsidRPr="00B249F9">
              <w:rPr>
                <w:rFonts w:eastAsia="Times New Roman"/>
                <w:sz w:val="26"/>
                <w:szCs w:val="26"/>
                <w:lang w:val="ro-MD"/>
              </w:rPr>
              <w:t>îmbunătăţi</w:t>
            </w:r>
            <w:proofErr w:type="spellEnd"/>
            <w:r w:rsidRPr="00B249F9">
              <w:rPr>
                <w:rFonts w:eastAsia="Times New Roman"/>
                <w:sz w:val="26"/>
                <w:szCs w:val="26"/>
                <w:lang w:val="ro-MD"/>
              </w:rPr>
              <w:t xml:space="preserve"> responsabilitatea titularilor de </w:t>
            </w:r>
            <w:proofErr w:type="spellStart"/>
            <w:r w:rsidRPr="00B249F9">
              <w:rPr>
                <w:rFonts w:eastAsia="Times New Roman"/>
                <w:sz w:val="26"/>
                <w:szCs w:val="26"/>
                <w:lang w:val="ro-MD"/>
              </w:rPr>
              <w:t>licenţe</w:t>
            </w:r>
            <w:proofErr w:type="spellEnd"/>
            <w:r w:rsidRPr="00B249F9">
              <w:rPr>
                <w:rFonts w:eastAsia="Times New Roman"/>
                <w:sz w:val="26"/>
                <w:szCs w:val="26"/>
                <w:lang w:val="ro-MD"/>
              </w:rPr>
              <w:t xml:space="preserve"> pentru respectarea </w:t>
            </w:r>
            <w:proofErr w:type="spellStart"/>
            <w:r w:rsidRPr="00B249F9">
              <w:rPr>
                <w:rFonts w:eastAsia="Times New Roman"/>
                <w:sz w:val="26"/>
                <w:szCs w:val="26"/>
                <w:lang w:val="ro-MD"/>
              </w:rPr>
              <w:t>legislaţiei</w:t>
            </w:r>
            <w:proofErr w:type="spellEnd"/>
            <w:r w:rsidRPr="00B249F9">
              <w:rPr>
                <w:rFonts w:eastAsia="Times New Roman"/>
                <w:sz w:val="26"/>
                <w:szCs w:val="26"/>
                <w:lang w:val="ro-MD"/>
              </w:rPr>
              <w:t xml:space="preserve"> în domeniul dat. Majorarea costului </w:t>
            </w:r>
            <w:proofErr w:type="spellStart"/>
            <w:r w:rsidRPr="00B249F9">
              <w:rPr>
                <w:rFonts w:eastAsia="Times New Roman"/>
                <w:sz w:val="26"/>
                <w:szCs w:val="26"/>
                <w:lang w:val="ro-MD"/>
              </w:rPr>
              <w:t>licenţei</w:t>
            </w:r>
            <w:proofErr w:type="spellEnd"/>
            <w:r w:rsidRPr="00B249F9">
              <w:rPr>
                <w:rFonts w:eastAsia="Times New Roman"/>
                <w:sz w:val="26"/>
                <w:szCs w:val="26"/>
                <w:lang w:val="ro-MD"/>
              </w:rPr>
              <w:t xml:space="preserve"> va echilibrată de profitul stabil </w:t>
            </w:r>
            <w:proofErr w:type="spellStart"/>
            <w:r w:rsidRPr="00B249F9">
              <w:rPr>
                <w:rFonts w:eastAsia="Times New Roman"/>
                <w:sz w:val="26"/>
                <w:szCs w:val="26"/>
                <w:lang w:val="ro-MD"/>
              </w:rPr>
              <w:t>obţinut</w:t>
            </w:r>
            <w:proofErr w:type="spellEnd"/>
            <w:r w:rsidRPr="00B249F9">
              <w:rPr>
                <w:rFonts w:eastAsia="Times New Roman"/>
                <w:sz w:val="26"/>
                <w:szCs w:val="26"/>
                <w:lang w:val="ro-MD"/>
              </w:rPr>
              <w:t xml:space="preserve"> de către </w:t>
            </w:r>
            <w:proofErr w:type="spellStart"/>
            <w:r w:rsidRPr="00B249F9">
              <w:rPr>
                <w:rFonts w:eastAsia="Times New Roman"/>
                <w:sz w:val="26"/>
                <w:szCs w:val="26"/>
                <w:lang w:val="ro-MD"/>
              </w:rPr>
              <w:t>deţinătorii</w:t>
            </w:r>
            <w:proofErr w:type="spellEnd"/>
            <w:r w:rsidRPr="00B249F9">
              <w:rPr>
                <w:rFonts w:eastAsia="Times New Roman"/>
                <w:sz w:val="26"/>
                <w:szCs w:val="26"/>
                <w:lang w:val="ro-MD"/>
              </w:rPr>
              <w:t xml:space="preserve"> de </w:t>
            </w:r>
            <w:proofErr w:type="spellStart"/>
            <w:r w:rsidRPr="00B249F9">
              <w:rPr>
                <w:rFonts w:eastAsia="Times New Roman"/>
                <w:sz w:val="26"/>
                <w:szCs w:val="26"/>
                <w:lang w:val="ro-MD"/>
              </w:rPr>
              <w:t>licenţă</w:t>
            </w:r>
            <w:proofErr w:type="spellEnd"/>
            <w:r w:rsidRPr="00B249F9">
              <w:rPr>
                <w:rFonts w:eastAsia="Times New Roman"/>
                <w:sz w:val="26"/>
                <w:szCs w:val="26"/>
                <w:lang w:val="ro-MD"/>
              </w:rPr>
              <w:t xml:space="preserve"> pentru comercializarea </w:t>
            </w:r>
            <w:proofErr w:type="spellStart"/>
            <w:r w:rsidRPr="00B249F9">
              <w:rPr>
                <w:rFonts w:eastAsia="Times New Roman"/>
                <w:sz w:val="26"/>
                <w:szCs w:val="26"/>
                <w:lang w:val="ro-MD"/>
              </w:rPr>
              <w:t>deşeurilor</w:t>
            </w:r>
            <w:proofErr w:type="spellEnd"/>
            <w:r w:rsidRPr="00B249F9">
              <w:rPr>
                <w:rFonts w:eastAsia="Times New Roman"/>
                <w:sz w:val="26"/>
                <w:szCs w:val="26"/>
                <w:lang w:val="ro-MD"/>
              </w:rPr>
              <w:t xml:space="preserve">. </w:t>
            </w:r>
          </w:p>
          <w:p w:rsidR="00C13687" w:rsidRPr="00B249F9" w:rsidRDefault="00C13687" w:rsidP="000D2E9C">
            <w:pPr>
              <w:pStyle w:val="NormalWeb"/>
              <w:rPr>
                <w:sz w:val="26"/>
                <w:szCs w:val="26"/>
                <w:lang w:val="ro-MD"/>
              </w:rPr>
            </w:pPr>
            <w:r w:rsidRPr="00B249F9">
              <w:rPr>
                <w:sz w:val="26"/>
                <w:szCs w:val="26"/>
                <w:lang w:val="ro-MD"/>
              </w:rPr>
              <w:t>Promovarea proiectului de le</w:t>
            </w:r>
            <w:r>
              <w:rPr>
                <w:sz w:val="26"/>
                <w:szCs w:val="26"/>
                <w:lang w:val="ro-MD"/>
              </w:rPr>
              <w:t>g</w:t>
            </w:r>
            <w:r w:rsidRPr="00B249F9">
              <w:rPr>
                <w:sz w:val="26"/>
                <w:szCs w:val="26"/>
                <w:lang w:val="ro-MD"/>
              </w:rPr>
              <w:t xml:space="preserve">e va asigura accesul la </w:t>
            </w:r>
            <w:proofErr w:type="spellStart"/>
            <w:r w:rsidRPr="00B249F9">
              <w:rPr>
                <w:sz w:val="26"/>
                <w:szCs w:val="26"/>
                <w:lang w:val="ro-MD"/>
              </w:rPr>
              <w:t>piaţa</w:t>
            </w:r>
            <w:proofErr w:type="spellEnd"/>
            <w:r w:rsidRPr="00B249F9">
              <w:rPr>
                <w:sz w:val="26"/>
                <w:szCs w:val="26"/>
                <w:lang w:val="ro-MD"/>
              </w:rPr>
              <w:t xml:space="preserve"> de comercializare </w:t>
            </w:r>
            <w:proofErr w:type="spellStart"/>
            <w:r w:rsidRPr="00B249F9">
              <w:rPr>
                <w:sz w:val="26"/>
                <w:szCs w:val="26"/>
                <w:lang w:val="ro-MD"/>
              </w:rPr>
              <w:t>şi</w:t>
            </w:r>
            <w:proofErr w:type="spellEnd"/>
            <w:r w:rsidRPr="00B249F9">
              <w:rPr>
                <w:sz w:val="26"/>
                <w:szCs w:val="26"/>
                <w:lang w:val="ro-MD"/>
              </w:rPr>
              <w:t xml:space="preserve"> de export ale </w:t>
            </w:r>
            <w:proofErr w:type="spellStart"/>
            <w:r w:rsidRPr="00B249F9">
              <w:rPr>
                <w:sz w:val="26"/>
                <w:szCs w:val="26"/>
                <w:lang w:val="ro-MD"/>
              </w:rPr>
              <w:t>deşeurilor</w:t>
            </w:r>
            <w:proofErr w:type="spellEnd"/>
            <w:r w:rsidRPr="00B249F9">
              <w:rPr>
                <w:sz w:val="26"/>
                <w:szCs w:val="26"/>
                <w:lang w:val="ro-MD"/>
              </w:rPr>
              <w:t xml:space="preserve"> de metale feroase </w:t>
            </w:r>
            <w:proofErr w:type="spellStart"/>
            <w:r w:rsidRPr="00B249F9">
              <w:rPr>
                <w:sz w:val="26"/>
                <w:szCs w:val="26"/>
                <w:lang w:val="ro-MD"/>
              </w:rPr>
              <w:t>şi</w:t>
            </w:r>
            <w:proofErr w:type="spellEnd"/>
            <w:r w:rsidRPr="00B249F9">
              <w:rPr>
                <w:sz w:val="26"/>
                <w:szCs w:val="26"/>
                <w:lang w:val="ro-MD"/>
              </w:rPr>
              <w:t xml:space="preserve"> neferoase, precum </w:t>
            </w:r>
            <w:proofErr w:type="spellStart"/>
            <w:r w:rsidRPr="00B249F9">
              <w:rPr>
                <w:sz w:val="26"/>
                <w:szCs w:val="26"/>
                <w:lang w:val="ro-MD"/>
              </w:rPr>
              <w:t>şi</w:t>
            </w:r>
            <w:proofErr w:type="spellEnd"/>
            <w:r w:rsidRPr="00B249F9">
              <w:rPr>
                <w:sz w:val="26"/>
                <w:szCs w:val="26"/>
                <w:lang w:val="ro-MD"/>
              </w:rPr>
              <w:t xml:space="preserve"> va contribui la de</w:t>
            </w:r>
            <w:r>
              <w:rPr>
                <w:sz w:val="26"/>
                <w:szCs w:val="26"/>
                <w:lang w:val="ro-MD"/>
              </w:rPr>
              <w:t>z</w:t>
            </w:r>
            <w:r w:rsidRPr="00B249F9">
              <w:rPr>
                <w:sz w:val="26"/>
                <w:szCs w:val="26"/>
                <w:lang w:val="ro-MD"/>
              </w:rPr>
              <w:t>volt</w:t>
            </w:r>
            <w:r>
              <w:rPr>
                <w:sz w:val="26"/>
                <w:szCs w:val="26"/>
                <w:lang w:val="ro-MD"/>
              </w:rPr>
              <w:t>a</w:t>
            </w:r>
            <w:r w:rsidRPr="00B249F9">
              <w:rPr>
                <w:sz w:val="26"/>
                <w:szCs w:val="26"/>
                <w:lang w:val="ro-MD"/>
              </w:rPr>
              <w:t xml:space="preserve">rea </w:t>
            </w:r>
            <w:proofErr w:type="spellStart"/>
            <w:r w:rsidRPr="00B249F9">
              <w:rPr>
                <w:sz w:val="26"/>
                <w:szCs w:val="26"/>
                <w:lang w:val="ro-MD"/>
              </w:rPr>
              <w:t>concurenţei</w:t>
            </w:r>
            <w:proofErr w:type="spellEnd"/>
            <w:r w:rsidRPr="00B249F9">
              <w:rPr>
                <w:sz w:val="26"/>
                <w:szCs w:val="26"/>
                <w:lang w:val="ro-MD"/>
              </w:rPr>
              <w:t xml:space="preserve"> loa</w:t>
            </w:r>
            <w:r>
              <w:rPr>
                <w:sz w:val="26"/>
                <w:szCs w:val="26"/>
                <w:lang w:val="ro-MD"/>
              </w:rPr>
              <w:t>ia</w:t>
            </w:r>
            <w:r w:rsidRPr="00B249F9">
              <w:rPr>
                <w:sz w:val="26"/>
                <w:szCs w:val="26"/>
                <w:lang w:val="ro-MD"/>
              </w:rPr>
              <w:t xml:space="preserve">le în domeniul dat, ceea ce va corespunde prevederilor </w:t>
            </w:r>
            <w:bookmarkStart w:id="0" w:name="Articolul_3."/>
            <w:r w:rsidRPr="00B249F9">
              <w:rPr>
                <w:sz w:val="26"/>
                <w:szCs w:val="26"/>
                <w:lang w:val="ro-MD"/>
              </w:rPr>
              <w:t>art.</w:t>
            </w:r>
            <w:bookmarkEnd w:id="0"/>
            <w:r w:rsidRPr="00B249F9">
              <w:rPr>
                <w:sz w:val="26"/>
                <w:szCs w:val="26"/>
                <w:lang w:val="ro-MD"/>
              </w:rPr>
              <w:t xml:space="preserve">3 alin.(1) al Legii nr.183/2012 care prevede că, „Statul asigură libertatea </w:t>
            </w:r>
            <w:proofErr w:type="spellStart"/>
            <w:r w:rsidRPr="00B249F9">
              <w:rPr>
                <w:sz w:val="26"/>
                <w:szCs w:val="26"/>
                <w:lang w:val="ro-MD"/>
              </w:rPr>
              <w:t>activităţii</w:t>
            </w:r>
            <w:proofErr w:type="spellEnd"/>
            <w:r w:rsidRPr="00B249F9">
              <w:rPr>
                <w:sz w:val="26"/>
                <w:szCs w:val="26"/>
                <w:lang w:val="ro-MD"/>
              </w:rPr>
              <w:t xml:space="preserve"> de întreprinzător, </w:t>
            </w:r>
            <w:proofErr w:type="spellStart"/>
            <w:r w:rsidRPr="00B249F9">
              <w:rPr>
                <w:sz w:val="26"/>
                <w:szCs w:val="26"/>
                <w:lang w:val="ro-MD"/>
              </w:rPr>
              <w:t>protecţia</w:t>
            </w:r>
            <w:proofErr w:type="spellEnd"/>
            <w:r w:rsidRPr="00B249F9">
              <w:rPr>
                <w:sz w:val="26"/>
                <w:szCs w:val="26"/>
                <w:lang w:val="ro-MD"/>
              </w:rPr>
              <w:t xml:space="preserve"> </w:t>
            </w:r>
            <w:proofErr w:type="spellStart"/>
            <w:r w:rsidRPr="00B249F9">
              <w:rPr>
                <w:sz w:val="26"/>
                <w:szCs w:val="26"/>
                <w:lang w:val="ro-MD"/>
              </w:rPr>
              <w:t>concurenţei</w:t>
            </w:r>
            <w:proofErr w:type="spellEnd"/>
            <w:r w:rsidRPr="00B249F9">
              <w:rPr>
                <w:sz w:val="26"/>
                <w:szCs w:val="26"/>
                <w:lang w:val="ro-MD"/>
              </w:rPr>
              <w:t xml:space="preserve"> loiale </w:t>
            </w:r>
            <w:proofErr w:type="spellStart"/>
            <w:r w:rsidRPr="00B249F9">
              <w:rPr>
                <w:sz w:val="26"/>
                <w:szCs w:val="26"/>
                <w:lang w:val="ro-MD"/>
              </w:rPr>
              <w:t>şi</w:t>
            </w:r>
            <w:proofErr w:type="spellEnd"/>
            <w:r w:rsidRPr="00B249F9">
              <w:rPr>
                <w:sz w:val="26"/>
                <w:szCs w:val="26"/>
                <w:lang w:val="ro-MD"/>
              </w:rPr>
              <w:t xml:space="preserve"> apărarea drepturilor </w:t>
            </w:r>
            <w:proofErr w:type="spellStart"/>
            <w:r w:rsidRPr="00B249F9">
              <w:rPr>
                <w:sz w:val="26"/>
                <w:szCs w:val="26"/>
                <w:lang w:val="ro-MD"/>
              </w:rPr>
              <w:t>şi</w:t>
            </w:r>
            <w:proofErr w:type="spellEnd"/>
            <w:r w:rsidRPr="00B249F9">
              <w:rPr>
                <w:sz w:val="26"/>
                <w:szCs w:val="26"/>
                <w:lang w:val="ro-MD"/>
              </w:rPr>
              <w:t xml:space="preserve"> intereselor întreprinderilor </w:t>
            </w:r>
            <w:proofErr w:type="spellStart"/>
            <w:r w:rsidRPr="00B249F9">
              <w:rPr>
                <w:sz w:val="26"/>
                <w:szCs w:val="26"/>
                <w:lang w:val="ro-MD"/>
              </w:rPr>
              <w:t>şi</w:t>
            </w:r>
            <w:proofErr w:type="spellEnd"/>
            <w:r w:rsidRPr="00B249F9">
              <w:rPr>
                <w:sz w:val="26"/>
                <w:szCs w:val="26"/>
                <w:lang w:val="ro-MD"/>
              </w:rPr>
              <w:t xml:space="preserve"> ale </w:t>
            </w:r>
            <w:proofErr w:type="spellStart"/>
            <w:r w:rsidRPr="00B249F9">
              <w:rPr>
                <w:sz w:val="26"/>
                <w:szCs w:val="26"/>
                <w:lang w:val="ro-MD"/>
              </w:rPr>
              <w:t>cetăţenilor</w:t>
            </w:r>
            <w:proofErr w:type="spellEnd"/>
            <w:r w:rsidRPr="00B249F9">
              <w:rPr>
                <w:sz w:val="26"/>
                <w:szCs w:val="26"/>
                <w:lang w:val="ro-MD"/>
              </w:rPr>
              <w:t xml:space="preserve"> contra practicilor </w:t>
            </w:r>
            <w:proofErr w:type="spellStart"/>
            <w:r w:rsidRPr="00B249F9">
              <w:rPr>
                <w:sz w:val="26"/>
                <w:szCs w:val="26"/>
                <w:lang w:val="ro-MD"/>
              </w:rPr>
              <w:t>anticoncurenţiale</w:t>
            </w:r>
            <w:proofErr w:type="spellEnd"/>
            <w:r w:rsidRPr="00B249F9">
              <w:rPr>
                <w:sz w:val="26"/>
                <w:szCs w:val="26"/>
                <w:lang w:val="ro-MD"/>
              </w:rPr>
              <w:t xml:space="preserve"> </w:t>
            </w:r>
            <w:proofErr w:type="spellStart"/>
            <w:r w:rsidRPr="00B249F9">
              <w:rPr>
                <w:sz w:val="26"/>
                <w:szCs w:val="26"/>
                <w:lang w:val="ro-MD"/>
              </w:rPr>
              <w:t>şi</w:t>
            </w:r>
            <w:proofErr w:type="spellEnd"/>
            <w:r w:rsidRPr="00B249F9">
              <w:rPr>
                <w:sz w:val="26"/>
                <w:szCs w:val="26"/>
                <w:lang w:val="ro-MD"/>
              </w:rPr>
              <w:t xml:space="preserve"> </w:t>
            </w:r>
            <w:proofErr w:type="spellStart"/>
            <w:r w:rsidRPr="00B249F9">
              <w:rPr>
                <w:sz w:val="26"/>
                <w:szCs w:val="26"/>
                <w:lang w:val="ro-MD"/>
              </w:rPr>
              <w:t>concurenţei</w:t>
            </w:r>
            <w:proofErr w:type="spellEnd"/>
            <w:r w:rsidRPr="00B249F9">
              <w:rPr>
                <w:sz w:val="26"/>
                <w:szCs w:val="26"/>
                <w:lang w:val="ro-MD"/>
              </w:rPr>
              <w:t xml:space="preserve"> neloiale”. </w:t>
            </w:r>
          </w:p>
        </w:tc>
      </w:tr>
      <w:tr w:rsidR="00C13687" w:rsidRPr="00B249F9" w:rsidTr="000D2E9C">
        <w:trPr>
          <w:trHeight w:val="25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lastRenderedPageBreak/>
              <w:t>5.</w:t>
            </w:r>
            <w:r w:rsidRPr="00B249F9">
              <w:rPr>
                <w:rFonts w:eastAsia="Times New Roman"/>
                <w:b/>
                <w:sz w:val="26"/>
                <w:szCs w:val="26"/>
                <w:lang w:val="ro-MD"/>
              </w:rPr>
              <w:t xml:space="preserve"> Fundamentarea </w:t>
            </w:r>
            <w:proofErr w:type="spellStart"/>
            <w:r w:rsidRPr="00B249F9">
              <w:rPr>
                <w:rFonts w:eastAsia="Times New Roman"/>
                <w:b/>
                <w:sz w:val="26"/>
                <w:szCs w:val="26"/>
                <w:lang w:val="ro-MD"/>
              </w:rPr>
              <w:t>economico</w:t>
            </w:r>
            <w:proofErr w:type="spellEnd"/>
            <w:r w:rsidRPr="00B249F9">
              <w:rPr>
                <w:rFonts w:eastAsia="Times New Roman"/>
                <w:b/>
                <w:sz w:val="26"/>
                <w:szCs w:val="26"/>
                <w:lang w:val="ro-MD"/>
              </w:rPr>
              <w:t>-financiară</w:t>
            </w:r>
          </w:p>
        </w:tc>
      </w:tr>
      <w:tr w:rsidR="00C13687" w:rsidRPr="00B249F9" w:rsidTr="000D2E9C">
        <w:trPr>
          <w:trHeight w:val="90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r w:rsidRPr="00B249F9">
              <w:rPr>
                <w:sz w:val="26"/>
                <w:szCs w:val="26"/>
                <w:lang w:val="ro-MD"/>
              </w:rPr>
              <w:t>Implementarea prevederilor proiectului nu necesită cheltuieli financiare suplimentare din bugetul de stat. În urma aprobării proiectului de lege bu</w:t>
            </w:r>
            <w:r w:rsidR="00B12EA5">
              <w:rPr>
                <w:sz w:val="26"/>
                <w:szCs w:val="26"/>
                <w:lang w:val="ro-MD"/>
              </w:rPr>
              <w:t xml:space="preserve">getul de stat va avea doar de </w:t>
            </w:r>
            <w:proofErr w:type="spellStart"/>
            <w:r w:rsidR="00B12EA5">
              <w:rPr>
                <w:sz w:val="26"/>
                <w:szCs w:val="26"/>
                <w:lang w:val="ro-MD"/>
              </w:rPr>
              <w:t>cî</w:t>
            </w:r>
            <w:r w:rsidRPr="00B249F9">
              <w:rPr>
                <w:sz w:val="26"/>
                <w:szCs w:val="26"/>
                <w:lang w:val="ro-MD"/>
              </w:rPr>
              <w:t>ştigat</w:t>
            </w:r>
            <w:proofErr w:type="spellEnd"/>
            <w:r w:rsidRPr="00B249F9">
              <w:rPr>
                <w:sz w:val="26"/>
                <w:szCs w:val="26"/>
                <w:lang w:val="ro-MD"/>
              </w:rPr>
              <w:t>.</w:t>
            </w:r>
          </w:p>
        </w:tc>
      </w:tr>
      <w:tr w:rsidR="00C13687" w:rsidRPr="00B249F9" w:rsidTr="000D2E9C">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6.</w:t>
            </w:r>
            <w:r w:rsidRPr="00B249F9">
              <w:rPr>
                <w:rFonts w:eastAsia="Times New Roman"/>
                <w:b/>
                <w:sz w:val="26"/>
                <w:szCs w:val="26"/>
                <w:lang w:val="ro-MD"/>
              </w:rPr>
              <w:t xml:space="preserve"> Modul de încorporare a actului în cadrul normativ în vigoare </w:t>
            </w:r>
          </w:p>
        </w:tc>
      </w:tr>
      <w:tr w:rsidR="00C13687" w:rsidRPr="00B249F9" w:rsidTr="000D2E9C">
        <w:trPr>
          <w:trHeight w:val="22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pStyle w:val="cb"/>
              <w:ind w:firstLine="644"/>
              <w:jc w:val="both"/>
              <w:rPr>
                <w:b w:val="0"/>
                <w:sz w:val="26"/>
                <w:szCs w:val="26"/>
                <w:lang w:val="ro-MD"/>
              </w:rPr>
            </w:pPr>
            <w:r w:rsidRPr="00B249F9">
              <w:rPr>
                <w:b w:val="0"/>
                <w:sz w:val="26"/>
                <w:szCs w:val="26"/>
                <w:lang w:val="ro-MD"/>
              </w:rPr>
              <w:t xml:space="preserve">Urmare aprobării proiectului de lege nu va fi necesară modificarea </w:t>
            </w:r>
            <w:proofErr w:type="spellStart"/>
            <w:r w:rsidRPr="00B249F9">
              <w:rPr>
                <w:b w:val="0"/>
                <w:sz w:val="26"/>
                <w:szCs w:val="26"/>
                <w:lang w:val="ro-MD"/>
              </w:rPr>
              <w:t>şi</w:t>
            </w:r>
            <w:proofErr w:type="spellEnd"/>
            <w:r w:rsidRPr="00B249F9">
              <w:rPr>
                <w:b w:val="0"/>
                <w:sz w:val="26"/>
                <w:szCs w:val="26"/>
                <w:lang w:val="ro-MD"/>
              </w:rPr>
              <w:t xml:space="preserve"> completarea altor acte normative.</w:t>
            </w:r>
          </w:p>
        </w:tc>
      </w:tr>
      <w:tr w:rsidR="00C13687" w:rsidRPr="00B249F9" w:rsidTr="000D2E9C">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7.</w:t>
            </w:r>
            <w:r w:rsidRPr="00B249F9">
              <w:rPr>
                <w:rFonts w:eastAsia="Times New Roman"/>
                <w:b/>
                <w:sz w:val="26"/>
                <w:szCs w:val="26"/>
                <w:lang w:val="ro-MD"/>
              </w:rPr>
              <w:t xml:space="preserve"> Avizarea </w:t>
            </w:r>
            <w:proofErr w:type="spellStart"/>
            <w:r w:rsidRPr="00B249F9">
              <w:rPr>
                <w:rFonts w:eastAsia="Times New Roman"/>
                <w:b/>
                <w:sz w:val="26"/>
                <w:szCs w:val="26"/>
                <w:lang w:val="ro-MD"/>
              </w:rPr>
              <w:t>şi</w:t>
            </w:r>
            <w:proofErr w:type="spellEnd"/>
            <w:r w:rsidRPr="00B249F9">
              <w:rPr>
                <w:rFonts w:eastAsia="Times New Roman"/>
                <w:b/>
                <w:sz w:val="26"/>
                <w:szCs w:val="26"/>
                <w:lang w:val="ro-MD"/>
              </w:rPr>
              <w:t xml:space="preserve"> consultarea publică a proiectului </w:t>
            </w:r>
          </w:p>
        </w:tc>
      </w:tr>
      <w:tr w:rsidR="00C13687" w:rsidRPr="00B249F9" w:rsidTr="000D2E9C">
        <w:trPr>
          <w:trHeight w:val="25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p>
        </w:tc>
      </w:tr>
      <w:tr w:rsidR="00C13687" w:rsidRPr="00B249F9" w:rsidTr="000D2E9C">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8.</w:t>
            </w:r>
            <w:r w:rsidRPr="00B249F9">
              <w:rPr>
                <w:rFonts w:eastAsia="Times New Roman"/>
                <w:b/>
                <w:sz w:val="26"/>
                <w:szCs w:val="26"/>
                <w:lang w:val="ro-MD"/>
              </w:rPr>
              <w:t xml:space="preserve"> Constatările expertizei </w:t>
            </w:r>
            <w:proofErr w:type="spellStart"/>
            <w:r w:rsidRPr="00B249F9">
              <w:rPr>
                <w:rFonts w:eastAsia="Times New Roman"/>
                <w:b/>
                <w:sz w:val="26"/>
                <w:szCs w:val="26"/>
                <w:lang w:val="ro-MD"/>
              </w:rPr>
              <w:t>anticorupţie</w:t>
            </w:r>
            <w:proofErr w:type="spellEnd"/>
          </w:p>
        </w:tc>
      </w:tr>
      <w:tr w:rsidR="00C13687" w:rsidRPr="00B249F9" w:rsidTr="000D2E9C">
        <w:trPr>
          <w:trHeight w:val="46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p>
        </w:tc>
      </w:tr>
      <w:tr w:rsidR="00C13687" w:rsidRPr="00B249F9" w:rsidTr="000D2E9C">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9.</w:t>
            </w:r>
            <w:r w:rsidRPr="00B249F9">
              <w:rPr>
                <w:rFonts w:eastAsia="Times New Roman"/>
                <w:b/>
                <w:sz w:val="26"/>
                <w:szCs w:val="26"/>
                <w:lang w:val="ro-MD"/>
              </w:rPr>
              <w:t xml:space="preserve"> Constatările expertizei de compatibilitate</w:t>
            </w:r>
          </w:p>
        </w:tc>
      </w:tr>
      <w:tr w:rsidR="00C13687" w:rsidRPr="00B249F9" w:rsidTr="000D2E9C">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r w:rsidRPr="00B249F9">
              <w:rPr>
                <w:rFonts w:eastAsia="Times New Roman"/>
                <w:sz w:val="26"/>
                <w:szCs w:val="26"/>
                <w:lang w:val="ro-MD"/>
              </w:rPr>
              <w:t xml:space="preserve">Proiectul de lege nu conține norme privind armonizarea legislației naționale cu </w:t>
            </w:r>
            <w:proofErr w:type="spellStart"/>
            <w:r w:rsidRPr="00B249F9">
              <w:rPr>
                <w:rFonts w:eastAsia="Times New Roman"/>
                <w:sz w:val="26"/>
                <w:szCs w:val="26"/>
                <w:lang w:val="ro-MD"/>
              </w:rPr>
              <w:t>legislaţia</w:t>
            </w:r>
            <w:proofErr w:type="spellEnd"/>
            <w:r w:rsidRPr="00B249F9">
              <w:rPr>
                <w:rFonts w:eastAsia="Times New Roman"/>
                <w:sz w:val="26"/>
                <w:szCs w:val="26"/>
                <w:lang w:val="ro-MD"/>
              </w:rPr>
              <w:t xml:space="preserve"> Uniunii Europene.</w:t>
            </w:r>
          </w:p>
        </w:tc>
      </w:tr>
      <w:tr w:rsidR="00C13687" w:rsidRPr="00B249F9" w:rsidTr="000D2E9C">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C13687" w:rsidRPr="00B249F9" w:rsidRDefault="00C13687" w:rsidP="000D2E9C">
            <w:pPr>
              <w:ind w:firstLine="644"/>
              <w:rPr>
                <w:rFonts w:eastAsia="Times New Roman"/>
                <w:b/>
                <w:sz w:val="26"/>
                <w:szCs w:val="26"/>
                <w:lang w:val="ro-MD"/>
              </w:rPr>
            </w:pPr>
            <w:r w:rsidRPr="00B249F9">
              <w:rPr>
                <w:rFonts w:eastAsia="Times New Roman"/>
                <w:b/>
                <w:bCs/>
                <w:sz w:val="26"/>
                <w:szCs w:val="26"/>
                <w:lang w:val="ro-MD"/>
              </w:rPr>
              <w:t>10.</w:t>
            </w:r>
            <w:r w:rsidRPr="00B249F9">
              <w:rPr>
                <w:rFonts w:eastAsia="Times New Roman"/>
                <w:b/>
                <w:sz w:val="26"/>
                <w:szCs w:val="26"/>
                <w:lang w:val="ro-MD"/>
              </w:rPr>
              <w:t xml:space="preserve"> Constatările expertizei juridice</w:t>
            </w:r>
          </w:p>
        </w:tc>
      </w:tr>
      <w:tr w:rsidR="00C13687" w:rsidRPr="00B249F9" w:rsidTr="000D2E9C">
        <w:trPr>
          <w:trHeight w:val="18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3687" w:rsidRPr="00B249F9" w:rsidRDefault="00C13687" w:rsidP="000D2E9C">
            <w:pPr>
              <w:ind w:firstLine="644"/>
              <w:jc w:val="both"/>
              <w:rPr>
                <w:rFonts w:eastAsia="Times New Roman"/>
                <w:sz w:val="26"/>
                <w:szCs w:val="26"/>
                <w:lang w:val="ro-MD"/>
              </w:rPr>
            </w:pPr>
          </w:p>
        </w:tc>
      </w:tr>
      <w:tr w:rsidR="00C13687" w:rsidRPr="00B249F9" w:rsidTr="000D2E9C">
        <w:trPr>
          <w:trHeight w:val="31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C13687" w:rsidRPr="00B249F9" w:rsidRDefault="00C13687" w:rsidP="000D2E9C">
            <w:pPr>
              <w:ind w:firstLine="644"/>
              <w:jc w:val="both"/>
              <w:rPr>
                <w:rFonts w:eastAsia="Times New Roman"/>
                <w:sz w:val="26"/>
                <w:szCs w:val="26"/>
                <w:lang w:val="ro-MD"/>
              </w:rPr>
            </w:pPr>
            <w:r w:rsidRPr="00B249F9">
              <w:rPr>
                <w:rFonts w:eastAsia="Times New Roman"/>
                <w:b/>
                <w:bCs/>
                <w:sz w:val="26"/>
                <w:szCs w:val="26"/>
                <w:lang w:val="ro-MD"/>
              </w:rPr>
              <w:t>11.</w:t>
            </w:r>
            <w:r w:rsidRPr="00B249F9">
              <w:rPr>
                <w:rFonts w:eastAsia="Times New Roman"/>
                <w:b/>
                <w:sz w:val="26"/>
                <w:szCs w:val="26"/>
                <w:lang w:val="ro-MD"/>
              </w:rPr>
              <w:t xml:space="preserve"> Constatările altor expertize</w:t>
            </w:r>
          </w:p>
        </w:tc>
      </w:tr>
      <w:tr w:rsidR="00C13687" w:rsidRPr="00B910D9" w:rsidTr="000D2E9C">
        <w:trPr>
          <w:trHeight w:val="19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3687" w:rsidRPr="00B910D9" w:rsidRDefault="00C13687" w:rsidP="000D2E9C">
            <w:pPr>
              <w:ind w:firstLine="644"/>
              <w:jc w:val="both"/>
              <w:rPr>
                <w:rFonts w:eastAsia="Times New Roman"/>
                <w:b/>
                <w:bCs/>
                <w:sz w:val="28"/>
                <w:szCs w:val="28"/>
                <w:lang w:val="ro-MD"/>
              </w:rPr>
            </w:pPr>
          </w:p>
        </w:tc>
      </w:tr>
    </w:tbl>
    <w:p w:rsidR="00C13687" w:rsidRPr="0097456E" w:rsidRDefault="00C13687" w:rsidP="00C13687">
      <w:pPr>
        <w:tabs>
          <w:tab w:val="left" w:pos="884"/>
          <w:tab w:val="left" w:pos="1196"/>
        </w:tabs>
        <w:ind w:firstLine="540"/>
        <w:jc w:val="both"/>
        <w:rPr>
          <w:sz w:val="28"/>
          <w:szCs w:val="28"/>
        </w:rPr>
      </w:pPr>
    </w:p>
    <w:p w:rsidR="00C13687" w:rsidRPr="00594E46" w:rsidRDefault="002520C0" w:rsidP="00CE784C">
      <w:pPr>
        <w:ind w:left="720" w:right="288" w:firstLine="720"/>
        <w:jc w:val="both"/>
      </w:pPr>
      <w:r w:rsidRPr="00733341">
        <w:rPr>
          <w:b/>
        </w:rPr>
        <w:t>Secretar de Stat</w:t>
      </w:r>
      <w:r w:rsidRPr="00733341">
        <w:rPr>
          <w:b/>
        </w:rPr>
        <w:tab/>
      </w:r>
      <w:r w:rsidRPr="00733341">
        <w:rPr>
          <w:b/>
        </w:rPr>
        <w:tab/>
      </w:r>
      <w:r w:rsidRPr="00733341">
        <w:rPr>
          <w:b/>
        </w:rPr>
        <w:tab/>
      </w:r>
      <w:r w:rsidRPr="00733341">
        <w:rPr>
          <w:b/>
        </w:rPr>
        <w:tab/>
      </w:r>
      <w:r w:rsidRPr="00733341">
        <w:rPr>
          <w:b/>
        </w:rPr>
        <w:tab/>
      </w:r>
      <w:r w:rsidRPr="00733341">
        <w:rPr>
          <w:b/>
        </w:rPr>
        <w:tab/>
        <w:t>Alexandru SONIC</w:t>
      </w:r>
      <w:bookmarkStart w:id="1" w:name="_GoBack"/>
      <w:bookmarkEnd w:id="1"/>
    </w:p>
    <w:sectPr w:rsidR="00C13687" w:rsidRPr="00594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22FA"/>
    <w:multiLevelType w:val="hybridMultilevel"/>
    <w:tmpl w:val="0AE2EEB6"/>
    <w:lvl w:ilvl="0" w:tplc="04180017">
      <w:start w:val="1"/>
      <w:numFmt w:val="lowerLetter"/>
      <w:lvlText w:val="%1)"/>
      <w:lvlJc w:val="left"/>
      <w:pPr>
        <w:ind w:left="1344" w:hanging="360"/>
      </w:p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1" w15:restartNumberingAfterBreak="0">
    <w:nsid w:val="228F76FE"/>
    <w:multiLevelType w:val="hybridMultilevel"/>
    <w:tmpl w:val="8E4A3E14"/>
    <w:lvl w:ilvl="0" w:tplc="04180017">
      <w:start w:val="1"/>
      <w:numFmt w:val="lowerLetter"/>
      <w:lvlText w:val="%1)"/>
      <w:lvlJc w:val="left"/>
      <w:pPr>
        <w:ind w:left="1552" w:hanging="360"/>
      </w:pPr>
    </w:lvl>
    <w:lvl w:ilvl="1" w:tplc="04180019" w:tentative="1">
      <w:start w:val="1"/>
      <w:numFmt w:val="lowerLetter"/>
      <w:lvlText w:val="%2."/>
      <w:lvlJc w:val="left"/>
      <w:pPr>
        <w:ind w:left="2272" w:hanging="360"/>
      </w:pPr>
    </w:lvl>
    <w:lvl w:ilvl="2" w:tplc="0418001B" w:tentative="1">
      <w:start w:val="1"/>
      <w:numFmt w:val="lowerRoman"/>
      <w:lvlText w:val="%3."/>
      <w:lvlJc w:val="right"/>
      <w:pPr>
        <w:ind w:left="2992" w:hanging="180"/>
      </w:pPr>
    </w:lvl>
    <w:lvl w:ilvl="3" w:tplc="0418000F" w:tentative="1">
      <w:start w:val="1"/>
      <w:numFmt w:val="decimal"/>
      <w:lvlText w:val="%4."/>
      <w:lvlJc w:val="left"/>
      <w:pPr>
        <w:ind w:left="3712" w:hanging="360"/>
      </w:pPr>
    </w:lvl>
    <w:lvl w:ilvl="4" w:tplc="04180019" w:tentative="1">
      <w:start w:val="1"/>
      <w:numFmt w:val="lowerLetter"/>
      <w:lvlText w:val="%5."/>
      <w:lvlJc w:val="left"/>
      <w:pPr>
        <w:ind w:left="4432" w:hanging="360"/>
      </w:pPr>
    </w:lvl>
    <w:lvl w:ilvl="5" w:tplc="0418001B" w:tentative="1">
      <w:start w:val="1"/>
      <w:numFmt w:val="lowerRoman"/>
      <w:lvlText w:val="%6."/>
      <w:lvlJc w:val="right"/>
      <w:pPr>
        <w:ind w:left="5152" w:hanging="180"/>
      </w:pPr>
    </w:lvl>
    <w:lvl w:ilvl="6" w:tplc="0418000F" w:tentative="1">
      <w:start w:val="1"/>
      <w:numFmt w:val="decimal"/>
      <w:lvlText w:val="%7."/>
      <w:lvlJc w:val="left"/>
      <w:pPr>
        <w:ind w:left="5872" w:hanging="360"/>
      </w:pPr>
    </w:lvl>
    <w:lvl w:ilvl="7" w:tplc="04180019" w:tentative="1">
      <w:start w:val="1"/>
      <w:numFmt w:val="lowerLetter"/>
      <w:lvlText w:val="%8."/>
      <w:lvlJc w:val="left"/>
      <w:pPr>
        <w:ind w:left="6592" w:hanging="360"/>
      </w:pPr>
    </w:lvl>
    <w:lvl w:ilvl="8" w:tplc="0418001B" w:tentative="1">
      <w:start w:val="1"/>
      <w:numFmt w:val="lowerRoman"/>
      <w:lvlText w:val="%9."/>
      <w:lvlJc w:val="right"/>
      <w:pPr>
        <w:ind w:left="7312" w:hanging="180"/>
      </w:pPr>
    </w:lvl>
  </w:abstractNum>
  <w:abstractNum w:abstractNumId="2" w15:restartNumberingAfterBreak="0">
    <w:nsid w:val="3637108D"/>
    <w:multiLevelType w:val="hybridMultilevel"/>
    <w:tmpl w:val="55181558"/>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15:restartNumberingAfterBreak="0">
    <w:nsid w:val="37422F6A"/>
    <w:multiLevelType w:val="singleLevel"/>
    <w:tmpl w:val="5D9488E6"/>
    <w:lvl w:ilvl="0">
      <w:numFmt w:val="bullet"/>
      <w:lvlText w:val="-"/>
      <w:lvlJc w:val="left"/>
      <w:pPr>
        <w:tabs>
          <w:tab w:val="num" w:pos="1249"/>
        </w:tabs>
        <w:ind w:left="1249" w:hanging="480"/>
      </w:pPr>
    </w:lvl>
  </w:abstractNum>
  <w:abstractNum w:abstractNumId="4" w15:restartNumberingAfterBreak="0">
    <w:nsid w:val="42765B42"/>
    <w:multiLevelType w:val="hybridMultilevel"/>
    <w:tmpl w:val="1C10E35C"/>
    <w:lvl w:ilvl="0" w:tplc="F81866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51E535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23113F"/>
    <w:multiLevelType w:val="hybridMultilevel"/>
    <w:tmpl w:val="ABD6A39C"/>
    <w:lvl w:ilvl="0" w:tplc="26A28A08">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07129"/>
    <w:multiLevelType w:val="multilevel"/>
    <w:tmpl w:val="FC3E80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7F506E"/>
    <w:multiLevelType w:val="hybridMultilevel"/>
    <w:tmpl w:val="ADCCD686"/>
    <w:lvl w:ilvl="0" w:tplc="874017B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14164A"/>
    <w:multiLevelType w:val="multilevel"/>
    <w:tmpl w:val="6F14D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F81CDE"/>
    <w:multiLevelType w:val="multilevel"/>
    <w:tmpl w:val="51A81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5"/>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5F74C4"/>
    <w:multiLevelType w:val="multilevel"/>
    <w:tmpl w:val="C5386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166CEF"/>
    <w:multiLevelType w:val="hybridMultilevel"/>
    <w:tmpl w:val="A210C8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A44266"/>
    <w:multiLevelType w:val="multilevel"/>
    <w:tmpl w:val="17CE7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73302"/>
    <w:multiLevelType w:val="hybridMultilevel"/>
    <w:tmpl w:val="475E42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60E6F70"/>
    <w:multiLevelType w:val="hybridMultilevel"/>
    <w:tmpl w:val="AD844EFA"/>
    <w:lvl w:ilvl="0" w:tplc="407A07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F573A9D"/>
    <w:multiLevelType w:val="hybridMultilevel"/>
    <w:tmpl w:val="2A789234"/>
    <w:lvl w:ilvl="0" w:tplc="0FF46E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6DA4CFC"/>
    <w:multiLevelType w:val="hybridMultilevel"/>
    <w:tmpl w:val="66AE899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EDB5CF7"/>
    <w:multiLevelType w:val="hybridMultilevel"/>
    <w:tmpl w:val="7E6ED12A"/>
    <w:lvl w:ilvl="0" w:tplc="0418000F">
      <w:start w:val="1"/>
      <w:numFmt w:val="decimal"/>
      <w:lvlText w:val="%1."/>
      <w:lvlJc w:val="left"/>
      <w:pPr>
        <w:ind w:left="896" w:hanging="360"/>
      </w:pPr>
    </w:lvl>
    <w:lvl w:ilvl="1" w:tplc="04180019" w:tentative="1">
      <w:start w:val="1"/>
      <w:numFmt w:val="lowerLetter"/>
      <w:lvlText w:val="%2."/>
      <w:lvlJc w:val="left"/>
      <w:pPr>
        <w:ind w:left="1616" w:hanging="360"/>
      </w:pPr>
    </w:lvl>
    <w:lvl w:ilvl="2" w:tplc="0418001B" w:tentative="1">
      <w:start w:val="1"/>
      <w:numFmt w:val="lowerRoman"/>
      <w:lvlText w:val="%3."/>
      <w:lvlJc w:val="right"/>
      <w:pPr>
        <w:ind w:left="2336" w:hanging="180"/>
      </w:pPr>
    </w:lvl>
    <w:lvl w:ilvl="3" w:tplc="0418000F" w:tentative="1">
      <w:start w:val="1"/>
      <w:numFmt w:val="decimal"/>
      <w:lvlText w:val="%4."/>
      <w:lvlJc w:val="left"/>
      <w:pPr>
        <w:ind w:left="3056" w:hanging="360"/>
      </w:pPr>
    </w:lvl>
    <w:lvl w:ilvl="4" w:tplc="04180019" w:tentative="1">
      <w:start w:val="1"/>
      <w:numFmt w:val="lowerLetter"/>
      <w:lvlText w:val="%5."/>
      <w:lvlJc w:val="left"/>
      <w:pPr>
        <w:ind w:left="3776" w:hanging="360"/>
      </w:pPr>
    </w:lvl>
    <w:lvl w:ilvl="5" w:tplc="0418001B" w:tentative="1">
      <w:start w:val="1"/>
      <w:numFmt w:val="lowerRoman"/>
      <w:lvlText w:val="%6."/>
      <w:lvlJc w:val="right"/>
      <w:pPr>
        <w:ind w:left="4496" w:hanging="180"/>
      </w:pPr>
    </w:lvl>
    <w:lvl w:ilvl="6" w:tplc="0418000F" w:tentative="1">
      <w:start w:val="1"/>
      <w:numFmt w:val="decimal"/>
      <w:lvlText w:val="%7."/>
      <w:lvlJc w:val="left"/>
      <w:pPr>
        <w:ind w:left="5216" w:hanging="360"/>
      </w:pPr>
    </w:lvl>
    <w:lvl w:ilvl="7" w:tplc="04180019" w:tentative="1">
      <w:start w:val="1"/>
      <w:numFmt w:val="lowerLetter"/>
      <w:lvlText w:val="%8."/>
      <w:lvlJc w:val="left"/>
      <w:pPr>
        <w:ind w:left="5936" w:hanging="360"/>
      </w:pPr>
    </w:lvl>
    <w:lvl w:ilvl="8" w:tplc="0418001B" w:tentative="1">
      <w:start w:val="1"/>
      <w:numFmt w:val="lowerRoman"/>
      <w:lvlText w:val="%9."/>
      <w:lvlJc w:val="right"/>
      <w:pPr>
        <w:ind w:left="6656" w:hanging="180"/>
      </w:pPr>
    </w:lvl>
  </w:abstractNum>
  <w:num w:numId="1">
    <w:abstractNumId w:val="2"/>
  </w:num>
  <w:num w:numId="2">
    <w:abstractNumId w:val="1"/>
  </w:num>
  <w:num w:numId="3">
    <w:abstractNumId w:val="0"/>
  </w:num>
  <w:num w:numId="4">
    <w:abstractNumId w:val="7"/>
  </w:num>
  <w:num w:numId="5">
    <w:abstractNumId w:val="13"/>
  </w:num>
  <w:num w:numId="6">
    <w:abstractNumId w:val="9"/>
  </w:num>
  <w:num w:numId="7">
    <w:abstractNumId w:val="11"/>
  </w:num>
  <w:num w:numId="8">
    <w:abstractNumId w:val="10"/>
  </w:num>
  <w:num w:numId="9">
    <w:abstractNumId w:val="3"/>
  </w:num>
  <w:num w:numId="10">
    <w:abstractNumId w:val="18"/>
  </w:num>
  <w:num w:numId="11">
    <w:abstractNumId w:val="14"/>
  </w:num>
  <w:num w:numId="12">
    <w:abstractNumId w:val="5"/>
  </w:num>
  <w:num w:numId="13">
    <w:abstractNumId w:val="12"/>
  </w:num>
  <w:num w:numId="14">
    <w:abstractNumId w:val="17"/>
  </w:num>
  <w:num w:numId="15">
    <w:abstractNumId w:val="4"/>
  </w:num>
  <w:num w:numId="16">
    <w:abstractNumId w:val="15"/>
  </w:num>
  <w:num w:numId="17">
    <w:abstractNumId w:val="6"/>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8D"/>
    <w:rsid w:val="00004C38"/>
    <w:rsid w:val="00004F4C"/>
    <w:rsid w:val="00013FC9"/>
    <w:rsid w:val="00015F8A"/>
    <w:rsid w:val="00016339"/>
    <w:rsid w:val="00017AA5"/>
    <w:rsid w:val="00025E60"/>
    <w:rsid w:val="000269D3"/>
    <w:rsid w:val="00030E10"/>
    <w:rsid w:val="000319E4"/>
    <w:rsid w:val="000321C3"/>
    <w:rsid w:val="00033271"/>
    <w:rsid w:val="0003571D"/>
    <w:rsid w:val="0003581B"/>
    <w:rsid w:val="00042852"/>
    <w:rsid w:val="00044464"/>
    <w:rsid w:val="00044EE4"/>
    <w:rsid w:val="00050A55"/>
    <w:rsid w:val="00052DB6"/>
    <w:rsid w:val="00057EC3"/>
    <w:rsid w:val="000621EE"/>
    <w:rsid w:val="000640F0"/>
    <w:rsid w:val="00065E0F"/>
    <w:rsid w:val="00066681"/>
    <w:rsid w:val="00067FC4"/>
    <w:rsid w:val="00067FEC"/>
    <w:rsid w:val="00083598"/>
    <w:rsid w:val="00092220"/>
    <w:rsid w:val="000949CB"/>
    <w:rsid w:val="0009535F"/>
    <w:rsid w:val="0009685B"/>
    <w:rsid w:val="000971CF"/>
    <w:rsid w:val="000A273C"/>
    <w:rsid w:val="000A5443"/>
    <w:rsid w:val="000A5646"/>
    <w:rsid w:val="000A741D"/>
    <w:rsid w:val="000B10F7"/>
    <w:rsid w:val="000B7A96"/>
    <w:rsid w:val="000B7E52"/>
    <w:rsid w:val="000C395A"/>
    <w:rsid w:val="000C7E30"/>
    <w:rsid w:val="000D0390"/>
    <w:rsid w:val="000E0D5C"/>
    <w:rsid w:val="000E31A6"/>
    <w:rsid w:val="000E347D"/>
    <w:rsid w:val="000E72A6"/>
    <w:rsid w:val="000F3728"/>
    <w:rsid w:val="00101F87"/>
    <w:rsid w:val="00101FB9"/>
    <w:rsid w:val="00104DEB"/>
    <w:rsid w:val="00105FEB"/>
    <w:rsid w:val="00107FCB"/>
    <w:rsid w:val="00112574"/>
    <w:rsid w:val="00113331"/>
    <w:rsid w:val="001163A3"/>
    <w:rsid w:val="001178D9"/>
    <w:rsid w:val="00117CDF"/>
    <w:rsid w:val="001200EF"/>
    <w:rsid w:val="00120642"/>
    <w:rsid w:val="001212C2"/>
    <w:rsid w:val="00122626"/>
    <w:rsid w:val="001263E7"/>
    <w:rsid w:val="0013095B"/>
    <w:rsid w:val="00130A73"/>
    <w:rsid w:val="00131807"/>
    <w:rsid w:val="00131B8E"/>
    <w:rsid w:val="001329A4"/>
    <w:rsid w:val="00134124"/>
    <w:rsid w:val="00134AB9"/>
    <w:rsid w:val="00141BDB"/>
    <w:rsid w:val="0014531F"/>
    <w:rsid w:val="001472DA"/>
    <w:rsid w:val="001513B7"/>
    <w:rsid w:val="00154226"/>
    <w:rsid w:val="00154F08"/>
    <w:rsid w:val="00155691"/>
    <w:rsid w:val="00156BF7"/>
    <w:rsid w:val="00166FF7"/>
    <w:rsid w:val="001712A9"/>
    <w:rsid w:val="001742E1"/>
    <w:rsid w:val="00175D17"/>
    <w:rsid w:val="001779FB"/>
    <w:rsid w:val="00177A9F"/>
    <w:rsid w:val="00180106"/>
    <w:rsid w:val="00182113"/>
    <w:rsid w:val="0018390A"/>
    <w:rsid w:val="0019083F"/>
    <w:rsid w:val="00193B57"/>
    <w:rsid w:val="00193EDA"/>
    <w:rsid w:val="00194A37"/>
    <w:rsid w:val="001955F5"/>
    <w:rsid w:val="0019790F"/>
    <w:rsid w:val="001A43DB"/>
    <w:rsid w:val="001B55BB"/>
    <w:rsid w:val="001C135A"/>
    <w:rsid w:val="001D1472"/>
    <w:rsid w:val="001D2326"/>
    <w:rsid w:val="001D2EC8"/>
    <w:rsid w:val="001E01DC"/>
    <w:rsid w:val="001E03EB"/>
    <w:rsid w:val="001F5A94"/>
    <w:rsid w:val="001F6674"/>
    <w:rsid w:val="001F692D"/>
    <w:rsid w:val="001F6994"/>
    <w:rsid w:val="001F78CB"/>
    <w:rsid w:val="002004AA"/>
    <w:rsid w:val="00207D8D"/>
    <w:rsid w:val="002129E9"/>
    <w:rsid w:val="0022061E"/>
    <w:rsid w:val="0022479B"/>
    <w:rsid w:val="00224C43"/>
    <w:rsid w:val="002273B5"/>
    <w:rsid w:val="002277D8"/>
    <w:rsid w:val="0023328B"/>
    <w:rsid w:val="0023330A"/>
    <w:rsid w:val="0023421A"/>
    <w:rsid w:val="0024204E"/>
    <w:rsid w:val="002477EE"/>
    <w:rsid w:val="00251F5B"/>
    <w:rsid w:val="002520C0"/>
    <w:rsid w:val="00254209"/>
    <w:rsid w:val="00255E8D"/>
    <w:rsid w:val="00256512"/>
    <w:rsid w:val="00260125"/>
    <w:rsid w:val="0026254D"/>
    <w:rsid w:val="00263020"/>
    <w:rsid w:val="00263C9D"/>
    <w:rsid w:val="002661D1"/>
    <w:rsid w:val="00266FE1"/>
    <w:rsid w:val="00273F09"/>
    <w:rsid w:val="00276E29"/>
    <w:rsid w:val="00280596"/>
    <w:rsid w:val="00285010"/>
    <w:rsid w:val="002879AA"/>
    <w:rsid w:val="00293484"/>
    <w:rsid w:val="002A0081"/>
    <w:rsid w:val="002A0414"/>
    <w:rsid w:val="002A1821"/>
    <w:rsid w:val="002A644A"/>
    <w:rsid w:val="002B1C73"/>
    <w:rsid w:val="002B3FCA"/>
    <w:rsid w:val="002B4D64"/>
    <w:rsid w:val="002C1017"/>
    <w:rsid w:val="002C219F"/>
    <w:rsid w:val="002D549D"/>
    <w:rsid w:val="002D5AEB"/>
    <w:rsid w:val="002D6523"/>
    <w:rsid w:val="002D7636"/>
    <w:rsid w:val="002F0A6A"/>
    <w:rsid w:val="002F0AF5"/>
    <w:rsid w:val="002F3922"/>
    <w:rsid w:val="002F46C9"/>
    <w:rsid w:val="00300EB7"/>
    <w:rsid w:val="003034CD"/>
    <w:rsid w:val="003035CD"/>
    <w:rsid w:val="0030497F"/>
    <w:rsid w:val="00304A0B"/>
    <w:rsid w:val="00305E34"/>
    <w:rsid w:val="00305EB8"/>
    <w:rsid w:val="00317105"/>
    <w:rsid w:val="003177C9"/>
    <w:rsid w:val="003219A4"/>
    <w:rsid w:val="003303C2"/>
    <w:rsid w:val="00331F1D"/>
    <w:rsid w:val="003337D9"/>
    <w:rsid w:val="00342E81"/>
    <w:rsid w:val="003441DF"/>
    <w:rsid w:val="003454DC"/>
    <w:rsid w:val="003459E5"/>
    <w:rsid w:val="00347075"/>
    <w:rsid w:val="003471C8"/>
    <w:rsid w:val="00351044"/>
    <w:rsid w:val="003551B7"/>
    <w:rsid w:val="003558EB"/>
    <w:rsid w:val="00372AB7"/>
    <w:rsid w:val="0037381B"/>
    <w:rsid w:val="00375BE3"/>
    <w:rsid w:val="00380EA8"/>
    <w:rsid w:val="003832DA"/>
    <w:rsid w:val="003876DD"/>
    <w:rsid w:val="00390447"/>
    <w:rsid w:val="003911D1"/>
    <w:rsid w:val="0039158B"/>
    <w:rsid w:val="00392DED"/>
    <w:rsid w:val="00392E00"/>
    <w:rsid w:val="003943C0"/>
    <w:rsid w:val="00396048"/>
    <w:rsid w:val="003A3A9D"/>
    <w:rsid w:val="003A43D7"/>
    <w:rsid w:val="003A59D9"/>
    <w:rsid w:val="003B1657"/>
    <w:rsid w:val="003B2D8F"/>
    <w:rsid w:val="003B6107"/>
    <w:rsid w:val="003C3A71"/>
    <w:rsid w:val="003D0978"/>
    <w:rsid w:val="003D6CD1"/>
    <w:rsid w:val="003E158D"/>
    <w:rsid w:val="003E1DCC"/>
    <w:rsid w:val="003E2615"/>
    <w:rsid w:val="003E3B34"/>
    <w:rsid w:val="003E4A6F"/>
    <w:rsid w:val="003E7E3E"/>
    <w:rsid w:val="003F2542"/>
    <w:rsid w:val="003F3FDF"/>
    <w:rsid w:val="003F4807"/>
    <w:rsid w:val="00401438"/>
    <w:rsid w:val="00401EF9"/>
    <w:rsid w:val="00402865"/>
    <w:rsid w:val="004072A8"/>
    <w:rsid w:val="0041045B"/>
    <w:rsid w:val="004106AB"/>
    <w:rsid w:val="0041082A"/>
    <w:rsid w:val="00411B93"/>
    <w:rsid w:val="00411BD1"/>
    <w:rsid w:val="004141BD"/>
    <w:rsid w:val="00415B87"/>
    <w:rsid w:val="00420649"/>
    <w:rsid w:val="004267DB"/>
    <w:rsid w:val="00426933"/>
    <w:rsid w:val="0042779E"/>
    <w:rsid w:val="00432885"/>
    <w:rsid w:val="004400D0"/>
    <w:rsid w:val="0044205A"/>
    <w:rsid w:val="0044297B"/>
    <w:rsid w:val="00442AB9"/>
    <w:rsid w:val="00446629"/>
    <w:rsid w:val="00447D2D"/>
    <w:rsid w:val="004521ED"/>
    <w:rsid w:val="00455720"/>
    <w:rsid w:val="00455B89"/>
    <w:rsid w:val="00461360"/>
    <w:rsid w:val="0046208A"/>
    <w:rsid w:val="00465344"/>
    <w:rsid w:val="0047423F"/>
    <w:rsid w:val="004750CE"/>
    <w:rsid w:val="0048092A"/>
    <w:rsid w:val="0048347C"/>
    <w:rsid w:val="00484632"/>
    <w:rsid w:val="0048587F"/>
    <w:rsid w:val="00491CF1"/>
    <w:rsid w:val="004A123E"/>
    <w:rsid w:val="004A1F6C"/>
    <w:rsid w:val="004A70FA"/>
    <w:rsid w:val="004C1BF7"/>
    <w:rsid w:val="004C461C"/>
    <w:rsid w:val="004D30DA"/>
    <w:rsid w:val="004D720D"/>
    <w:rsid w:val="004E2349"/>
    <w:rsid w:val="004E24F1"/>
    <w:rsid w:val="004F283C"/>
    <w:rsid w:val="004F4810"/>
    <w:rsid w:val="004F59E1"/>
    <w:rsid w:val="004F72B6"/>
    <w:rsid w:val="005001FF"/>
    <w:rsid w:val="00504EA9"/>
    <w:rsid w:val="00506D4C"/>
    <w:rsid w:val="00507D43"/>
    <w:rsid w:val="00510C68"/>
    <w:rsid w:val="0051675F"/>
    <w:rsid w:val="00516D56"/>
    <w:rsid w:val="00531054"/>
    <w:rsid w:val="005348F3"/>
    <w:rsid w:val="005349D4"/>
    <w:rsid w:val="00534DBC"/>
    <w:rsid w:val="005362A3"/>
    <w:rsid w:val="00540AAC"/>
    <w:rsid w:val="00540CE4"/>
    <w:rsid w:val="00541F32"/>
    <w:rsid w:val="005420A4"/>
    <w:rsid w:val="00542639"/>
    <w:rsid w:val="00543D54"/>
    <w:rsid w:val="005522E8"/>
    <w:rsid w:val="00552C68"/>
    <w:rsid w:val="00552D7C"/>
    <w:rsid w:val="005601FF"/>
    <w:rsid w:val="005640C3"/>
    <w:rsid w:val="0056429E"/>
    <w:rsid w:val="005645ED"/>
    <w:rsid w:val="00566373"/>
    <w:rsid w:val="0057028D"/>
    <w:rsid w:val="00571A2A"/>
    <w:rsid w:val="005723FC"/>
    <w:rsid w:val="00577CAD"/>
    <w:rsid w:val="00577D3D"/>
    <w:rsid w:val="00584A3C"/>
    <w:rsid w:val="00586D2B"/>
    <w:rsid w:val="00587B4C"/>
    <w:rsid w:val="00592A3F"/>
    <w:rsid w:val="00594E46"/>
    <w:rsid w:val="005A5C43"/>
    <w:rsid w:val="005A7759"/>
    <w:rsid w:val="005B001C"/>
    <w:rsid w:val="005B0653"/>
    <w:rsid w:val="005B2A34"/>
    <w:rsid w:val="005B4A3D"/>
    <w:rsid w:val="005B658B"/>
    <w:rsid w:val="005B7F78"/>
    <w:rsid w:val="005C2344"/>
    <w:rsid w:val="005C409A"/>
    <w:rsid w:val="005C59A6"/>
    <w:rsid w:val="005C7749"/>
    <w:rsid w:val="005D07E3"/>
    <w:rsid w:val="005D243D"/>
    <w:rsid w:val="005D30F1"/>
    <w:rsid w:val="005E04F9"/>
    <w:rsid w:val="005E0A62"/>
    <w:rsid w:val="005E38A2"/>
    <w:rsid w:val="005E448D"/>
    <w:rsid w:val="005E7477"/>
    <w:rsid w:val="005F2591"/>
    <w:rsid w:val="005F4941"/>
    <w:rsid w:val="005F70F6"/>
    <w:rsid w:val="00601D84"/>
    <w:rsid w:val="006021FA"/>
    <w:rsid w:val="00604D3A"/>
    <w:rsid w:val="00605652"/>
    <w:rsid w:val="006073F0"/>
    <w:rsid w:val="00620036"/>
    <w:rsid w:val="00621803"/>
    <w:rsid w:val="00621F0E"/>
    <w:rsid w:val="0063534E"/>
    <w:rsid w:val="006364D2"/>
    <w:rsid w:val="00640968"/>
    <w:rsid w:val="00641A1F"/>
    <w:rsid w:val="00645115"/>
    <w:rsid w:val="00646BCD"/>
    <w:rsid w:val="0065308F"/>
    <w:rsid w:val="00656FE5"/>
    <w:rsid w:val="00672F6A"/>
    <w:rsid w:val="006732B5"/>
    <w:rsid w:val="00673EE5"/>
    <w:rsid w:val="00674AFC"/>
    <w:rsid w:val="00676AFC"/>
    <w:rsid w:val="006801A1"/>
    <w:rsid w:val="006817CC"/>
    <w:rsid w:val="00681A8D"/>
    <w:rsid w:val="00685D40"/>
    <w:rsid w:val="00686FB2"/>
    <w:rsid w:val="00692E6A"/>
    <w:rsid w:val="00695A8E"/>
    <w:rsid w:val="006A0920"/>
    <w:rsid w:val="006A186C"/>
    <w:rsid w:val="006A218D"/>
    <w:rsid w:val="006A42D1"/>
    <w:rsid w:val="006B56F5"/>
    <w:rsid w:val="006B5AB7"/>
    <w:rsid w:val="006B7E74"/>
    <w:rsid w:val="006C3951"/>
    <w:rsid w:val="006C403C"/>
    <w:rsid w:val="006C7D80"/>
    <w:rsid w:val="006D110B"/>
    <w:rsid w:val="006D60AA"/>
    <w:rsid w:val="006E750F"/>
    <w:rsid w:val="006F4E0D"/>
    <w:rsid w:val="006F6BEF"/>
    <w:rsid w:val="00702629"/>
    <w:rsid w:val="007040BF"/>
    <w:rsid w:val="00704CB8"/>
    <w:rsid w:val="00705478"/>
    <w:rsid w:val="00706236"/>
    <w:rsid w:val="00712D5A"/>
    <w:rsid w:val="007131E1"/>
    <w:rsid w:val="00713803"/>
    <w:rsid w:val="007156EB"/>
    <w:rsid w:val="007216EC"/>
    <w:rsid w:val="0072303F"/>
    <w:rsid w:val="00726A23"/>
    <w:rsid w:val="00733C28"/>
    <w:rsid w:val="007349F9"/>
    <w:rsid w:val="007353EF"/>
    <w:rsid w:val="007432DF"/>
    <w:rsid w:val="00743552"/>
    <w:rsid w:val="00747C4E"/>
    <w:rsid w:val="00756A50"/>
    <w:rsid w:val="00761948"/>
    <w:rsid w:val="0076380B"/>
    <w:rsid w:val="007669A1"/>
    <w:rsid w:val="007672E2"/>
    <w:rsid w:val="007717F9"/>
    <w:rsid w:val="00774FCB"/>
    <w:rsid w:val="00776A13"/>
    <w:rsid w:val="0077718C"/>
    <w:rsid w:val="00777416"/>
    <w:rsid w:val="007808A7"/>
    <w:rsid w:val="007821EF"/>
    <w:rsid w:val="00785701"/>
    <w:rsid w:val="0079142D"/>
    <w:rsid w:val="0079335E"/>
    <w:rsid w:val="0079582C"/>
    <w:rsid w:val="007A061A"/>
    <w:rsid w:val="007A0F15"/>
    <w:rsid w:val="007A1EC2"/>
    <w:rsid w:val="007A2BE1"/>
    <w:rsid w:val="007A490A"/>
    <w:rsid w:val="007A61DB"/>
    <w:rsid w:val="007A6530"/>
    <w:rsid w:val="007B723D"/>
    <w:rsid w:val="007C116D"/>
    <w:rsid w:val="007C1668"/>
    <w:rsid w:val="007C1783"/>
    <w:rsid w:val="007C3A22"/>
    <w:rsid w:val="007C403B"/>
    <w:rsid w:val="007C46B8"/>
    <w:rsid w:val="007C53CB"/>
    <w:rsid w:val="007C756B"/>
    <w:rsid w:val="007C7D52"/>
    <w:rsid w:val="007D4D36"/>
    <w:rsid w:val="007D5371"/>
    <w:rsid w:val="007D5CCC"/>
    <w:rsid w:val="007D653B"/>
    <w:rsid w:val="007D69F5"/>
    <w:rsid w:val="007D7410"/>
    <w:rsid w:val="007E388D"/>
    <w:rsid w:val="007E3DC2"/>
    <w:rsid w:val="007F10EC"/>
    <w:rsid w:val="007F5755"/>
    <w:rsid w:val="007F5B03"/>
    <w:rsid w:val="007F5CBA"/>
    <w:rsid w:val="007F6506"/>
    <w:rsid w:val="007F7877"/>
    <w:rsid w:val="00804171"/>
    <w:rsid w:val="00805188"/>
    <w:rsid w:val="008053EE"/>
    <w:rsid w:val="00807B3A"/>
    <w:rsid w:val="008107E0"/>
    <w:rsid w:val="00812D17"/>
    <w:rsid w:val="008162E2"/>
    <w:rsid w:val="008178E1"/>
    <w:rsid w:val="00824C15"/>
    <w:rsid w:val="00830D97"/>
    <w:rsid w:val="00833B23"/>
    <w:rsid w:val="008359F9"/>
    <w:rsid w:val="008374A2"/>
    <w:rsid w:val="0084140B"/>
    <w:rsid w:val="0084677B"/>
    <w:rsid w:val="008470C7"/>
    <w:rsid w:val="00850B86"/>
    <w:rsid w:val="00856EBE"/>
    <w:rsid w:val="008703C3"/>
    <w:rsid w:val="00870DF7"/>
    <w:rsid w:val="0087156A"/>
    <w:rsid w:val="00874EC3"/>
    <w:rsid w:val="00877604"/>
    <w:rsid w:val="00877B5E"/>
    <w:rsid w:val="00880FA1"/>
    <w:rsid w:val="0088327E"/>
    <w:rsid w:val="00891EE4"/>
    <w:rsid w:val="008924F6"/>
    <w:rsid w:val="00894DDF"/>
    <w:rsid w:val="0089531E"/>
    <w:rsid w:val="0089675D"/>
    <w:rsid w:val="008A1470"/>
    <w:rsid w:val="008A1642"/>
    <w:rsid w:val="008A1F1D"/>
    <w:rsid w:val="008A25E0"/>
    <w:rsid w:val="008A7FC6"/>
    <w:rsid w:val="008B6707"/>
    <w:rsid w:val="008B67D3"/>
    <w:rsid w:val="008C05DA"/>
    <w:rsid w:val="008C2275"/>
    <w:rsid w:val="008C4B49"/>
    <w:rsid w:val="008D2E3F"/>
    <w:rsid w:val="008D4938"/>
    <w:rsid w:val="008E26F1"/>
    <w:rsid w:val="008E3897"/>
    <w:rsid w:val="008E4385"/>
    <w:rsid w:val="008F6BE9"/>
    <w:rsid w:val="009009E5"/>
    <w:rsid w:val="009066D9"/>
    <w:rsid w:val="00907A66"/>
    <w:rsid w:val="00907BA0"/>
    <w:rsid w:val="00910E65"/>
    <w:rsid w:val="00912595"/>
    <w:rsid w:val="00914F94"/>
    <w:rsid w:val="00923910"/>
    <w:rsid w:val="00923E28"/>
    <w:rsid w:val="00925E5A"/>
    <w:rsid w:val="00926EAC"/>
    <w:rsid w:val="00927E21"/>
    <w:rsid w:val="00930EEB"/>
    <w:rsid w:val="00931439"/>
    <w:rsid w:val="00943F23"/>
    <w:rsid w:val="0094458A"/>
    <w:rsid w:val="00951AE1"/>
    <w:rsid w:val="00953AEA"/>
    <w:rsid w:val="00954067"/>
    <w:rsid w:val="009540A1"/>
    <w:rsid w:val="00955149"/>
    <w:rsid w:val="009615E7"/>
    <w:rsid w:val="00961D5A"/>
    <w:rsid w:val="00962867"/>
    <w:rsid w:val="009644DD"/>
    <w:rsid w:val="00965727"/>
    <w:rsid w:val="009661C8"/>
    <w:rsid w:val="00972E53"/>
    <w:rsid w:val="009730EF"/>
    <w:rsid w:val="00976263"/>
    <w:rsid w:val="009765E6"/>
    <w:rsid w:val="00976744"/>
    <w:rsid w:val="00980B5D"/>
    <w:rsid w:val="009818A7"/>
    <w:rsid w:val="0098585A"/>
    <w:rsid w:val="00986C58"/>
    <w:rsid w:val="00991A98"/>
    <w:rsid w:val="00995277"/>
    <w:rsid w:val="00997333"/>
    <w:rsid w:val="009A11D6"/>
    <w:rsid w:val="009A39BD"/>
    <w:rsid w:val="009A6FA1"/>
    <w:rsid w:val="009A7DD0"/>
    <w:rsid w:val="009B35AC"/>
    <w:rsid w:val="009B5CE7"/>
    <w:rsid w:val="009C070C"/>
    <w:rsid w:val="009C0CCB"/>
    <w:rsid w:val="009C3DDA"/>
    <w:rsid w:val="009D0615"/>
    <w:rsid w:val="009D426F"/>
    <w:rsid w:val="009D6EAE"/>
    <w:rsid w:val="009F01A6"/>
    <w:rsid w:val="009F026E"/>
    <w:rsid w:val="009F09C8"/>
    <w:rsid w:val="009F60ED"/>
    <w:rsid w:val="00A02749"/>
    <w:rsid w:val="00A12A65"/>
    <w:rsid w:val="00A17E68"/>
    <w:rsid w:val="00A22156"/>
    <w:rsid w:val="00A240C3"/>
    <w:rsid w:val="00A30948"/>
    <w:rsid w:val="00A357E0"/>
    <w:rsid w:val="00A36E01"/>
    <w:rsid w:val="00A36EA6"/>
    <w:rsid w:val="00A40050"/>
    <w:rsid w:val="00A43E50"/>
    <w:rsid w:val="00A44F15"/>
    <w:rsid w:val="00A45102"/>
    <w:rsid w:val="00A4768E"/>
    <w:rsid w:val="00A54A5E"/>
    <w:rsid w:val="00A62DFE"/>
    <w:rsid w:val="00A64435"/>
    <w:rsid w:val="00A64454"/>
    <w:rsid w:val="00A64466"/>
    <w:rsid w:val="00A65693"/>
    <w:rsid w:val="00A707AE"/>
    <w:rsid w:val="00A72C02"/>
    <w:rsid w:val="00A7414B"/>
    <w:rsid w:val="00A80C9B"/>
    <w:rsid w:val="00A81EB6"/>
    <w:rsid w:val="00A84F88"/>
    <w:rsid w:val="00A90D38"/>
    <w:rsid w:val="00A91791"/>
    <w:rsid w:val="00A926F9"/>
    <w:rsid w:val="00AA05B8"/>
    <w:rsid w:val="00AA1C72"/>
    <w:rsid w:val="00AA5AA4"/>
    <w:rsid w:val="00AA7002"/>
    <w:rsid w:val="00AB513C"/>
    <w:rsid w:val="00AC566C"/>
    <w:rsid w:val="00AC664C"/>
    <w:rsid w:val="00AC7A69"/>
    <w:rsid w:val="00AD1CAB"/>
    <w:rsid w:val="00AD3037"/>
    <w:rsid w:val="00AD3564"/>
    <w:rsid w:val="00AD73EE"/>
    <w:rsid w:val="00AE15F6"/>
    <w:rsid w:val="00AE1836"/>
    <w:rsid w:val="00AE7C3F"/>
    <w:rsid w:val="00AF4211"/>
    <w:rsid w:val="00B0134B"/>
    <w:rsid w:val="00B036F1"/>
    <w:rsid w:val="00B122F0"/>
    <w:rsid w:val="00B12EA5"/>
    <w:rsid w:val="00B1321D"/>
    <w:rsid w:val="00B166E7"/>
    <w:rsid w:val="00B175A7"/>
    <w:rsid w:val="00B23522"/>
    <w:rsid w:val="00B24DB4"/>
    <w:rsid w:val="00B2679F"/>
    <w:rsid w:val="00B26A6E"/>
    <w:rsid w:val="00B27988"/>
    <w:rsid w:val="00B32443"/>
    <w:rsid w:val="00B364DB"/>
    <w:rsid w:val="00B41945"/>
    <w:rsid w:val="00B4263C"/>
    <w:rsid w:val="00B4293A"/>
    <w:rsid w:val="00B474C4"/>
    <w:rsid w:val="00B47A01"/>
    <w:rsid w:val="00B47B0C"/>
    <w:rsid w:val="00B504C0"/>
    <w:rsid w:val="00B5135B"/>
    <w:rsid w:val="00B53260"/>
    <w:rsid w:val="00B534C4"/>
    <w:rsid w:val="00B55BAF"/>
    <w:rsid w:val="00B62A0D"/>
    <w:rsid w:val="00B64C3E"/>
    <w:rsid w:val="00B657BF"/>
    <w:rsid w:val="00B71941"/>
    <w:rsid w:val="00B82D33"/>
    <w:rsid w:val="00B84D1D"/>
    <w:rsid w:val="00B90F66"/>
    <w:rsid w:val="00B917B5"/>
    <w:rsid w:val="00B948C8"/>
    <w:rsid w:val="00B949F5"/>
    <w:rsid w:val="00B94AD2"/>
    <w:rsid w:val="00B96F76"/>
    <w:rsid w:val="00BA2F25"/>
    <w:rsid w:val="00BA2FBB"/>
    <w:rsid w:val="00BB1C2E"/>
    <w:rsid w:val="00BB4691"/>
    <w:rsid w:val="00BB74D1"/>
    <w:rsid w:val="00BC1544"/>
    <w:rsid w:val="00BC6F8B"/>
    <w:rsid w:val="00BD2F7C"/>
    <w:rsid w:val="00BE1D6D"/>
    <w:rsid w:val="00BE292D"/>
    <w:rsid w:val="00BE3573"/>
    <w:rsid w:val="00BF1E35"/>
    <w:rsid w:val="00BF7D6C"/>
    <w:rsid w:val="00C0002A"/>
    <w:rsid w:val="00C05704"/>
    <w:rsid w:val="00C06DC2"/>
    <w:rsid w:val="00C10457"/>
    <w:rsid w:val="00C113C5"/>
    <w:rsid w:val="00C12D40"/>
    <w:rsid w:val="00C13687"/>
    <w:rsid w:val="00C13A42"/>
    <w:rsid w:val="00C1432C"/>
    <w:rsid w:val="00C16357"/>
    <w:rsid w:val="00C16663"/>
    <w:rsid w:val="00C21B28"/>
    <w:rsid w:val="00C2483E"/>
    <w:rsid w:val="00C31C0A"/>
    <w:rsid w:val="00C352D8"/>
    <w:rsid w:val="00C415D7"/>
    <w:rsid w:val="00C46F0B"/>
    <w:rsid w:val="00C47105"/>
    <w:rsid w:val="00C5139B"/>
    <w:rsid w:val="00C67865"/>
    <w:rsid w:val="00C67D6D"/>
    <w:rsid w:val="00C76957"/>
    <w:rsid w:val="00C80B79"/>
    <w:rsid w:val="00C81375"/>
    <w:rsid w:val="00C85DAF"/>
    <w:rsid w:val="00C9029F"/>
    <w:rsid w:val="00C90F92"/>
    <w:rsid w:val="00C91E1B"/>
    <w:rsid w:val="00C93082"/>
    <w:rsid w:val="00C963F7"/>
    <w:rsid w:val="00C96F2F"/>
    <w:rsid w:val="00CA00D8"/>
    <w:rsid w:val="00CA5B24"/>
    <w:rsid w:val="00CB00A4"/>
    <w:rsid w:val="00CB4280"/>
    <w:rsid w:val="00CB539E"/>
    <w:rsid w:val="00CB61CE"/>
    <w:rsid w:val="00CB7EFF"/>
    <w:rsid w:val="00CC3C75"/>
    <w:rsid w:val="00CE672B"/>
    <w:rsid w:val="00CE784C"/>
    <w:rsid w:val="00CF16DE"/>
    <w:rsid w:val="00CF297E"/>
    <w:rsid w:val="00CF3924"/>
    <w:rsid w:val="00CF3B9A"/>
    <w:rsid w:val="00CF512C"/>
    <w:rsid w:val="00CF576A"/>
    <w:rsid w:val="00D0144D"/>
    <w:rsid w:val="00D03329"/>
    <w:rsid w:val="00D116FF"/>
    <w:rsid w:val="00D11D3B"/>
    <w:rsid w:val="00D1684C"/>
    <w:rsid w:val="00D17A99"/>
    <w:rsid w:val="00D17E52"/>
    <w:rsid w:val="00D21A78"/>
    <w:rsid w:val="00D2584D"/>
    <w:rsid w:val="00D31C1C"/>
    <w:rsid w:val="00D32049"/>
    <w:rsid w:val="00D36BD3"/>
    <w:rsid w:val="00D37D41"/>
    <w:rsid w:val="00D42569"/>
    <w:rsid w:val="00D45AD7"/>
    <w:rsid w:val="00D46577"/>
    <w:rsid w:val="00D5253F"/>
    <w:rsid w:val="00D52D3C"/>
    <w:rsid w:val="00D52FF8"/>
    <w:rsid w:val="00D53067"/>
    <w:rsid w:val="00D56A90"/>
    <w:rsid w:val="00D60F51"/>
    <w:rsid w:val="00D6179C"/>
    <w:rsid w:val="00D63B60"/>
    <w:rsid w:val="00D648E5"/>
    <w:rsid w:val="00D64948"/>
    <w:rsid w:val="00D655B6"/>
    <w:rsid w:val="00D83D3B"/>
    <w:rsid w:val="00D902DC"/>
    <w:rsid w:val="00D92EF2"/>
    <w:rsid w:val="00D94461"/>
    <w:rsid w:val="00D95617"/>
    <w:rsid w:val="00D958EF"/>
    <w:rsid w:val="00D97DE1"/>
    <w:rsid w:val="00DA6EF7"/>
    <w:rsid w:val="00DA7B1C"/>
    <w:rsid w:val="00DB29D3"/>
    <w:rsid w:val="00DB7126"/>
    <w:rsid w:val="00DC0336"/>
    <w:rsid w:val="00DD0B66"/>
    <w:rsid w:val="00DD1B68"/>
    <w:rsid w:val="00DD4A82"/>
    <w:rsid w:val="00DE3450"/>
    <w:rsid w:val="00DE5D97"/>
    <w:rsid w:val="00DE63B3"/>
    <w:rsid w:val="00DE703B"/>
    <w:rsid w:val="00DF0C4C"/>
    <w:rsid w:val="00DF19CD"/>
    <w:rsid w:val="00DF31C8"/>
    <w:rsid w:val="00DF396F"/>
    <w:rsid w:val="00DF3FEA"/>
    <w:rsid w:val="00DF59D7"/>
    <w:rsid w:val="00E00E06"/>
    <w:rsid w:val="00E02396"/>
    <w:rsid w:val="00E02794"/>
    <w:rsid w:val="00E07738"/>
    <w:rsid w:val="00E151CB"/>
    <w:rsid w:val="00E20EEC"/>
    <w:rsid w:val="00E22574"/>
    <w:rsid w:val="00E22672"/>
    <w:rsid w:val="00E24B61"/>
    <w:rsid w:val="00E30806"/>
    <w:rsid w:val="00E309FD"/>
    <w:rsid w:val="00E31558"/>
    <w:rsid w:val="00E3359C"/>
    <w:rsid w:val="00E33CD2"/>
    <w:rsid w:val="00E37C1D"/>
    <w:rsid w:val="00E37D2D"/>
    <w:rsid w:val="00E42F0A"/>
    <w:rsid w:val="00E43245"/>
    <w:rsid w:val="00E45AC8"/>
    <w:rsid w:val="00E45D5D"/>
    <w:rsid w:val="00E473B1"/>
    <w:rsid w:val="00E5162E"/>
    <w:rsid w:val="00E53C6C"/>
    <w:rsid w:val="00E547DA"/>
    <w:rsid w:val="00E55013"/>
    <w:rsid w:val="00E608DA"/>
    <w:rsid w:val="00E62930"/>
    <w:rsid w:val="00E66E24"/>
    <w:rsid w:val="00E67A17"/>
    <w:rsid w:val="00E81BF8"/>
    <w:rsid w:val="00E84FE5"/>
    <w:rsid w:val="00E87CF2"/>
    <w:rsid w:val="00E905A7"/>
    <w:rsid w:val="00E92754"/>
    <w:rsid w:val="00E93621"/>
    <w:rsid w:val="00E9482F"/>
    <w:rsid w:val="00E95A5E"/>
    <w:rsid w:val="00E97D70"/>
    <w:rsid w:val="00EA3C2C"/>
    <w:rsid w:val="00EA7DA3"/>
    <w:rsid w:val="00EB0600"/>
    <w:rsid w:val="00EB2173"/>
    <w:rsid w:val="00EB324E"/>
    <w:rsid w:val="00EB40E8"/>
    <w:rsid w:val="00EB5077"/>
    <w:rsid w:val="00EC1943"/>
    <w:rsid w:val="00ED2135"/>
    <w:rsid w:val="00ED5B7F"/>
    <w:rsid w:val="00ED5F37"/>
    <w:rsid w:val="00EE002F"/>
    <w:rsid w:val="00EE1BBA"/>
    <w:rsid w:val="00EE2AC1"/>
    <w:rsid w:val="00EE5DB7"/>
    <w:rsid w:val="00EE664E"/>
    <w:rsid w:val="00EE701E"/>
    <w:rsid w:val="00EE7FD4"/>
    <w:rsid w:val="00EF2913"/>
    <w:rsid w:val="00F04BE1"/>
    <w:rsid w:val="00F0719C"/>
    <w:rsid w:val="00F10712"/>
    <w:rsid w:val="00F15674"/>
    <w:rsid w:val="00F1784A"/>
    <w:rsid w:val="00F212FF"/>
    <w:rsid w:val="00F23D0E"/>
    <w:rsid w:val="00F256F5"/>
    <w:rsid w:val="00F25BFA"/>
    <w:rsid w:val="00F26518"/>
    <w:rsid w:val="00F36401"/>
    <w:rsid w:val="00F37322"/>
    <w:rsid w:val="00F37871"/>
    <w:rsid w:val="00F411F1"/>
    <w:rsid w:val="00F532DE"/>
    <w:rsid w:val="00F5615F"/>
    <w:rsid w:val="00F56C88"/>
    <w:rsid w:val="00F61160"/>
    <w:rsid w:val="00F66B14"/>
    <w:rsid w:val="00F67F16"/>
    <w:rsid w:val="00F7012F"/>
    <w:rsid w:val="00F70D5C"/>
    <w:rsid w:val="00F7180A"/>
    <w:rsid w:val="00F723AA"/>
    <w:rsid w:val="00F73A8A"/>
    <w:rsid w:val="00F73E92"/>
    <w:rsid w:val="00F76459"/>
    <w:rsid w:val="00F82EB3"/>
    <w:rsid w:val="00F858FC"/>
    <w:rsid w:val="00F91170"/>
    <w:rsid w:val="00FA002A"/>
    <w:rsid w:val="00FA0591"/>
    <w:rsid w:val="00FA50DB"/>
    <w:rsid w:val="00FB2C05"/>
    <w:rsid w:val="00FB3D04"/>
    <w:rsid w:val="00FB5142"/>
    <w:rsid w:val="00FC13F3"/>
    <w:rsid w:val="00FC14F2"/>
    <w:rsid w:val="00FC45E0"/>
    <w:rsid w:val="00FC5600"/>
    <w:rsid w:val="00FC780B"/>
    <w:rsid w:val="00FD0321"/>
    <w:rsid w:val="00FD452C"/>
    <w:rsid w:val="00FF01F0"/>
    <w:rsid w:val="00FF201D"/>
    <w:rsid w:val="00FF2875"/>
    <w:rsid w:val="00FF319A"/>
    <w:rsid w:val="00FF3D45"/>
    <w:rsid w:val="00FF63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EEBFD-7399-4A9E-B3E3-C63856D6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28D"/>
    <w:pPr>
      <w:spacing w:after="0" w:line="240" w:lineRule="auto"/>
    </w:pPr>
    <w:rPr>
      <w:rFonts w:ascii="Times New Roman" w:eastAsiaTheme="minorEastAsia"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28D"/>
    <w:rPr>
      <w:color w:val="0000FF"/>
      <w:u w:val="single"/>
    </w:rPr>
  </w:style>
  <w:style w:type="paragraph" w:styleId="NormalWeb">
    <w:name w:val="Normal (Web)"/>
    <w:basedOn w:val="Normal"/>
    <w:uiPriority w:val="99"/>
    <w:unhideWhenUsed/>
    <w:rsid w:val="0057028D"/>
    <w:pPr>
      <w:ind w:firstLine="567"/>
      <w:jc w:val="both"/>
    </w:pPr>
  </w:style>
  <w:style w:type="paragraph" w:customStyle="1" w:styleId="tt">
    <w:name w:val="tt"/>
    <w:basedOn w:val="Normal"/>
    <w:rsid w:val="0057028D"/>
    <w:pPr>
      <w:jc w:val="center"/>
    </w:pPr>
    <w:rPr>
      <w:b/>
      <w:bCs/>
    </w:rPr>
  </w:style>
  <w:style w:type="paragraph" w:customStyle="1" w:styleId="pb">
    <w:name w:val="pb"/>
    <w:basedOn w:val="Normal"/>
    <w:uiPriority w:val="99"/>
    <w:semiHidden/>
    <w:rsid w:val="0057028D"/>
    <w:pPr>
      <w:jc w:val="center"/>
    </w:pPr>
    <w:rPr>
      <w:i/>
      <w:iCs/>
      <w:color w:val="663300"/>
      <w:sz w:val="20"/>
      <w:szCs w:val="20"/>
    </w:rPr>
  </w:style>
  <w:style w:type="paragraph" w:customStyle="1" w:styleId="cn">
    <w:name w:val="cn"/>
    <w:basedOn w:val="Normal"/>
    <w:uiPriority w:val="99"/>
    <w:semiHidden/>
    <w:rsid w:val="0057028D"/>
    <w:pPr>
      <w:jc w:val="center"/>
    </w:pPr>
  </w:style>
  <w:style w:type="paragraph" w:customStyle="1" w:styleId="cb">
    <w:name w:val="cb"/>
    <w:basedOn w:val="Normal"/>
    <w:rsid w:val="0057028D"/>
    <w:pPr>
      <w:jc w:val="center"/>
    </w:pPr>
    <w:rPr>
      <w:b/>
      <w:bCs/>
    </w:rPr>
  </w:style>
  <w:style w:type="paragraph" w:styleId="ListParagraph">
    <w:name w:val="List Paragraph"/>
    <w:basedOn w:val="Normal"/>
    <w:uiPriority w:val="34"/>
    <w:qFormat/>
    <w:rsid w:val="0057028D"/>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7E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53EF"/>
    <w:rPr>
      <w:sz w:val="16"/>
      <w:szCs w:val="16"/>
    </w:rPr>
  </w:style>
  <w:style w:type="paragraph" w:styleId="CommentText">
    <w:name w:val="annotation text"/>
    <w:basedOn w:val="Normal"/>
    <w:link w:val="CommentTextChar"/>
    <w:uiPriority w:val="99"/>
    <w:semiHidden/>
    <w:unhideWhenUsed/>
    <w:rsid w:val="007353EF"/>
    <w:rPr>
      <w:sz w:val="20"/>
      <w:szCs w:val="20"/>
    </w:rPr>
  </w:style>
  <w:style w:type="character" w:customStyle="1" w:styleId="CommentTextChar">
    <w:name w:val="Comment Text Char"/>
    <w:basedOn w:val="DefaultParagraphFont"/>
    <w:link w:val="CommentText"/>
    <w:uiPriority w:val="99"/>
    <w:semiHidden/>
    <w:rsid w:val="007353EF"/>
    <w:rPr>
      <w:rFonts w:ascii="Times New Roman" w:eastAsiaTheme="minorEastAsia" w:hAnsi="Times New Roman" w:cs="Times New Roman"/>
      <w:sz w:val="20"/>
      <w:szCs w:val="20"/>
      <w:lang w:eastAsia="ro-RO"/>
    </w:rPr>
  </w:style>
  <w:style w:type="paragraph" w:styleId="BalloonText">
    <w:name w:val="Balloon Text"/>
    <w:basedOn w:val="Normal"/>
    <w:link w:val="BalloonTextChar"/>
    <w:uiPriority w:val="99"/>
    <w:semiHidden/>
    <w:unhideWhenUsed/>
    <w:rsid w:val="00735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3EF"/>
    <w:rPr>
      <w:rFonts w:ascii="Segoe UI" w:eastAsiaTheme="minorEastAsia" w:hAnsi="Segoe UI" w:cs="Segoe UI"/>
      <w:sz w:val="18"/>
      <w:szCs w:val="18"/>
      <w:lang w:eastAsia="ro-RO"/>
    </w:rPr>
  </w:style>
  <w:style w:type="character" w:customStyle="1" w:styleId="Bodytext">
    <w:name w:val="Body text_"/>
    <w:basedOn w:val="DefaultParagraphFont"/>
    <w:link w:val="BodyText1"/>
    <w:rsid w:val="00991A98"/>
    <w:rPr>
      <w:rFonts w:ascii="Times New Roman" w:eastAsia="Times New Roman" w:hAnsi="Times New Roman" w:cs="Times New Roman"/>
      <w:sz w:val="27"/>
      <w:szCs w:val="27"/>
      <w:shd w:val="clear" w:color="auto" w:fill="FFFFFF"/>
    </w:rPr>
  </w:style>
  <w:style w:type="character" w:customStyle="1" w:styleId="Heading2">
    <w:name w:val="Heading #2_"/>
    <w:basedOn w:val="DefaultParagraphFont"/>
    <w:link w:val="Heading20"/>
    <w:rsid w:val="00991A98"/>
    <w:rPr>
      <w:rFonts w:ascii="Times New Roman" w:eastAsia="Times New Roman" w:hAnsi="Times New Roman" w:cs="Times New Roman"/>
      <w:sz w:val="27"/>
      <w:szCs w:val="27"/>
      <w:shd w:val="clear" w:color="auto" w:fill="FFFFFF"/>
    </w:rPr>
  </w:style>
  <w:style w:type="character" w:customStyle="1" w:styleId="BodytextBold">
    <w:name w:val="Body text + Bold"/>
    <w:basedOn w:val="Bodytext"/>
    <w:rsid w:val="00991A98"/>
    <w:rPr>
      <w:rFonts w:ascii="Times New Roman" w:eastAsia="Times New Roman" w:hAnsi="Times New Roman" w:cs="Times New Roman"/>
      <w:b/>
      <w:bCs/>
      <w:sz w:val="27"/>
      <w:szCs w:val="27"/>
      <w:shd w:val="clear" w:color="auto" w:fill="FFFFFF"/>
    </w:rPr>
  </w:style>
  <w:style w:type="paragraph" w:customStyle="1" w:styleId="BodyText1">
    <w:name w:val="Body Text1"/>
    <w:basedOn w:val="Normal"/>
    <w:link w:val="Bodytext"/>
    <w:rsid w:val="00991A98"/>
    <w:pPr>
      <w:shd w:val="clear" w:color="auto" w:fill="FFFFFF"/>
      <w:spacing w:before="720" w:line="317" w:lineRule="exact"/>
      <w:ind w:hanging="520"/>
      <w:jc w:val="both"/>
    </w:pPr>
    <w:rPr>
      <w:rFonts w:eastAsia="Times New Roman"/>
      <w:sz w:val="27"/>
      <w:szCs w:val="27"/>
      <w:lang w:eastAsia="en-US"/>
    </w:rPr>
  </w:style>
  <w:style w:type="paragraph" w:customStyle="1" w:styleId="Heading20">
    <w:name w:val="Heading #2"/>
    <w:basedOn w:val="Normal"/>
    <w:link w:val="Heading2"/>
    <w:rsid w:val="00991A98"/>
    <w:pPr>
      <w:shd w:val="clear" w:color="auto" w:fill="FFFFFF"/>
      <w:spacing w:before="240" w:after="60" w:line="0" w:lineRule="atLeast"/>
      <w:outlineLvl w:val="1"/>
    </w:pPr>
    <w:rPr>
      <w:rFonts w:eastAsia="Times New Roman"/>
      <w:sz w:val="27"/>
      <w:szCs w:val="27"/>
      <w:lang w:eastAsia="en-US"/>
    </w:rPr>
  </w:style>
  <w:style w:type="paragraph" w:customStyle="1" w:styleId="lf">
    <w:name w:val="lf"/>
    <w:basedOn w:val="Normal"/>
    <w:uiPriority w:val="99"/>
    <w:semiHidden/>
    <w:rsid w:val="00F15674"/>
  </w:style>
  <w:style w:type="character" w:customStyle="1" w:styleId="tonic-accent">
    <w:name w:val="tonic-accent"/>
    <w:basedOn w:val="DefaultParagraphFont"/>
    <w:rsid w:val="00A90D38"/>
  </w:style>
  <w:style w:type="paragraph" w:styleId="Revision">
    <w:name w:val="Revision"/>
    <w:hidden/>
    <w:uiPriority w:val="99"/>
    <w:semiHidden/>
    <w:rsid w:val="00856EBE"/>
    <w:pPr>
      <w:spacing w:after="0" w:line="240" w:lineRule="auto"/>
    </w:pPr>
    <w:rPr>
      <w:rFonts w:ascii="Times New Roman" w:eastAsiaTheme="minorEastAsia" w:hAnsi="Times New Roman" w:cs="Times New Roman"/>
      <w:sz w:val="24"/>
      <w:szCs w:val="24"/>
      <w:lang w:eastAsia="ro-RO"/>
    </w:rPr>
  </w:style>
  <w:style w:type="paragraph" w:styleId="IntenseQuote">
    <w:name w:val="Intense Quote"/>
    <w:basedOn w:val="Normal"/>
    <w:next w:val="Normal"/>
    <w:link w:val="IntenseQuoteChar"/>
    <w:uiPriority w:val="30"/>
    <w:qFormat/>
    <w:rsid w:val="00FB3D0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B3D04"/>
    <w:rPr>
      <w:rFonts w:ascii="Times New Roman" w:eastAsiaTheme="minorEastAsia" w:hAnsi="Times New Roman" w:cs="Times New Roman"/>
      <w:i/>
      <w:iCs/>
      <w:color w:val="5B9BD5" w:themeColor="accent1"/>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53433">
      <w:bodyDiv w:val="1"/>
      <w:marLeft w:val="0"/>
      <w:marRight w:val="0"/>
      <w:marTop w:val="0"/>
      <w:marBottom w:val="0"/>
      <w:divBdr>
        <w:top w:val="none" w:sz="0" w:space="0" w:color="auto"/>
        <w:left w:val="none" w:sz="0" w:space="0" w:color="auto"/>
        <w:bottom w:val="none" w:sz="0" w:space="0" w:color="auto"/>
        <w:right w:val="none" w:sz="0" w:space="0" w:color="auto"/>
      </w:divBdr>
    </w:div>
    <w:div w:id="1569420123">
      <w:bodyDiv w:val="1"/>
      <w:marLeft w:val="0"/>
      <w:marRight w:val="0"/>
      <w:marTop w:val="0"/>
      <w:marBottom w:val="0"/>
      <w:divBdr>
        <w:top w:val="none" w:sz="0" w:space="0" w:color="auto"/>
        <w:left w:val="none" w:sz="0" w:space="0" w:color="auto"/>
        <w:bottom w:val="none" w:sz="0" w:space="0" w:color="auto"/>
        <w:right w:val="none" w:sz="0" w:space="0" w:color="auto"/>
      </w:divBdr>
    </w:div>
    <w:div w:id="1581479795">
      <w:bodyDiv w:val="1"/>
      <w:marLeft w:val="0"/>
      <w:marRight w:val="0"/>
      <w:marTop w:val="0"/>
      <w:marBottom w:val="0"/>
      <w:divBdr>
        <w:top w:val="none" w:sz="0" w:space="0" w:color="auto"/>
        <w:left w:val="none" w:sz="0" w:space="0" w:color="auto"/>
        <w:bottom w:val="none" w:sz="0" w:space="0" w:color="auto"/>
        <w:right w:val="none" w:sz="0" w:space="0" w:color="auto"/>
      </w:divBdr>
    </w:div>
    <w:div w:id="170481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607292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BE11-71A0-4143-A07B-4E3E37E1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10415</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Corina</cp:lastModifiedBy>
  <cp:revision>2</cp:revision>
  <cp:lastPrinted>2019-09-02T15:29:00Z</cp:lastPrinted>
  <dcterms:created xsi:type="dcterms:W3CDTF">2019-09-18T12:44:00Z</dcterms:created>
  <dcterms:modified xsi:type="dcterms:W3CDTF">2019-09-18T12:44:00Z</dcterms:modified>
</cp:coreProperties>
</file>