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0D9E" w:rsidRDefault="00421E17" w:rsidP="00421E1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sz w:val="24"/>
          <w:szCs w:val="24"/>
        </w:rPr>
        <w:t>Proiect</w:t>
      </w:r>
    </w:p>
    <w:p w:rsidR="00421E17" w:rsidRDefault="00421E17" w:rsidP="00421E17">
      <w:pPr>
        <w:spacing w:after="0" w:line="240" w:lineRule="auto"/>
        <w:jc w:val="right"/>
        <w:rPr>
          <w:rFonts w:ascii="Times New Roman" w:eastAsia="Times New Roman" w:hAnsi="Times New Roman" w:cs="Times New Roman"/>
          <w:noProof/>
          <w:sz w:val="24"/>
          <w:szCs w:val="24"/>
        </w:rPr>
      </w:pPr>
    </w:p>
    <w:p w:rsidR="00421E17" w:rsidRPr="00815E34" w:rsidRDefault="00421E17" w:rsidP="00421E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noProof/>
          <w:sz w:val="28"/>
          <w:szCs w:val="28"/>
        </w:rPr>
        <w:t>GUVERNUL REPUBLICII MOLDOVA</w:t>
      </w:r>
    </w:p>
    <w:p w:rsidR="00421E17" w:rsidRDefault="00421E17" w:rsidP="005D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5D0D9E" w:rsidRPr="00815E34" w:rsidRDefault="005D0D9E" w:rsidP="005D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H O T Ă R Î R E</w:t>
      </w:r>
    </w:p>
    <w:p w:rsidR="005D0D9E" w:rsidRPr="00815E34" w:rsidRDefault="005D0D9E" w:rsidP="0042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pentru</w:t>
      </w:r>
      <w:proofErr w:type="spellEnd"/>
      <w:proofErr w:type="gram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abrogarea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Hotărîrii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Guvernului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nr.</w:t>
      </w:r>
      <w:r w:rsidR="00421E17"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1284</w:t>
      </w: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/20</w:t>
      </w:r>
      <w:r w:rsidR="00421E17"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02</w:t>
      </w: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</w:p>
    <w:p w:rsidR="00421E17" w:rsidRPr="00815E34" w:rsidRDefault="00421E17" w:rsidP="0042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despre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aprobarea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Regulamentului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modul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desfăşurare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concursului</w:t>
      </w:r>
      <w:proofErr w:type="spellEnd"/>
      <w:r w:rsidR="003A4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obţinerea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licenţei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comercializare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a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resturilor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deşeurilor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metale</w:t>
      </w:r>
      <w:proofErr w:type="spellEnd"/>
      <w:r w:rsidR="003A4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feroase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neferoase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de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baterii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acumulatoare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uzate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inclusiv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stare</w:t>
      </w:r>
      <w:r w:rsidR="003A4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prelucrată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către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agenţii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economici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aflaţi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teritoriul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Republicii</w:t>
      </w:r>
      <w:proofErr w:type="spellEnd"/>
      <w:r w:rsidR="003A458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Moldova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care nu au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relaţii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fiscale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sistemul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ei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bugetar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</w:p>
    <w:p w:rsidR="00421E17" w:rsidRPr="00815E34" w:rsidRDefault="00421E17" w:rsidP="0042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precum</w:t>
      </w:r>
      <w:proofErr w:type="spellEnd"/>
      <w:proofErr w:type="gram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şi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exportul</w:t>
      </w:r>
      <w:proofErr w:type="spell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acestora</w:t>
      </w:r>
      <w:proofErr w:type="spellEnd"/>
    </w:p>
    <w:p w:rsidR="00421E17" w:rsidRPr="00815E34" w:rsidRDefault="00421E17" w:rsidP="00421E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 w:rsidR="005D0D9E" w:rsidRPr="00815E34" w:rsidRDefault="005D0D9E" w:rsidP="005D0D9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nr</w:t>
      </w:r>
      <w:proofErr w:type="spellEnd"/>
      <w:proofErr w:type="gramEnd"/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 w:rsidR="00421E17"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_____din ________________2</w:t>
      </w: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019</w:t>
      </w:r>
    </w:p>
    <w:p w:rsidR="0044576D" w:rsidRPr="00815E34" w:rsidRDefault="0044576D" w:rsidP="0044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44576D" w:rsidRPr="00815E34" w:rsidRDefault="0044576D" w:rsidP="0044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temeiul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art.CX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alin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>. (3)</w:t>
      </w:r>
      <w:r w:rsidR="005D0D9E" w:rsidRPr="00815E34">
        <w:rPr>
          <w:rFonts w:ascii="Times New Roman" w:eastAsia="Times New Roman" w:hAnsi="Times New Roman" w:cs="Times New Roman"/>
          <w:sz w:val="28"/>
          <w:szCs w:val="28"/>
        </w:rPr>
        <w:t> </w:t>
      </w:r>
      <w:proofErr w:type="gramStart"/>
      <w:r w:rsidRPr="00815E34">
        <w:rPr>
          <w:rFonts w:ascii="Times New Roman" w:eastAsia="Times New Roman" w:hAnsi="Times New Roman" w:cs="Times New Roman"/>
          <w:sz w:val="28"/>
          <w:szCs w:val="28"/>
        </w:rPr>
        <w:t>din</w:t>
      </w:r>
      <w:proofErr w:type="gram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Legea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nr.185/2017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pentru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modificarea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și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completarea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unor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acte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legislative (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Moldova, 2017, nr.371-382, art.632), </w:t>
      </w:r>
      <w:proofErr w:type="spellStart"/>
      <w:r w:rsidR="005D0D9E" w:rsidRPr="00815E34">
        <w:rPr>
          <w:rFonts w:ascii="Times New Roman" w:eastAsia="Times New Roman" w:hAnsi="Times New Roman" w:cs="Times New Roman"/>
          <w:sz w:val="28"/>
          <w:szCs w:val="28"/>
        </w:rPr>
        <w:t>Guvernul</w:t>
      </w:r>
      <w:proofErr w:type="spellEnd"/>
      <w:r w:rsidR="005D0D9E"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44576D" w:rsidRPr="00815E34" w:rsidRDefault="0044576D" w:rsidP="004457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D0D9E" w:rsidRPr="00815E34" w:rsidRDefault="005D0D9E" w:rsidP="004457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HOTĂRĂŞTE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D0D9E" w:rsidRPr="00815E34" w:rsidRDefault="005D0D9E" w:rsidP="00421E1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1.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Se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abrogă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4" w:history="1">
        <w:proofErr w:type="spellStart"/>
        <w:r w:rsidRPr="00815E34">
          <w:rPr>
            <w:rFonts w:ascii="Times New Roman" w:eastAsia="Times New Roman" w:hAnsi="Times New Roman" w:cs="Times New Roman"/>
            <w:sz w:val="28"/>
            <w:szCs w:val="28"/>
          </w:rPr>
          <w:t>Hotărîrea</w:t>
        </w:r>
        <w:proofErr w:type="spellEnd"/>
        <w:r w:rsidRPr="00815E34">
          <w:rPr>
            <w:rFonts w:ascii="Times New Roman" w:eastAsia="Times New Roman" w:hAnsi="Times New Roman" w:cs="Times New Roman"/>
            <w:sz w:val="28"/>
            <w:szCs w:val="28"/>
          </w:rPr>
          <w:t xml:space="preserve"> </w:t>
        </w:r>
        <w:proofErr w:type="spellStart"/>
        <w:r w:rsidRPr="00815E34">
          <w:rPr>
            <w:rFonts w:ascii="Times New Roman" w:eastAsia="Times New Roman" w:hAnsi="Times New Roman" w:cs="Times New Roman"/>
            <w:sz w:val="28"/>
            <w:szCs w:val="28"/>
          </w:rPr>
          <w:t>Guvernului</w:t>
        </w:r>
        <w:proofErr w:type="spellEnd"/>
        <w:r w:rsidRPr="00815E34">
          <w:rPr>
            <w:rFonts w:ascii="Times New Roman" w:eastAsia="Times New Roman" w:hAnsi="Times New Roman" w:cs="Times New Roman"/>
            <w:sz w:val="28"/>
            <w:szCs w:val="28"/>
          </w:rPr>
          <w:t xml:space="preserve"> nr.</w:t>
        </w:r>
        <w:r w:rsidR="00421E17" w:rsidRPr="00815E34">
          <w:rPr>
            <w:rFonts w:ascii="Times New Roman" w:eastAsia="Times New Roman" w:hAnsi="Times New Roman" w:cs="Times New Roman"/>
            <w:sz w:val="28"/>
            <w:szCs w:val="28"/>
          </w:rPr>
          <w:t>1284</w:t>
        </w:r>
        <w:r w:rsidRPr="00815E34">
          <w:rPr>
            <w:rFonts w:ascii="Times New Roman" w:eastAsia="Times New Roman" w:hAnsi="Times New Roman" w:cs="Times New Roman"/>
            <w:sz w:val="28"/>
            <w:szCs w:val="28"/>
          </w:rPr>
          <w:t>/20</w:t>
        </w:r>
      </w:hyperlink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despre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aprobarea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Regulamentului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privind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modul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desfăşurare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concursului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pentru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obţinerea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licenţei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comercializare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a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resturilor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deşeurilor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metale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feroase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neferoase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, de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baterii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de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acumulatoare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uzate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inclusiv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în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stare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prelucrată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către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agenţii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economici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aflaţi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pe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teritoriul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Republicii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Moldova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care nu au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relaţii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fiscale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cu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sistemul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ei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bugetar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precum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şi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exportul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>acestora</w:t>
      </w:r>
      <w:proofErr w:type="spellEnd"/>
      <w:r w:rsidR="00421E17" w:rsidRPr="00815E3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Monitorul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Oficial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al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Republicii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Moldova, 20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02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, nr.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5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-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3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, art.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4</w:t>
      </w:r>
      <w:r w:rsidR="00421E17" w:rsidRPr="00815E34">
        <w:rPr>
          <w:rFonts w:ascii="Times New Roman" w:eastAsia="Times New Roman" w:hAnsi="Times New Roman" w:cs="Times New Roman"/>
          <w:sz w:val="28"/>
          <w:szCs w:val="28"/>
        </w:rPr>
        <w:t>07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5D0D9E" w:rsidRPr="00815E34" w:rsidRDefault="005D0D9E" w:rsidP="005D0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b/>
          <w:bCs/>
          <w:sz w:val="28"/>
          <w:szCs w:val="28"/>
        </w:rPr>
        <w:t>2.</w:t>
      </w:r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Prezenta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hotărîre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intră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în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vigoare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 xml:space="preserve"> la data </w:t>
      </w:r>
      <w:proofErr w:type="spellStart"/>
      <w:r w:rsidRPr="00815E34">
        <w:rPr>
          <w:rFonts w:ascii="Times New Roman" w:eastAsia="Times New Roman" w:hAnsi="Times New Roman" w:cs="Times New Roman"/>
          <w:sz w:val="28"/>
          <w:szCs w:val="28"/>
        </w:rPr>
        <w:t>publicării</w:t>
      </w:r>
      <w:proofErr w:type="spellEnd"/>
      <w:r w:rsidRPr="00815E3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D0D9E" w:rsidRPr="00815E34" w:rsidRDefault="005D0D9E" w:rsidP="005D0D9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sz w:val="28"/>
          <w:szCs w:val="28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24"/>
        <w:gridCol w:w="96"/>
      </w:tblGrid>
      <w:tr w:rsidR="0053550D" w:rsidRPr="00815E34" w:rsidTr="005D0D9E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0D9E" w:rsidRPr="00815E34" w:rsidRDefault="005D0D9E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PRIM-MINISTRU</w:t>
            </w:r>
            <w:r w:rsidR="00DA4B55"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Maia SANDU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D0D9E" w:rsidRPr="00815E34" w:rsidRDefault="005D0D9E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3550D" w:rsidRPr="00815E34" w:rsidTr="00421E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0D9E" w:rsidRPr="00815E34" w:rsidRDefault="005D0D9E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421E17" w:rsidRPr="00815E34" w:rsidRDefault="00D742B8" w:rsidP="00D7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Contrasemnează</w:t>
            </w:r>
            <w:proofErr w:type="spellEnd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:</w:t>
            </w:r>
          </w:p>
          <w:p w:rsidR="0053550D" w:rsidRPr="00815E34" w:rsidRDefault="0053550D" w:rsidP="00D7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  <w:p w:rsidR="0053550D" w:rsidRPr="00815E34" w:rsidRDefault="00D742B8" w:rsidP="00D742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Ministrul</w:t>
            </w:r>
            <w:proofErr w:type="spellEnd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economiei</w:t>
            </w:r>
            <w:proofErr w:type="spellEnd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D742B8" w:rsidRPr="00815E34" w:rsidRDefault="00D742B8" w:rsidP="00815E3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proofErr w:type="spellStart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și</w:t>
            </w:r>
            <w:proofErr w:type="spellEnd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proofErr w:type="spellStart"/>
            <w:r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infrastructurii</w:t>
            </w:r>
            <w:proofErr w:type="spellEnd"/>
            <w:r w:rsidR="0053550D"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</w:t>
            </w:r>
            <w:r w:rsidR="00DA4B55"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3550D" w:rsidRPr="00815E3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Vadim BRÎNZAN</w:t>
            </w:r>
          </w:p>
        </w:tc>
        <w:tc>
          <w:tcPr>
            <w:tcW w:w="0" w:type="auto"/>
            <w:vAlign w:val="center"/>
            <w:hideMark/>
          </w:tcPr>
          <w:p w:rsidR="0053550D" w:rsidRPr="00815E34" w:rsidRDefault="0053550D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5D0D9E" w:rsidRPr="00815E34" w:rsidRDefault="0053550D" w:rsidP="0053550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815E3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</w:t>
            </w:r>
          </w:p>
        </w:tc>
      </w:tr>
      <w:tr w:rsidR="0053550D" w:rsidRPr="00815E34" w:rsidTr="00421E17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5D0D9E" w:rsidRPr="00815E34" w:rsidRDefault="005D0D9E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5D0D9E" w:rsidRPr="00815E34" w:rsidRDefault="005D0D9E" w:rsidP="005D0D9E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8B482B" w:rsidRPr="00815E34" w:rsidRDefault="005D0D9E">
      <w:pPr>
        <w:rPr>
          <w:rFonts w:ascii="Times New Roman" w:eastAsia="Times New Roman" w:hAnsi="Times New Roman" w:cs="Times New Roman"/>
          <w:sz w:val="28"/>
          <w:szCs w:val="28"/>
        </w:rPr>
      </w:pPr>
      <w:r w:rsidRPr="00815E34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6061B7" w:rsidRPr="00815E34" w:rsidRDefault="006061B7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2C7571" w:rsidRDefault="002C7571" w:rsidP="0081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6061B7" w:rsidRPr="00284073" w:rsidRDefault="006061B7" w:rsidP="00815E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284073">
        <w:rPr>
          <w:rFonts w:ascii="Times New Roman" w:hAnsi="Times New Roman" w:cs="Times New Roman"/>
          <w:b/>
          <w:sz w:val="28"/>
          <w:szCs w:val="28"/>
          <w:lang w:val="ro-RO"/>
        </w:rPr>
        <w:lastRenderedPageBreak/>
        <w:t>Nota informativă la</w:t>
      </w:r>
    </w:p>
    <w:p w:rsidR="006061B7" w:rsidRPr="00421E17" w:rsidRDefault="006061B7" w:rsidP="006061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</w:pPr>
      <w:r w:rsidRPr="00284073">
        <w:rPr>
          <w:rFonts w:ascii="Times New Roman" w:hAnsi="Times New Roman" w:cs="Times New Roman"/>
          <w:b/>
          <w:sz w:val="28"/>
          <w:szCs w:val="28"/>
          <w:lang w:val="ro-RO"/>
        </w:rPr>
        <w:t xml:space="preserve">proiectul Hotărârii Guvernului pentru </w:t>
      </w:r>
      <w:r w:rsidRPr="005D0D9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abrogarea </w:t>
      </w:r>
      <w:proofErr w:type="spellStart"/>
      <w:r w:rsidRPr="005D0D9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Hotărîrii</w:t>
      </w:r>
      <w:proofErr w:type="spellEnd"/>
      <w:r w:rsidRPr="005D0D9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Guvernului nr.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1284</w:t>
      </w:r>
      <w:r w:rsidRPr="005D0D9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/20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02</w:t>
      </w:r>
      <w:r w:rsidRPr="005D0D9E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despre aprobarea Regulamentului privind modul de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desfăşurare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a concursului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pentru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obţinerea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licenţei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de comercializare a resturilor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deşeurilor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de metale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feroase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neferoase, de baterii de acumulatoare uzate, inclusiv în stare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prelucrată, către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agenţii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economici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aflaţi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pe teritoriul Republicii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Moldova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care nu au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relaţii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fiscale cu sistemul ei bugetar,</w:t>
      </w:r>
      <w:r w:rsidRPr="00284073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precum </w:t>
      </w:r>
      <w:proofErr w:type="spellStart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>şi</w:t>
      </w:r>
      <w:proofErr w:type="spellEnd"/>
      <w:r w:rsidRPr="00421E17">
        <w:rPr>
          <w:rFonts w:ascii="Times New Roman" w:eastAsia="Times New Roman" w:hAnsi="Times New Roman" w:cs="Times New Roman"/>
          <w:b/>
          <w:bCs/>
          <w:sz w:val="28"/>
          <w:szCs w:val="28"/>
          <w:lang w:val="ro-RO"/>
        </w:rPr>
        <w:t xml:space="preserve"> exportul acestora</w:t>
      </w:r>
    </w:p>
    <w:p w:rsidR="006061B7" w:rsidRPr="00284073" w:rsidRDefault="006061B7" w:rsidP="006061B7">
      <w:pPr>
        <w:spacing w:after="0" w:line="240" w:lineRule="auto"/>
        <w:ind w:firstLine="708"/>
        <w:jc w:val="center"/>
        <w:rPr>
          <w:sz w:val="28"/>
          <w:szCs w:val="28"/>
          <w:lang w:val="ro-RO"/>
        </w:rPr>
      </w:pPr>
    </w:p>
    <w:tbl>
      <w:tblPr>
        <w:tblW w:w="5318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38"/>
      </w:tblGrid>
      <w:tr w:rsidR="006061B7" w:rsidRPr="00284073" w:rsidTr="000D2E9C">
        <w:trPr>
          <w:trHeight w:val="21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Denumirea autorului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şi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, după caz, a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participanţilor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la elaborarea proiectului</w:t>
            </w:r>
          </w:p>
        </w:tc>
      </w:tr>
      <w:tr w:rsidR="006061B7" w:rsidRPr="00284073" w:rsidTr="000D2E9C">
        <w:trPr>
          <w:trHeight w:val="21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Proiectul Hotărârii Guvernului este elaborat de către Ministerul Economiei și Infrastructurii.</w:t>
            </w:r>
          </w:p>
        </w:tc>
      </w:tr>
      <w:tr w:rsidR="006061B7" w:rsidRPr="00284073" w:rsidTr="000D2E9C">
        <w:trPr>
          <w:trHeight w:val="21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 xml:space="preserve">2.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Condiţiile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ce au impus elaborarea proiectului de act normativ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şi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finalităţile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urmărite</w:t>
            </w:r>
          </w:p>
        </w:tc>
      </w:tr>
      <w:tr w:rsidR="006061B7" w:rsidRPr="00284073" w:rsidTr="000D2E9C">
        <w:trPr>
          <w:trHeight w:val="287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pStyle w:val="NormalWeb"/>
              <w:rPr>
                <w:sz w:val="28"/>
                <w:szCs w:val="28"/>
                <w:lang w:val="ro-RO"/>
              </w:rPr>
            </w:pPr>
            <w:r w:rsidRPr="00284073">
              <w:rPr>
                <w:sz w:val="28"/>
                <w:szCs w:val="28"/>
                <w:lang w:val="ro-RO"/>
              </w:rPr>
              <w:t xml:space="preserve"> Drept temei pentru abrogarea Hotărârii Guvernului</w:t>
            </w:r>
            <w:r w:rsidRPr="005D0D9E">
              <w:rPr>
                <w:bCs/>
                <w:sz w:val="28"/>
                <w:szCs w:val="28"/>
                <w:lang w:val="ro-RO"/>
              </w:rPr>
              <w:t xml:space="preserve"> nr.</w:t>
            </w:r>
            <w:r w:rsidRPr="00284073">
              <w:rPr>
                <w:bCs/>
                <w:sz w:val="28"/>
                <w:szCs w:val="28"/>
                <w:lang w:val="ro-RO"/>
              </w:rPr>
              <w:t>1284</w:t>
            </w:r>
            <w:r w:rsidRPr="005D0D9E">
              <w:rPr>
                <w:bCs/>
                <w:sz w:val="28"/>
                <w:szCs w:val="28"/>
                <w:lang w:val="ro-RO"/>
              </w:rPr>
              <w:t>/20</w:t>
            </w:r>
            <w:r w:rsidRPr="00284073">
              <w:rPr>
                <w:bCs/>
                <w:sz w:val="28"/>
                <w:szCs w:val="28"/>
                <w:lang w:val="ro-RO"/>
              </w:rPr>
              <w:t>02</w:t>
            </w:r>
            <w:r w:rsidRPr="005D0D9E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284073">
              <w:rPr>
                <w:bCs/>
                <w:sz w:val="28"/>
                <w:szCs w:val="28"/>
                <w:lang w:val="ro-RO"/>
              </w:rPr>
              <w:t>”D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espre aprobarea Regulamentului privind modul de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desfăşurare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a concursului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pentru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obţinerea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licenţei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de comercializare a resturilor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deşeurilor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de metale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feroase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neferoase, de baterii de acumulatoare uzate, inclusiv în stare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prelucrată, către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agenţii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economici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aflaţi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pe teritoriul Republicii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Moldova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care nu au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relaţii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fiscale cu sistemul ei bugetar,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</w:t>
            </w:r>
            <w:r w:rsidRPr="00421E17">
              <w:rPr>
                <w:bCs/>
                <w:sz w:val="28"/>
                <w:szCs w:val="28"/>
                <w:lang w:val="ro-RO"/>
              </w:rPr>
              <w:t xml:space="preserve">precum </w:t>
            </w:r>
            <w:proofErr w:type="spellStart"/>
            <w:r w:rsidRPr="00421E17">
              <w:rPr>
                <w:bCs/>
                <w:sz w:val="28"/>
                <w:szCs w:val="28"/>
                <w:lang w:val="ro-RO"/>
              </w:rPr>
              <w:t>şi</w:t>
            </w:r>
            <w:proofErr w:type="spellEnd"/>
            <w:r w:rsidRPr="00421E17">
              <w:rPr>
                <w:bCs/>
                <w:sz w:val="28"/>
                <w:szCs w:val="28"/>
                <w:lang w:val="ro-RO"/>
              </w:rPr>
              <w:t xml:space="preserve"> exportul acestora</w:t>
            </w:r>
            <w:r w:rsidRPr="00284073">
              <w:rPr>
                <w:bCs/>
                <w:sz w:val="28"/>
                <w:szCs w:val="28"/>
                <w:lang w:val="ro-RO"/>
              </w:rPr>
              <w:t>” au constituit normele noi ale art. 61</w:t>
            </w:r>
            <w:r w:rsidRPr="00284073">
              <w:rPr>
                <w:bCs/>
                <w:sz w:val="28"/>
                <w:szCs w:val="28"/>
                <w:vertAlign w:val="superscript"/>
                <w:lang w:val="ro-RO"/>
              </w:rPr>
              <w:t>1</w:t>
            </w:r>
            <w:r w:rsidRPr="00284073">
              <w:rPr>
                <w:bCs/>
                <w:sz w:val="28"/>
                <w:szCs w:val="28"/>
                <w:lang w:val="ro-RO"/>
              </w:rPr>
              <w:t xml:space="preserve"> din Legea nr.209/2016 privind deșeurile (Legea nr.209/2016) referitoare la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licenţierea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activităţilor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de colectare, păstrare, prelucrare, comercializare, precum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de export al resturilor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deşeurilor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de metale feroase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neferoase, de baterii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 acumulatori </w:t>
            </w:r>
            <w:proofErr w:type="spellStart"/>
            <w:r w:rsidRPr="00284073">
              <w:rPr>
                <w:sz w:val="28"/>
                <w:szCs w:val="28"/>
                <w:lang w:val="ro-RO"/>
              </w:rPr>
              <w:t>uzaţi</w:t>
            </w:r>
            <w:proofErr w:type="spellEnd"/>
            <w:r w:rsidRPr="00284073">
              <w:rPr>
                <w:sz w:val="28"/>
                <w:szCs w:val="28"/>
                <w:lang w:val="ro-RO"/>
              </w:rPr>
              <w:t xml:space="preserve">, inclusiv în stare prelucrată, </w:t>
            </w:r>
            <w:r>
              <w:rPr>
                <w:sz w:val="28"/>
                <w:szCs w:val="28"/>
                <w:lang w:val="ro-RO"/>
              </w:rPr>
              <w:t xml:space="preserve">aprobate </w:t>
            </w:r>
            <w:r w:rsidRPr="00284073">
              <w:rPr>
                <w:sz w:val="28"/>
                <w:szCs w:val="28"/>
                <w:lang w:val="ro-RO"/>
              </w:rPr>
              <w:t>prin Legea nr.185/2017 pentru modificarea și completarea unor acte legislative, urmare cărora prevederile Hotărârii Guvernului</w:t>
            </w:r>
            <w:r w:rsidRPr="005D0D9E">
              <w:rPr>
                <w:bCs/>
                <w:sz w:val="28"/>
                <w:szCs w:val="28"/>
                <w:lang w:val="ro-RO"/>
              </w:rPr>
              <w:t xml:space="preserve"> nr.</w:t>
            </w:r>
            <w:r w:rsidRPr="00284073">
              <w:rPr>
                <w:bCs/>
                <w:sz w:val="28"/>
                <w:szCs w:val="28"/>
                <w:lang w:val="ro-RO"/>
              </w:rPr>
              <w:t>1284</w:t>
            </w:r>
            <w:r w:rsidRPr="005D0D9E">
              <w:rPr>
                <w:bCs/>
                <w:sz w:val="28"/>
                <w:szCs w:val="28"/>
                <w:lang w:val="ro-RO"/>
              </w:rPr>
              <w:t>/20</w:t>
            </w:r>
            <w:r w:rsidRPr="00284073">
              <w:rPr>
                <w:bCs/>
                <w:sz w:val="28"/>
                <w:szCs w:val="28"/>
                <w:lang w:val="ro-RO"/>
              </w:rPr>
              <w:t>02 au devenit caduce</w:t>
            </w:r>
            <w:r w:rsidRPr="00284073">
              <w:rPr>
                <w:sz w:val="28"/>
                <w:szCs w:val="28"/>
                <w:lang w:val="ro-RO"/>
              </w:rPr>
              <w:t>.</w:t>
            </w:r>
          </w:p>
          <w:p w:rsidR="006061B7" w:rsidRPr="00284073" w:rsidRDefault="00227826" w:rsidP="000D2E9C">
            <w:pPr>
              <w:pStyle w:val="NormalWeb"/>
              <w:rPr>
                <w:sz w:val="28"/>
                <w:szCs w:val="28"/>
                <w:lang w:val="ro-RO" w:eastAsia="ro-RO"/>
              </w:rPr>
            </w:pPr>
            <w:r>
              <w:rPr>
                <w:sz w:val="28"/>
                <w:szCs w:val="28"/>
                <w:lang w:val="ro-RO"/>
              </w:rPr>
              <w:t>Pe cale de consecință</w:t>
            </w:r>
            <w:r w:rsidR="006061B7" w:rsidRPr="00284073">
              <w:rPr>
                <w:sz w:val="28"/>
                <w:szCs w:val="28"/>
                <w:lang w:val="ro-RO"/>
              </w:rPr>
              <w:t>, rămânerea în continuare în vigoare a Hotărârii Guvernului</w:t>
            </w:r>
            <w:r w:rsidR="006061B7" w:rsidRPr="005D0D9E">
              <w:rPr>
                <w:bCs/>
                <w:sz w:val="28"/>
                <w:szCs w:val="28"/>
                <w:lang w:val="ro-RO"/>
              </w:rPr>
              <w:t xml:space="preserve"> nr.</w:t>
            </w:r>
            <w:r w:rsidR="006061B7" w:rsidRPr="00284073">
              <w:rPr>
                <w:bCs/>
                <w:sz w:val="28"/>
                <w:szCs w:val="28"/>
                <w:lang w:val="ro-RO"/>
              </w:rPr>
              <w:t>1284</w:t>
            </w:r>
            <w:r w:rsidR="006061B7" w:rsidRPr="005D0D9E">
              <w:rPr>
                <w:bCs/>
                <w:sz w:val="28"/>
                <w:szCs w:val="28"/>
                <w:lang w:val="ro-RO"/>
              </w:rPr>
              <w:t>/20</w:t>
            </w:r>
            <w:r w:rsidR="006061B7" w:rsidRPr="00284073">
              <w:rPr>
                <w:bCs/>
                <w:sz w:val="28"/>
                <w:szCs w:val="28"/>
                <w:lang w:val="ro-RO"/>
              </w:rPr>
              <w:t>02 va</w:t>
            </w:r>
            <w:r w:rsidR="006061B7" w:rsidRPr="00284073">
              <w:rPr>
                <w:sz w:val="28"/>
                <w:szCs w:val="28"/>
                <w:lang w:val="ro-RO"/>
              </w:rPr>
              <w:t xml:space="preserve"> crea confuzie la realizarea uniformă și armonioasă a prevederilor din domeniu. </w:t>
            </w:r>
          </w:p>
        </w:tc>
      </w:tr>
      <w:tr w:rsidR="006061B7" w:rsidRPr="00284073" w:rsidTr="000D2E9C">
        <w:trPr>
          <w:trHeight w:val="45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3.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Descrierea gradului de compatibilitate pentru proiectele care au ca scop armonizarea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legislaţiei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naţionale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cu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legislaţia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Uniunii Europene</w:t>
            </w:r>
          </w:p>
        </w:tc>
      </w:tr>
      <w:tr w:rsidR="006061B7" w:rsidRPr="00284073" w:rsidTr="000D2E9C">
        <w:trPr>
          <w:trHeight w:val="45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Proiectul dat nu conține norme privind armonizarea legislației naționale cu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legislaţia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Uniunii Europene.</w:t>
            </w:r>
          </w:p>
        </w:tc>
      </w:tr>
      <w:tr w:rsidR="006061B7" w:rsidRPr="00284073" w:rsidTr="000D2E9C">
        <w:trPr>
          <w:trHeight w:val="2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4.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Principalele prevederi ale proiectului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şi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evidenţierea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elementelor noi </w:t>
            </w:r>
          </w:p>
        </w:tc>
      </w:tr>
      <w:tr w:rsidR="006061B7" w:rsidRPr="00284073" w:rsidTr="000D2E9C">
        <w:trPr>
          <w:trHeight w:val="1563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Proiectul actului normativ guvernamental prevede abrogarea </w:t>
            </w:r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Hotărârii Guvernului </w:t>
            </w:r>
            <w:r w:rsidRPr="005D0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nr.</w:t>
            </w:r>
            <w:r w:rsidRPr="002840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1284</w:t>
            </w:r>
            <w:r w:rsidRPr="005D0D9E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>/20</w:t>
            </w:r>
            <w:r w:rsidRPr="00284073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ro-RO"/>
              </w:rPr>
              <w:t xml:space="preserve">02, în vederea realizării prevederilor noi ale Legii nr.209/2016 ce țin de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licenţierea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activităţilor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colectare, păstrare, prelucrare, comercializare, precum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export al resturilor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deşeurilor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de metale feroase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neferoase, de baterii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şi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acumulatori </w:t>
            </w:r>
            <w:proofErr w:type="spellStart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uzaţi</w:t>
            </w:r>
            <w:proofErr w:type="spellEnd"/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inclusiv în stare prelucrată, operate prin Legea nr.185/2017.</w:t>
            </w:r>
          </w:p>
        </w:tc>
      </w:tr>
      <w:tr w:rsidR="006061B7" w:rsidRPr="00284073" w:rsidTr="000D2E9C">
        <w:trPr>
          <w:trHeight w:val="25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lastRenderedPageBreak/>
              <w:t>5.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Fundamentarea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economico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-financiară</w:t>
            </w:r>
          </w:p>
        </w:tc>
      </w:tr>
      <w:tr w:rsidR="006061B7" w:rsidRPr="00284073" w:rsidTr="000D2E9C">
        <w:trPr>
          <w:trHeight w:val="909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Implementarea prevederilor proiectului nu necesită cheltuieli financiare suplimentare din bugetul de stat.</w:t>
            </w:r>
          </w:p>
        </w:tc>
      </w:tr>
      <w:tr w:rsidR="006061B7" w:rsidRPr="00284073" w:rsidTr="000D2E9C">
        <w:trPr>
          <w:trHeight w:val="2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6.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Modul de încorporare a actului în cadrul normativ în vigoare </w:t>
            </w:r>
          </w:p>
        </w:tc>
      </w:tr>
      <w:tr w:rsidR="006061B7" w:rsidRPr="00284073" w:rsidTr="000D2E9C">
        <w:trPr>
          <w:trHeight w:val="22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pStyle w:val="cb"/>
              <w:ind w:firstLine="644"/>
              <w:jc w:val="both"/>
              <w:rPr>
                <w:b w:val="0"/>
                <w:sz w:val="28"/>
                <w:szCs w:val="28"/>
                <w:lang w:val="ro-RO"/>
              </w:rPr>
            </w:pPr>
            <w:r w:rsidRPr="00284073">
              <w:rPr>
                <w:b w:val="0"/>
                <w:sz w:val="28"/>
                <w:szCs w:val="28"/>
                <w:lang w:val="ro-RO"/>
              </w:rPr>
              <w:t>Inițiativa în cauză vine să asigure realizarea amendamentelor operate în cadrul legal existent fără necesitatea modificării altor acte normative.</w:t>
            </w:r>
          </w:p>
        </w:tc>
      </w:tr>
      <w:tr w:rsidR="006061B7" w:rsidRPr="00284073" w:rsidTr="000D2E9C">
        <w:trPr>
          <w:trHeight w:val="2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7.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Avizarea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şi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consultarea publică a proiectului </w:t>
            </w:r>
          </w:p>
        </w:tc>
      </w:tr>
      <w:tr w:rsidR="006061B7" w:rsidRPr="00284073" w:rsidTr="000D2E9C">
        <w:trPr>
          <w:trHeight w:val="681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6061B7" w:rsidRPr="00284073" w:rsidTr="000D2E9C">
        <w:trPr>
          <w:trHeight w:val="22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8.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Constatările expertizei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>anticorupţie</w:t>
            </w:r>
            <w:proofErr w:type="spellEnd"/>
          </w:p>
        </w:tc>
      </w:tr>
      <w:tr w:rsidR="006061B7" w:rsidRPr="00284073" w:rsidTr="000D2E9C">
        <w:trPr>
          <w:trHeight w:val="78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6061B7" w:rsidRPr="00284073" w:rsidTr="000D2E9C">
        <w:trPr>
          <w:trHeight w:val="227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9.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Constatările expertizei de compatibilitate</w:t>
            </w:r>
          </w:p>
        </w:tc>
      </w:tr>
      <w:tr w:rsidR="006061B7" w:rsidRPr="00284073" w:rsidTr="000D2E9C">
        <w:trPr>
          <w:trHeight w:val="45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Proiectul de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hotărîre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nu conține norme privind armonizarea legislației naționale cu </w:t>
            </w:r>
            <w:proofErr w:type="spellStart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>legislaţia</w:t>
            </w:r>
            <w:proofErr w:type="spellEnd"/>
            <w:r w:rsidRPr="00284073"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  <w:t xml:space="preserve"> Uniunii Europene.</w:t>
            </w:r>
          </w:p>
        </w:tc>
      </w:tr>
      <w:tr w:rsidR="006061B7" w:rsidRPr="00284073" w:rsidTr="000D2E9C">
        <w:trPr>
          <w:trHeight w:val="23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2F2F2" w:themeFill="background1" w:themeFillShade="F2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10.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Constatările expertizei juridice</w:t>
            </w:r>
          </w:p>
        </w:tc>
      </w:tr>
      <w:tr w:rsidR="006061B7" w:rsidRPr="00284073" w:rsidTr="000D2E9C">
        <w:trPr>
          <w:trHeight w:val="204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</w:p>
        </w:tc>
      </w:tr>
      <w:tr w:rsidR="006061B7" w:rsidRPr="00284073" w:rsidTr="000D2E9C">
        <w:trPr>
          <w:trHeight w:val="31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7E6E6" w:themeFill="background2"/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ro-RO" w:eastAsia="ro-RO"/>
              </w:rPr>
            </w:pPr>
            <w:r w:rsidRPr="0028407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  <w:t>11.</w:t>
            </w:r>
            <w:r w:rsidRPr="0028407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 w:eastAsia="ro-RO"/>
              </w:rPr>
              <w:t xml:space="preserve"> Constatările altor expertize</w:t>
            </w:r>
          </w:p>
        </w:tc>
      </w:tr>
      <w:tr w:rsidR="006061B7" w:rsidRPr="00284073" w:rsidTr="000D2E9C">
        <w:trPr>
          <w:trHeight w:val="222"/>
          <w:jc w:val="center"/>
        </w:trPr>
        <w:tc>
          <w:tcPr>
            <w:tcW w:w="50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45" w:type="dxa"/>
              <w:bottom w:w="15" w:type="dxa"/>
              <w:right w:w="45" w:type="dxa"/>
            </w:tcMar>
          </w:tcPr>
          <w:p w:rsidR="006061B7" w:rsidRPr="00284073" w:rsidRDefault="006061B7" w:rsidP="000D2E9C">
            <w:pPr>
              <w:spacing w:after="0" w:line="240" w:lineRule="auto"/>
              <w:ind w:firstLine="64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ro-RO" w:eastAsia="ro-RO"/>
              </w:rPr>
            </w:pPr>
          </w:p>
        </w:tc>
      </w:tr>
    </w:tbl>
    <w:p w:rsidR="006061B7" w:rsidRPr="00284073" w:rsidRDefault="006061B7" w:rsidP="006061B7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061B7" w:rsidRPr="00284073" w:rsidRDefault="006061B7" w:rsidP="006061B7">
      <w:pPr>
        <w:tabs>
          <w:tab w:val="left" w:pos="884"/>
          <w:tab w:val="left" w:pos="1196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:rsidR="006061B7" w:rsidRPr="00284073" w:rsidRDefault="00AC4EDF" w:rsidP="006061B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Secretar de Stat                                              Alexandru SONIC</w:t>
      </w:r>
    </w:p>
    <w:p w:rsidR="006061B7" w:rsidRPr="00284073" w:rsidRDefault="006061B7" w:rsidP="006061B7">
      <w:pPr>
        <w:rPr>
          <w:sz w:val="28"/>
          <w:szCs w:val="28"/>
          <w:lang w:val="ro-RO"/>
        </w:rPr>
      </w:pPr>
    </w:p>
    <w:p w:rsidR="006061B7" w:rsidRDefault="006061B7"/>
    <w:sectPr w:rsidR="006061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0D9E"/>
    <w:rsid w:val="00057BB0"/>
    <w:rsid w:val="00227826"/>
    <w:rsid w:val="002C7571"/>
    <w:rsid w:val="003A4583"/>
    <w:rsid w:val="00421E17"/>
    <w:rsid w:val="0044576D"/>
    <w:rsid w:val="0053550D"/>
    <w:rsid w:val="005D0D9E"/>
    <w:rsid w:val="005D36AF"/>
    <w:rsid w:val="006061B7"/>
    <w:rsid w:val="006E7DAA"/>
    <w:rsid w:val="00815E34"/>
    <w:rsid w:val="008B482B"/>
    <w:rsid w:val="008E2AAF"/>
    <w:rsid w:val="008E4C2F"/>
    <w:rsid w:val="00AC4EDF"/>
    <w:rsid w:val="00D742B8"/>
    <w:rsid w:val="00DA4B55"/>
    <w:rsid w:val="00EE4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BF00237-6E02-48A5-A006-26FA79960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D0D9E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rsid w:val="005D0D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pb">
    <w:name w:val="pb"/>
    <w:basedOn w:val="Normal"/>
    <w:rsid w:val="005D0D9E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</w:rPr>
  </w:style>
  <w:style w:type="paragraph" w:customStyle="1" w:styleId="cn">
    <w:name w:val="cn"/>
    <w:basedOn w:val="Normal"/>
    <w:rsid w:val="005D0D9E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5D0D9E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5D0D9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C4E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E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309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lex:HGHG201708166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740</Words>
  <Characters>4223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Corina</dc:creator>
  <cp:keywords/>
  <dc:description/>
  <cp:lastModifiedBy>Corina</cp:lastModifiedBy>
  <cp:revision>2</cp:revision>
  <cp:lastPrinted>2019-09-02T15:23:00Z</cp:lastPrinted>
  <dcterms:created xsi:type="dcterms:W3CDTF">2019-09-18T12:46:00Z</dcterms:created>
  <dcterms:modified xsi:type="dcterms:W3CDTF">2019-09-18T12:46:00Z</dcterms:modified>
</cp:coreProperties>
</file>