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BD0" w:rsidRPr="00CF02A2" w:rsidRDefault="00D46BD0" w:rsidP="00D46BD0">
      <w:pPr>
        <w:spacing w:after="0" w:line="240" w:lineRule="auto"/>
        <w:jc w:val="center"/>
        <w:rPr>
          <w:rFonts w:ascii="Times New Roman" w:hAnsi="Times New Roman"/>
          <w:b/>
          <w:sz w:val="28"/>
          <w:szCs w:val="28"/>
          <w:shd w:val="clear" w:color="auto" w:fill="FFFFFF"/>
          <w:lang w:val="ro-RO"/>
        </w:rPr>
      </w:pPr>
      <w:r w:rsidRPr="00CF02A2">
        <w:rPr>
          <w:rFonts w:ascii="Times New Roman" w:hAnsi="Times New Roman"/>
          <w:b/>
          <w:sz w:val="28"/>
          <w:szCs w:val="28"/>
          <w:shd w:val="clear" w:color="auto" w:fill="FFFFFF"/>
          <w:lang w:val="ro-RO"/>
        </w:rPr>
        <w:t>NOTĂ INFORMATIVĂ</w:t>
      </w:r>
    </w:p>
    <w:p w:rsidR="00D46BD0" w:rsidRPr="00CF02A2" w:rsidRDefault="00D46BD0" w:rsidP="00D46BD0">
      <w:pPr>
        <w:shd w:val="clear" w:color="auto" w:fill="FFFFFF"/>
        <w:spacing w:after="0" w:line="240" w:lineRule="auto"/>
        <w:jc w:val="center"/>
        <w:outlineLvl w:val="3"/>
        <w:rPr>
          <w:rFonts w:ascii="Times New Roman" w:hAnsi="Times New Roman"/>
          <w:b/>
          <w:sz w:val="28"/>
          <w:szCs w:val="28"/>
          <w:shd w:val="clear" w:color="auto" w:fill="FFFFFF"/>
          <w:lang w:val="ro-RO"/>
        </w:rPr>
      </w:pPr>
      <w:r w:rsidRPr="00CF02A2">
        <w:rPr>
          <w:rFonts w:ascii="Times New Roman" w:hAnsi="Times New Roman"/>
          <w:b/>
          <w:sz w:val="28"/>
          <w:szCs w:val="28"/>
          <w:shd w:val="clear" w:color="auto" w:fill="FFFFFF"/>
          <w:lang w:val="ro-RO"/>
        </w:rPr>
        <w:t xml:space="preserve">la proiectul hotărârii Guvernului privind abrogarea </w:t>
      </w:r>
    </w:p>
    <w:p w:rsidR="00D46BD0" w:rsidRPr="00CF02A2" w:rsidRDefault="00D46BD0" w:rsidP="00D46BD0">
      <w:pPr>
        <w:shd w:val="clear" w:color="auto" w:fill="FFFFFF"/>
        <w:spacing w:after="0" w:line="240" w:lineRule="auto"/>
        <w:jc w:val="center"/>
        <w:outlineLvl w:val="3"/>
        <w:rPr>
          <w:rFonts w:ascii="Times New Roman" w:hAnsi="Times New Roman"/>
          <w:b/>
          <w:sz w:val="28"/>
          <w:szCs w:val="28"/>
          <w:shd w:val="clear" w:color="auto" w:fill="FFFFFF"/>
          <w:lang w:val="ro-RO"/>
        </w:rPr>
      </w:pPr>
      <w:r w:rsidRPr="00CF02A2">
        <w:rPr>
          <w:rFonts w:ascii="Times New Roman" w:hAnsi="Times New Roman"/>
          <w:b/>
          <w:sz w:val="28"/>
          <w:szCs w:val="28"/>
          <w:shd w:val="clear" w:color="auto" w:fill="FFFFFF"/>
          <w:lang w:val="ro-RO"/>
        </w:rPr>
        <w:t xml:space="preserve">Hotărîrii Guvernului nr.1303/2000 cu privire la reorganizarea </w:t>
      </w:r>
    </w:p>
    <w:p w:rsidR="00D46BD0" w:rsidRPr="00CF02A2" w:rsidRDefault="00D46BD0" w:rsidP="00D46BD0">
      <w:pPr>
        <w:shd w:val="clear" w:color="auto" w:fill="FFFFFF"/>
        <w:spacing w:after="0" w:line="240" w:lineRule="auto"/>
        <w:jc w:val="center"/>
        <w:outlineLvl w:val="3"/>
        <w:rPr>
          <w:rFonts w:ascii="Times New Roman" w:hAnsi="Times New Roman"/>
          <w:b/>
          <w:sz w:val="28"/>
          <w:szCs w:val="28"/>
          <w:shd w:val="clear" w:color="auto" w:fill="FFFFFF"/>
          <w:lang w:val="ro-RO"/>
        </w:rPr>
      </w:pPr>
      <w:r w:rsidRPr="00CF02A2">
        <w:rPr>
          <w:rFonts w:ascii="Times New Roman" w:hAnsi="Times New Roman"/>
          <w:b/>
          <w:sz w:val="28"/>
          <w:szCs w:val="28"/>
          <w:shd w:val="clear" w:color="auto" w:fill="FFFFFF"/>
          <w:lang w:val="ro-RO"/>
        </w:rPr>
        <w:t xml:space="preserve">Centrului de Cercetări Ştiinţifice al Ministerului Apărării </w:t>
      </w:r>
    </w:p>
    <w:p w:rsidR="00D46BD0" w:rsidRPr="00CF02A2" w:rsidRDefault="00D46BD0" w:rsidP="00D46BD0">
      <w:pPr>
        <w:shd w:val="clear" w:color="auto" w:fill="FFFFFF"/>
        <w:spacing w:after="0" w:line="240" w:lineRule="auto"/>
        <w:jc w:val="center"/>
        <w:outlineLvl w:val="3"/>
        <w:rPr>
          <w:rFonts w:ascii="Times New Roman" w:hAnsi="Times New Roman"/>
          <w:bCs/>
          <w:sz w:val="28"/>
          <w:szCs w:val="28"/>
          <w:lang w:val="ro-RO"/>
        </w:rPr>
      </w:pPr>
      <w:r w:rsidRPr="00CF02A2">
        <w:rPr>
          <w:rFonts w:ascii="Times New Roman" w:hAnsi="Times New Roman"/>
          <w:b/>
          <w:sz w:val="28"/>
          <w:szCs w:val="28"/>
          <w:shd w:val="clear" w:color="auto" w:fill="FFFFFF"/>
          <w:lang w:val="ro-RO"/>
        </w:rPr>
        <w:t>în Întreprinderea de stat „Centrul de Cercetări Ştiinţifice „TRILOG””</w:t>
      </w:r>
    </w:p>
    <w:p w:rsidR="00D46BD0" w:rsidRPr="00CF02A2" w:rsidRDefault="00D46BD0" w:rsidP="00D46BD0">
      <w:pPr>
        <w:spacing w:after="0" w:line="240" w:lineRule="auto"/>
        <w:jc w:val="center"/>
        <w:rPr>
          <w:rFonts w:ascii="Times New Roman" w:hAnsi="Times New Roman"/>
          <w:sz w:val="28"/>
          <w:szCs w:val="28"/>
          <w:shd w:val="clear" w:color="auto" w:fill="FFFFFF"/>
          <w:lang w:val="ro-RO"/>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D46BD0" w:rsidRPr="00CF02A2" w:rsidTr="007517F1">
        <w:tc>
          <w:tcPr>
            <w:tcW w:w="9464" w:type="dxa"/>
          </w:tcPr>
          <w:p w:rsidR="00D46BD0" w:rsidRPr="00CF02A2" w:rsidRDefault="00D46BD0" w:rsidP="007517F1">
            <w:pPr>
              <w:spacing w:after="0" w:line="240" w:lineRule="auto"/>
              <w:jc w:val="both"/>
              <w:rPr>
                <w:rFonts w:ascii="Times New Roman" w:hAnsi="Times New Roman"/>
                <w:b/>
                <w:sz w:val="28"/>
                <w:szCs w:val="28"/>
                <w:shd w:val="clear" w:color="auto" w:fill="FFFFFF"/>
                <w:lang w:val="ro-RO"/>
              </w:rPr>
            </w:pPr>
            <w:r w:rsidRPr="00CF02A2">
              <w:rPr>
                <w:rFonts w:ascii="Times New Roman" w:hAnsi="Times New Roman"/>
                <w:b/>
                <w:sz w:val="28"/>
                <w:szCs w:val="28"/>
                <w:shd w:val="clear" w:color="auto" w:fill="FFFFFF"/>
                <w:lang w:val="ro-RO"/>
              </w:rPr>
              <w:t>1. Denumirea autorului şi, după caz, a participanţilor la elaborarea proiectului</w:t>
            </w:r>
          </w:p>
        </w:tc>
      </w:tr>
      <w:tr w:rsidR="00D46BD0" w:rsidRPr="00CF02A2" w:rsidTr="007517F1">
        <w:tc>
          <w:tcPr>
            <w:tcW w:w="9464" w:type="dxa"/>
          </w:tcPr>
          <w:p w:rsidR="00D46BD0" w:rsidRPr="00CF02A2" w:rsidRDefault="00D46BD0" w:rsidP="007517F1">
            <w:pPr>
              <w:spacing w:after="0" w:line="240" w:lineRule="auto"/>
              <w:jc w:val="both"/>
              <w:rPr>
                <w:rFonts w:ascii="Times New Roman" w:hAnsi="Times New Roman"/>
                <w:sz w:val="28"/>
                <w:szCs w:val="28"/>
                <w:shd w:val="clear" w:color="auto" w:fill="FFFFFF"/>
                <w:lang w:val="ro-RO"/>
              </w:rPr>
            </w:pPr>
            <w:r w:rsidRPr="00CF02A2">
              <w:rPr>
                <w:rFonts w:ascii="Times New Roman" w:hAnsi="Times New Roman"/>
                <w:sz w:val="28"/>
                <w:szCs w:val="28"/>
                <w:shd w:val="clear" w:color="auto" w:fill="FFFFFF"/>
                <w:lang w:val="ro-RO"/>
              </w:rPr>
              <w:t>Ministerul Apărării</w:t>
            </w:r>
          </w:p>
        </w:tc>
      </w:tr>
      <w:tr w:rsidR="00D46BD0" w:rsidRPr="00CF02A2" w:rsidTr="007517F1">
        <w:tc>
          <w:tcPr>
            <w:tcW w:w="9464" w:type="dxa"/>
          </w:tcPr>
          <w:p w:rsidR="00D46BD0" w:rsidRPr="00CF02A2" w:rsidRDefault="00D46BD0" w:rsidP="007517F1">
            <w:pPr>
              <w:spacing w:after="0" w:line="240" w:lineRule="auto"/>
              <w:jc w:val="both"/>
              <w:rPr>
                <w:rFonts w:ascii="Times New Roman" w:hAnsi="Times New Roman"/>
                <w:b/>
                <w:sz w:val="28"/>
                <w:szCs w:val="28"/>
                <w:shd w:val="clear" w:color="auto" w:fill="FFFFFF"/>
                <w:lang w:val="ro-RO"/>
              </w:rPr>
            </w:pPr>
            <w:r w:rsidRPr="00CF02A2">
              <w:rPr>
                <w:rFonts w:ascii="Times New Roman" w:hAnsi="Times New Roman"/>
                <w:b/>
                <w:sz w:val="28"/>
                <w:szCs w:val="28"/>
                <w:shd w:val="clear" w:color="auto" w:fill="FFFFFF"/>
                <w:lang w:val="ro-RO"/>
              </w:rPr>
              <w:t>2. Condiţiile ce au impus elaborarea proiectului de act normativ şi finalităţile urmărite</w:t>
            </w:r>
          </w:p>
        </w:tc>
      </w:tr>
      <w:tr w:rsidR="00D46BD0" w:rsidRPr="00CF02A2" w:rsidTr="007517F1">
        <w:tc>
          <w:tcPr>
            <w:tcW w:w="9464" w:type="dxa"/>
          </w:tcPr>
          <w:p w:rsidR="00D46BD0" w:rsidRPr="00CF02A2" w:rsidRDefault="00D46BD0" w:rsidP="007517F1">
            <w:pPr>
              <w:shd w:val="clear" w:color="auto" w:fill="FFFFFF"/>
              <w:spacing w:after="0" w:line="240" w:lineRule="auto"/>
              <w:jc w:val="both"/>
              <w:outlineLvl w:val="3"/>
              <w:rPr>
                <w:rFonts w:ascii="Times New Roman" w:hAnsi="Times New Roman"/>
                <w:sz w:val="28"/>
                <w:szCs w:val="28"/>
                <w:shd w:val="clear" w:color="auto" w:fill="FFFFFF"/>
                <w:lang w:val="ro-RO"/>
              </w:rPr>
            </w:pPr>
            <w:r w:rsidRPr="00CF02A2">
              <w:rPr>
                <w:rFonts w:ascii="Times New Roman" w:hAnsi="Times New Roman"/>
                <w:sz w:val="28"/>
                <w:szCs w:val="28"/>
                <w:shd w:val="clear" w:color="auto" w:fill="FFFFFF"/>
                <w:lang w:val="ro-RO"/>
              </w:rPr>
              <w:t xml:space="preserve">     Hotărârea Guvernului nr.1303/2000 cu privire la reorganizarea Centrului de Cercetări Ştiinţifice al Ministerului Apărării în Întreprinderea de stat „Centrul de Cercetări Ştiinţifice „TRILOG”” a fost aprobată în vederea formării Întreprinderii de stat „TRILOG” care avea ca scop </w:t>
            </w:r>
            <w:r w:rsidRPr="00CF02A2">
              <w:rPr>
                <w:rFonts w:ascii="Times New Roman" w:hAnsi="Times New Roman"/>
                <w:i/>
                <w:sz w:val="28"/>
                <w:szCs w:val="28"/>
                <w:shd w:val="clear" w:color="auto" w:fill="FFFFFF"/>
                <w:lang w:val="ro-RO"/>
              </w:rPr>
              <w:t>„desfăşurarea activităţii de cercetare fundamentală şi aplicativă de antreprenoriat în domeniu elaborării, fabricării şi cercetării armamentului şi tehnicii militare”</w:t>
            </w:r>
            <w:r w:rsidRPr="00CF02A2">
              <w:rPr>
                <w:rFonts w:ascii="Times New Roman" w:hAnsi="Times New Roman"/>
                <w:sz w:val="28"/>
                <w:szCs w:val="28"/>
                <w:shd w:val="clear" w:color="auto" w:fill="FFFFFF"/>
                <w:lang w:val="ro-RO"/>
              </w:rPr>
              <w:t xml:space="preserve">. Însă, până în prezent, prevederile Hotărârii Guvernului nr.1303/2000 nu au fost realizate. O parte din atribuțiile ce urmau a fi exercitate de către întreprinderea menționată au fost pe parcurs puse pe seama Centrului de Cercetări Ştiinţifice al Ministerului Apărării, care a activat în cadrul Academiei Militare a Forțelor Armate. Pe parcursul anului 2021 unele sarcini din domeniul cercetării fundamentale și aplicative au fost transmise în competența Agenţiei pentru Știință şi Memorie Militară. </w:t>
            </w:r>
          </w:p>
          <w:p w:rsidR="00D46BD0" w:rsidRPr="00CF02A2" w:rsidRDefault="00D46BD0" w:rsidP="007517F1">
            <w:pPr>
              <w:shd w:val="clear" w:color="auto" w:fill="FFFFFF"/>
              <w:spacing w:after="0" w:line="240" w:lineRule="auto"/>
              <w:jc w:val="both"/>
              <w:outlineLvl w:val="3"/>
              <w:rPr>
                <w:rFonts w:ascii="Times New Roman" w:hAnsi="Times New Roman"/>
                <w:sz w:val="28"/>
                <w:szCs w:val="28"/>
                <w:shd w:val="clear" w:color="auto" w:fill="FFFFFF"/>
                <w:lang w:val="ro-RO"/>
              </w:rPr>
            </w:pPr>
            <w:r w:rsidRPr="00CF02A2">
              <w:rPr>
                <w:rFonts w:ascii="Times New Roman" w:hAnsi="Times New Roman"/>
                <w:sz w:val="28"/>
                <w:szCs w:val="28"/>
                <w:shd w:val="clear" w:color="auto" w:fill="FFFFFF"/>
                <w:lang w:val="ro-RO"/>
              </w:rPr>
              <w:t xml:space="preserve">     Întru executarea recomandărilor Curţii de Conturi, pe parcursului anului 2021, cât și ținând cont de faptul că atribuțiile au fost preluate de către alte entități din subordinea Ministerului Apărării, se propune abrogarea Hotărîrii Guvernului nr.1303/2000 cu privire la reorganizarea Centrului de Cercetări Ştiinţifice al Ministerului Apărării în Întreprinderea de stat „Centrul de Cercetări Ştiinţifice „TRILOG””.</w:t>
            </w:r>
          </w:p>
          <w:p w:rsidR="00D46BD0" w:rsidRPr="00CF02A2" w:rsidRDefault="00D46BD0" w:rsidP="007517F1">
            <w:pPr>
              <w:shd w:val="clear" w:color="auto" w:fill="FFFFFF"/>
              <w:spacing w:after="0" w:line="240" w:lineRule="auto"/>
              <w:jc w:val="both"/>
              <w:outlineLvl w:val="3"/>
              <w:rPr>
                <w:rFonts w:ascii="Times New Roman" w:hAnsi="Times New Roman"/>
                <w:sz w:val="28"/>
                <w:szCs w:val="28"/>
                <w:shd w:val="clear" w:color="auto" w:fill="FFFFFF"/>
                <w:lang w:val="ro-RO"/>
              </w:rPr>
            </w:pPr>
            <w:r w:rsidRPr="00CF02A2">
              <w:rPr>
                <w:rFonts w:ascii="Times New Roman" w:hAnsi="Times New Roman"/>
                <w:sz w:val="28"/>
                <w:szCs w:val="28"/>
                <w:shd w:val="clear" w:color="auto" w:fill="FFFFFF"/>
                <w:lang w:val="ro-RO"/>
              </w:rPr>
              <w:t xml:space="preserve">     Astfel, necesitatea adoptării proiectului în cauză are un caracter tehnic și se propune abrogarea unei hotărâri a Guvernului care nu a fost realizată, iar prin abrogarea acesteia se va exclude incertitudinea cu privire la necesitatea constituirii întreprinderii vizate. Întreprinderea de stat „Centrul de Cercetări Ştiinţifice „TRILOG”” nu a fost înregistrată în Registrul de stat al unităţilor de drept.</w:t>
            </w:r>
          </w:p>
        </w:tc>
      </w:tr>
      <w:tr w:rsidR="00D46BD0" w:rsidRPr="00CF02A2" w:rsidTr="007517F1">
        <w:tc>
          <w:tcPr>
            <w:tcW w:w="9464" w:type="dxa"/>
          </w:tcPr>
          <w:p w:rsidR="00D46BD0" w:rsidRPr="00CF02A2" w:rsidRDefault="00D46BD0" w:rsidP="007517F1">
            <w:pPr>
              <w:spacing w:after="0" w:line="240" w:lineRule="auto"/>
              <w:jc w:val="both"/>
              <w:rPr>
                <w:rFonts w:ascii="Times New Roman" w:hAnsi="Times New Roman"/>
                <w:sz w:val="28"/>
                <w:szCs w:val="28"/>
                <w:shd w:val="clear" w:color="auto" w:fill="FFFFFF"/>
                <w:lang w:val="ro-RO"/>
              </w:rPr>
            </w:pPr>
            <w:r w:rsidRPr="00CF02A2">
              <w:rPr>
                <w:rFonts w:ascii="Times New Roman" w:hAnsi="Times New Roman"/>
                <w:b/>
                <w:sz w:val="28"/>
                <w:szCs w:val="28"/>
                <w:shd w:val="clear" w:color="auto" w:fill="FFFFFF"/>
                <w:lang w:val="ro-RO"/>
              </w:rPr>
              <w:t>3.  Principalele prevederi ale proiectului şi evidenţierea elementelor noi</w:t>
            </w:r>
          </w:p>
        </w:tc>
      </w:tr>
      <w:tr w:rsidR="00D46BD0" w:rsidRPr="00CF02A2" w:rsidTr="007517F1">
        <w:trPr>
          <w:trHeight w:val="557"/>
        </w:trPr>
        <w:tc>
          <w:tcPr>
            <w:tcW w:w="9464" w:type="dxa"/>
          </w:tcPr>
          <w:p w:rsidR="00D46BD0" w:rsidRPr="00CF02A2" w:rsidRDefault="00D46BD0" w:rsidP="007517F1">
            <w:pPr>
              <w:spacing w:after="0" w:line="240" w:lineRule="auto"/>
              <w:jc w:val="both"/>
              <w:rPr>
                <w:rFonts w:ascii="Times New Roman" w:hAnsi="Times New Roman"/>
                <w:sz w:val="28"/>
                <w:szCs w:val="28"/>
                <w:shd w:val="clear" w:color="auto" w:fill="FFFFFF"/>
                <w:lang w:val="ro-RO"/>
              </w:rPr>
            </w:pPr>
            <w:r w:rsidRPr="00CF02A2">
              <w:rPr>
                <w:rFonts w:ascii="Times New Roman" w:hAnsi="Times New Roman"/>
                <w:sz w:val="28"/>
                <w:szCs w:val="28"/>
                <w:shd w:val="clear" w:color="auto" w:fill="FFFFFF"/>
                <w:lang w:val="ro-RO"/>
              </w:rPr>
              <w:t xml:space="preserve">     Proiectul prevede abrogarea </w:t>
            </w:r>
            <w:r w:rsidRPr="00CF02A2">
              <w:rPr>
                <w:rFonts w:ascii="Times New Roman" w:hAnsi="Times New Roman"/>
                <w:sz w:val="28"/>
                <w:szCs w:val="28"/>
                <w:lang w:val="ro-RO"/>
              </w:rPr>
              <w:t>Hotărârii Guvernului nr.1303/2000</w:t>
            </w:r>
            <w:r w:rsidRPr="00CF02A2">
              <w:rPr>
                <w:lang w:val="ro-RO"/>
              </w:rPr>
              <w:t xml:space="preserve"> </w:t>
            </w:r>
            <w:r w:rsidRPr="00CF02A2">
              <w:rPr>
                <w:rFonts w:ascii="Times New Roman" w:hAnsi="Times New Roman"/>
                <w:sz w:val="28"/>
                <w:szCs w:val="28"/>
                <w:lang w:val="ro-RO"/>
              </w:rPr>
              <w:t>cu privire la reorganizarea Centrului de Cercetări Ştiinţifice al Ministerului Apărării în Întreprinderea de stat „Centrul de Cercetări Ştiinţifice „TRILOG””</w:t>
            </w:r>
            <w:r w:rsidRPr="00CF02A2">
              <w:rPr>
                <w:rFonts w:ascii="Times New Roman" w:hAnsi="Times New Roman"/>
                <w:sz w:val="28"/>
                <w:szCs w:val="28"/>
                <w:shd w:val="clear" w:color="auto" w:fill="FFFFFF"/>
                <w:lang w:val="ro-RO"/>
              </w:rPr>
              <w:t xml:space="preserve">. </w:t>
            </w:r>
          </w:p>
          <w:p w:rsidR="00D46BD0" w:rsidRPr="00CF02A2" w:rsidRDefault="00D46BD0" w:rsidP="007517F1">
            <w:pPr>
              <w:spacing w:after="0" w:line="240" w:lineRule="auto"/>
              <w:jc w:val="both"/>
              <w:rPr>
                <w:rFonts w:ascii="Times New Roman" w:hAnsi="Times New Roman"/>
                <w:sz w:val="28"/>
                <w:szCs w:val="28"/>
                <w:shd w:val="clear" w:color="auto" w:fill="FFFFFF"/>
                <w:lang w:val="ro-RO"/>
              </w:rPr>
            </w:pPr>
            <w:r w:rsidRPr="00CF02A2">
              <w:rPr>
                <w:rFonts w:ascii="Times New Roman" w:hAnsi="Times New Roman"/>
                <w:sz w:val="28"/>
                <w:szCs w:val="28"/>
                <w:shd w:val="clear" w:color="auto" w:fill="FFFFFF"/>
                <w:lang w:val="ro-RO"/>
              </w:rPr>
              <w:t xml:space="preserve">     Concomitent, urmare a aprobării Hotărârii Guvernului nr.1303/2000, nu au fost </w:t>
            </w:r>
            <w:r w:rsidRPr="00CF02A2">
              <w:rPr>
                <w:rFonts w:ascii="Times New Roman" w:hAnsi="Times New Roman"/>
                <w:sz w:val="28"/>
                <w:szCs w:val="28"/>
                <w:shd w:val="clear" w:color="auto" w:fill="FFFFFF"/>
                <w:lang w:val="ro-RO"/>
              </w:rPr>
              <w:lastRenderedPageBreak/>
              <w:t>întreprinse careva acțiuni care ar produce efecte juridice, inclusiv întreprinderea nu a fost înregistrată în Registrul de stat al unităților de drept, nu au fost elaborare și aprobare state de personal, numiri și/sau eliberări din funcții a personalului, etc.).</w:t>
            </w:r>
          </w:p>
        </w:tc>
      </w:tr>
      <w:tr w:rsidR="00D46BD0" w:rsidRPr="00CF02A2" w:rsidTr="007517F1">
        <w:tc>
          <w:tcPr>
            <w:tcW w:w="9464" w:type="dxa"/>
          </w:tcPr>
          <w:p w:rsidR="00D46BD0" w:rsidRPr="00CF02A2" w:rsidRDefault="00D46BD0" w:rsidP="007517F1">
            <w:pPr>
              <w:spacing w:after="0" w:line="240" w:lineRule="auto"/>
              <w:jc w:val="both"/>
              <w:rPr>
                <w:rFonts w:ascii="Times New Roman" w:hAnsi="Times New Roman"/>
                <w:b/>
                <w:bCs/>
                <w:sz w:val="28"/>
                <w:szCs w:val="28"/>
                <w:shd w:val="clear" w:color="auto" w:fill="FFFFFF"/>
                <w:lang w:val="ro-RO"/>
              </w:rPr>
            </w:pPr>
            <w:r w:rsidRPr="00CF02A2">
              <w:rPr>
                <w:rFonts w:ascii="Times New Roman" w:hAnsi="Times New Roman"/>
                <w:b/>
                <w:bCs/>
                <w:sz w:val="28"/>
                <w:szCs w:val="28"/>
                <w:shd w:val="clear" w:color="auto" w:fill="FFFFFF"/>
                <w:lang w:val="ro-RO"/>
              </w:rPr>
              <w:lastRenderedPageBreak/>
              <w:t>4.  Fundamentarea economico-financiară</w:t>
            </w:r>
          </w:p>
        </w:tc>
      </w:tr>
      <w:tr w:rsidR="00D46BD0" w:rsidRPr="00CF02A2" w:rsidTr="007517F1">
        <w:tc>
          <w:tcPr>
            <w:tcW w:w="9464" w:type="dxa"/>
          </w:tcPr>
          <w:p w:rsidR="00D46BD0" w:rsidRPr="00CF02A2" w:rsidRDefault="00D46BD0" w:rsidP="007517F1">
            <w:pPr>
              <w:spacing w:after="0" w:line="240" w:lineRule="auto"/>
              <w:jc w:val="both"/>
              <w:rPr>
                <w:rFonts w:ascii="Times New Roman" w:hAnsi="Times New Roman"/>
                <w:bCs/>
                <w:sz w:val="28"/>
                <w:szCs w:val="28"/>
                <w:shd w:val="clear" w:color="auto" w:fill="FFFFFF"/>
                <w:lang w:val="ro-RO"/>
              </w:rPr>
            </w:pPr>
            <w:r w:rsidRPr="00CF02A2">
              <w:rPr>
                <w:rFonts w:ascii="Times New Roman" w:hAnsi="Times New Roman"/>
                <w:bCs/>
                <w:sz w:val="28"/>
                <w:szCs w:val="28"/>
                <w:shd w:val="clear" w:color="auto" w:fill="FFFFFF"/>
                <w:lang w:val="ro-RO"/>
              </w:rPr>
              <w:t xml:space="preserve">     Implementarea prevederilor proiectului nu presupune cheltuieli suplimentare din bugetul de stat. </w:t>
            </w:r>
          </w:p>
        </w:tc>
      </w:tr>
      <w:tr w:rsidR="00D46BD0" w:rsidRPr="00CF02A2" w:rsidTr="007517F1">
        <w:tc>
          <w:tcPr>
            <w:tcW w:w="9464" w:type="dxa"/>
          </w:tcPr>
          <w:p w:rsidR="00D46BD0" w:rsidRPr="00CF02A2" w:rsidRDefault="00D46BD0" w:rsidP="007517F1">
            <w:pPr>
              <w:spacing w:after="0" w:line="240" w:lineRule="auto"/>
              <w:jc w:val="both"/>
              <w:rPr>
                <w:rFonts w:ascii="Times New Roman" w:hAnsi="Times New Roman"/>
                <w:b/>
                <w:sz w:val="28"/>
                <w:szCs w:val="28"/>
                <w:shd w:val="clear" w:color="auto" w:fill="FFFFFF"/>
                <w:lang w:val="ro-RO"/>
              </w:rPr>
            </w:pPr>
            <w:r w:rsidRPr="00CF02A2">
              <w:rPr>
                <w:rFonts w:ascii="Times New Roman" w:hAnsi="Times New Roman"/>
                <w:b/>
                <w:sz w:val="28"/>
                <w:szCs w:val="28"/>
                <w:shd w:val="clear" w:color="auto" w:fill="FFFFFF"/>
                <w:lang w:val="ro-RO"/>
              </w:rPr>
              <w:t>5.  Modul de încorporare al  actului în cadrul normativ în vigoare</w:t>
            </w:r>
          </w:p>
        </w:tc>
      </w:tr>
      <w:tr w:rsidR="00D46BD0" w:rsidRPr="00CF02A2" w:rsidTr="007517F1">
        <w:tc>
          <w:tcPr>
            <w:tcW w:w="9464" w:type="dxa"/>
          </w:tcPr>
          <w:p w:rsidR="00D46BD0" w:rsidRPr="00CF02A2" w:rsidRDefault="00D46BD0" w:rsidP="007517F1">
            <w:pPr>
              <w:spacing w:after="0" w:line="240" w:lineRule="auto"/>
              <w:jc w:val="both"/>
              <w:rPr>
                <w:rFonts w:ascii="Times New Roman" w:hAnsi="Times New Roman"/>
                <w:sz w:val="28"/>
                <w:szCs w:val="28"/>
                <w:shd w:val="clear" w:color="auto" w:fill="FFFFFF"/>
                <w:lang w:val="ro-RO"/>
              </w:rPr>
            </w:pPr>
            <w:r w:rsidRPr="00CF02A2">
              <w:rPr>
                <w:rFonts w:ascii="Times New Roman" w:hAnsi="Times New Roman"/>
                <w:sz w:val="28"/>
                <w:szCs w:val="28"/>
                <w:shd w:val="clear" w:color="auto" w:fill="FFFFFF"/>
                <w:lang w:val="ro-RO"/>
              </w:rPr>
              <w:t xml:space="preserve">     Pentru implementarea prevederilor prezentului proiect de hotărâre nu va fi necesară modificarea altor acte normative. </w:t>
            </w:r>
          </w:p>
        </w:tc>
      </w:tr>
      <w:tr w:rsidR="00D46BD0" w:rsidRPr="00CF02A2" w:rsidTr="007517F1">
        <w:tc>
          <w:tcPr>
            <w:tcW w:w="9464" w:type="dxa"/>
          </w:tcPr>
          <w:p w:rsidR="00D46BD0" w:rsidRPr="00CF02A2" w:rsidRDefault="00D46BD0" w:rsidP="007517F1">
            <w:pPr>
              <w:spacing w:after="0" w:line="240" w:lineRule="auto"/>
              <w:jc w:val="both"/>
              <w:rPr>
                <w:rFonts w:ascii="Times New Roman" w:hAnsi="Times New Roman"/>
                <w:b/>
                <w:sz w:val="28"/>
                <w:szCs w:val="28"/>
                <w:shd w:val="clear" w:color="auto" w:fill="FFFFFF"/>
                <w:lang w:val="ro-RO"/>
              </w:rPr>
            </w:pPr>
            <w:r w:rsidRPr="00CF02A2">
              <w:rPr>
                <w:rFonts w:ascii="Times New Roman" w:hAnsi="Times New Roman"/>
                <w:b/>
                <w:sz w:val="28"/>
                <w:szCs w:val="28"/>
                <w:shd w:val="clear" w:color="auto" w:fill="FFFFFF"/>
                <w:lang w:val="ro-RO"/>
              </w:rPr>
              <w:t>6. Avizarea şi consultarea publică a proiectului</w:t>
            </w:r>
          </w:p>
        </w:tc>
      </w:tr>
      <w:tr w:rsidR="00D46BD0" w:rsidRPr="00CF02A2" w:rsidTr="007517F1">
        <w:tc>
          <w:tcPr>
            <w:tcW w:w="9464" w:type="dxa"/>
          </w:tcPr>
          <w:p w:rsidR="00D46BD0" w:rsidRPr="00CF02A2" w:rsidRDefault="00D46BD0" w:rsidP="007517F1">
            <w:pPr>
              <w:spacing w:after="0" w:line="240" w:lineRule="auto"/>
              <w:jc w:val="both"/>
              <w:rPr>
                <w:rFonts w:ascii="Times New Roman" w:hAnsi="Times New Roman"/>
                <w:sz w:val="28"/>
                <w:szCs w:val="28"/>
                <w:shd w:val="clear" w:color="auto" w:fill="FFFFFF"/>
                <w:lang w:val="ro-RO"/>
              </w:rPr>
            </w:pPr>
            <w:r w:rsidRPr="00CF02A2">
              <w:rPr>
                <w:rFonts w:ascii="Times New Roman" w:hAnsi="Times New Roman"/>
                <w:sz w:val="28"/>
                <w:szCs w:val="28"/>
                <w:shd w:val="clear" w:color="auto" w:fill="FFFFFF"/>
                <w:lang w:val="ro-RO"/>
              </w:rPr>
              <w:t xml:space="preserve">     Proiectul a fost plasat pentru consultărilor publice în scopul respectării prevederilor Legii nr.239/2008 privind transparența în procesul decizional și, respectiv, plasat pe pagina oficială a Ministerului Apărării www.army.md, la compartimentul Transparența decizională, rubrica Anunțurile privind organizarea consultărilor publice și pe www.particip.gov.md.</w:t>
            </w:r>
          </w:p>
        </w:tc>
      </w:tr>
      <w:tr w:rsidR="00D46BD0" w:rsidRPr="00CF02A2" w:rsidTr="007517F1">
        <w:tc>
          <w:tcPr>
            <w:tcW w:w="9464" w:type="dxa"/>
          </w:tcPr>
          <w:p w:rsidR="00D46BD0" w:rsidRPr="00CF02A2" w:rsidRDefault="00D46BD0" w:rsidP="007517F1">
            <w:pPr>
              <w:spacing w:after="0" w:line="240" w:lineRule="auto"/>
              <w:jc w:val="both"/>
              <w:rPr>
                <w:rFonts w:ascii="Times New Roman" w:hAnsi="Times New Roman"/>
                <w:b/>
                <w:sz w:val="28"/>
                <w:szCs w:val="28"/>
                <w:shd w:val="clear" w:color="auto" w:fill="FFFFFF"/>
                <w:lang w:val="ro-RO"/>
              </w:rPr>
            </w:pPr>
            <w:r w:rsidRPr="00CF02A2">
              <w:rPr>
                <w:rFonts w:ascii="Times New Roman" w:hAnsi="Times New Roman"/>
                <w:b/>
                <w:sz w:val="28"/>
                <w:szCs w:val="28"/>
                <w:shd w:val="clear" w:color="auto" w:fill="FFFFFF"/>
                <w:lang w:val="ro-RO"/>
              </w:rPr>
              <w:t>7. Constatările expertizei anticorupție</w:t>
            </w:r>
          </w:p>
        </w:tc>
      </w:tr>
      <w:tr w:rsidR="00D46BD0" w:rsidRPr="00CF02A2" w:rsidTr="007517F1">
        <w:tc>
          <w:tcPr>
            <w:tcW w:w="9464" w:type="dxa"/>
          </w:tcPr>
          <w:p w:rsidR="00D46BD0" w:rsidRPr="00CF02A2" w:rsidRDefault="00D46BD0" w:rsidP="007517F1">
            <w:pPr>
              <w:spacing w:after="0" w:line="240" w:lineRule="auto"/>
              <w:jc w:val="both"/>
              <w:rPr>
                <w:rFonts w:ascii="Times New Roman" w:hAnsi="Times New Roman"/>
                <w:sz w:val="28"/>
                <w:szCs w:val="28"/>
                <w:shd w:val="clear" w:color="auto" w:fill="FFFFFF"/>
                <w:lang w:val="ro-RO"/>
              </w:rPr>
            </w:pPr>
            <w:r w:rsidRPr="00CF02A2">
              <w:rPr>
                <w:rFonts w:ascii="Times New Roman" w:hAnsi="Times New Roman"/>
                <w:sz w:val="28"/>
                <w:szCs w:val="28"/>
                <w:shd w:val="clear" w:color="auto" w:fill="FFFFFF"/>
                <w:lang w:val="ro-RO"/>
              </w:rPr>
              <w:t xml:space="preserve">     Informația privind rezultatele expertizei anticorupție va fi inclusă după recepționarea raportului de expertiză anticorupție.</w:t>
            </w:r>
          </w:p>
        </w:tc>
      </w:tr>
      <w:tr w:rsidR="00D46BD0" w:rsidRPr="00CF02A2" w:rsidTr="007517F1">
        <w:tc>
          <w:tcPr>
            <w:tcW w:w="9464" w:type="dxa"/>
          </w:tcPr>
          <w:p w:rsidR="00D46BD0" w:rsidRPr="00CF02A2" w:rsidRDefault="00D46BD0" w:rsidP="007517F1">
            <w:pPr>
              <w:spacing w:after="0" w:line="240" w:lineRule="auto"/>
              <w:jc w:val="both"/>
              <w:rPr>
                <w:rFonts w:ascii="Times New Roman" w:hAnsi="Times New Roman"/>
                <w:sz w:val="28"/>
                <w:szCs w:val="28"/>
                <w:shd w:val="clear" w:color="auto" w:fill="FFFFFF"/>
                <w:lang w:val="ro-RO"/>
              </w:rPr>
            </w:pPr>
            <w:r w:rsidRPr="00CF02A2">
              <w:rPr>
                <w:rFonts w:ascii="Times New Roman" w:hAnsi="Times New Roman"/>
                <w:b/>
                <w:bCs/>
                <w:sz w:val="28"/>
                <w:szCs w:val="28"/>
                <w:lang w:val="ro-RO"/>
              </w:rPr>
              <w:t>8. Constatările expertizei de compatibilitate</w:t>
            </w:r>
          </w:p>
        </w:tc>
      </w:tr>
      <w:tr w:rsidR="00D46BD0" w:rsidRPr="00CF02A2" w:rsidTr="007517F1">
        <w:tc>
          <w:tcPr>
            <w:tcW w:w="9464" w:type="dxa"/>
          </w:tcPr>
          <w:p w:rsidR="00D46BD0" w:rsidRPr="00CF02A2" w:rsidRDefault="00D46BD0" w:rsidP="007517F1">
            <w:pPr>
              <w:spacing w:after="0" w:line="240" w:lineRule="auto"/>
              <w:jc w:val="both"/>
              <w:rPr>
                <w:rFonts w:ascii="Times New Roman" w:hAnsi="Times New Roman"/>
                <w:b/>
                <w:bCs/>
                <w:sz w:val="28"/>
                <w:szCs w:val="28"/>
                <w:lang w:val="ro-RO"/>
              </w:rPr>
            </w:pPr>
            <w:r w:rsidRPr="00CF02A2">
              <w:rPr>
                <w:rFonts w:ascii="Times New Roman" w:hAnsi="Times New Roman"/>
                <w:bCs/>
                <w:sz w:val="28"/>
                <w:szCs w:val="28"/>
                <w:lang w:val="ro-RO"/>
              </w:rPr>
              <w:t xml:space="preserve">     Proiectul nu este elaborat în scopul armonizării legislației naționale cu legislația UE, exceptându-se astfel de la efectuarea expertizei de compatibilitate.</w:t>
            </w:r>
          </w:p>
        </w:tc>
      </w:tr>
      <w:tr w:rsidR="00D46BD0" w:rsidRPr="00CF02A2" w:rsidTr="007517F1">
        <w:tc>
          <w:tcPr>
            <w:tcW w:w="9464" w:type="dxa"/>
          </w:tcPr>
          <w:p w:rsidR="00D46BD0" w:rsidRPr="00CF02A2" w:rsidRDefault="00D46BD0" w:rsidP="007517F1">
            <w:pPr>
              <w:spacing w:after="0" w:line="240" w:lineRule="auto"/>
              <w:jc w:val="both"/>
              <w:rPr>
                <w:rFonts w:ascii="Times New Roman" w:hAnsi="Times New Roman"/>
                <w:b/>
                <w:sz w:val="28"/>
                <w:szCs w:val="28"/>
                <w:shd w:val="clear" w:color="auto" w:fill="FFFFFF"/>
                <w:lang w:val="ro-RO"/>
              </w:rPr>
            </w:pPr>
            <w:r w:rsidRPr="00CF02A2">
              <w:rPr>
                <w:rFonts w:ascii="Times New Roman" w:hAnsi="Times New Roman"/>
                <w:b/>
                <w:sz w:val="28"/>
                <w:szCs w:val="28"/>
                <w:shd w:val="clear" w:color="auto" w:fill="FFFFFF"/>
                <w:lang w:val="ro-RO"/>
              </w:rPr>
              <w:t>9. Constatările expertizei juridice</w:t>
            </w:r>
          </w:p>
        </w:tc>
      </w:tr>
      <w:tr w:rsidR="00D46BD0" w:rsidRPr="00CF02A2" w:rsidTr="007517F1">
        <w:trPr>
          <w:trHeight w:val="453"/>
        </w:trPr>
        <w:tc>
          <w:tcPr>
            <w:tcW w:w="9464" w:type="dxa"/>
          </w:tcPr>
          <w:p w:rsidR="00D46BD0" w:rsidRPr="00CF02A2" w:rsidRDefault="00D46BD0" w:rsidP="007517F1">
            <w:pPr>
              <w:spacing w:after="0" w:line="240" w:lineRule="auto"/>
              <w:jc w:val="both"/>
              <w:rPr>
                <w:rFonts w:ascii="Times New Roman" w:hAnsi="Times New Roman"/>
                <w:sz w:val="28"/>
                <w:szCs w:val="28"/>
                <w:shd w:val="clear" w:color="auto" w:fill="FFFFFF"/>
                <w:lang w:val="ro-RO"/>
              </w:rPr>
            </w:pPr>
            <w:r w:rsidRPr="00CF02A2">
              <w:rPr>
                <w:rFonts w:ascii="Times New Roman" w:hAnsi="Times New Roman"/>
                <w:sz w:val="28"/>
                <w:szCs w:val="28"/>
                <w:shd w:val="clear" w:color="auto" w:fill="FFFFFF"/>
                <w:lang w:val="ro-RO"/>
              </w:rPr>
              <w:t xml:space="preserve">     Proiectul va fi definitivat și redactat conform recomandărilor expertizei juridice prezentate.</w:t>
            </w:r>
          </w:p>
        </w:tc>
      </w:tr>
    </w:tbl>
    <w:p w:rsidR="00D46BD0" w:rsidRPr="00CF02A2" w:rsidRDefault="00D46BD0" w:rsidP="00D46BD0">
      <w:pPr>
        <w:shd w:val="clear" w:color="auto" w:fill="FFFFFF"/>
        <w:spacing w:after="0" w:line="240" w:lineRule="auto"/>
        <w:jc w:val="right"/>
        <w:outlineLvl w:val="3"/>
        <w:rPr>
          <w:rFonts w:ascii="Times New Roman" w:hAnsi="Times New Roman"/>
          <w:b/>
          <w:bCs/>
          <w:sz w:val="28"/>
          <w:szCs w:val="28"/>
          <w:lang w:val="ro-RO"/>
        </w:rPr>
      </w:pPr>
    </w:p>
    <w:p w:rsidR="00D46BD0" w:rsidRPr="00CF02A2" w:rsidRDefault="00D46BD0" w:rsidP="00D46BD0">
      <w:pPr>
        <w:shd w:val="clear" w:color="auto" w:fill="FFFFFF"/>
        <w:spacing w:after="0" w:line="240" w:lineRule="auto"/>
        <w:jc w:val="both"/>
        <w:outlineLvl w:val="3"/>
        <w:rPr>
          <w:rFonts w:ascii="Times New Roman" w:hAnsi="Times New Roman"/>
          <w:bCs/>
          <w:sz w:val="28"/>
          <w:szCs w:val="28"/>
          <w:lang w:val="ro-RO"/>
        </w:rPr>
      </w:pPr>
    </w:p>
    <w:p w:rsidR="00D46BD0" w:rsidRPr="00CF02A2" w:rsidRDefault="00D46BD0" w:rsidP="00D46BD0">
      <w:pPr>
        <w:spacing w:after="0" w:line="240" w:lineRule="auto"/>
        <w:ind w:firstLine="708"/>
        <w:jc w:val="both"/>
        <w:rPr>
          <w:rFonts w:ascii="Times New Roman" w:hAnsi="Times New Roman"/>
          <w:b/>
          <w:sz w:val="28"/>
          <w:szCs w:val="28"/>
          <w:lang w:val="ro-RO"/>
        </w:rPr>
      </w:pPr>
      <w:r w:rsidRPr="00CF02A2">
        <w:rPr>
          <w:rFonts w:ascii="Times New Roman" w:hAnsi="Times New Roman"/>
          <w:b/>
          <w:sz w:val="28"/>
          <w:szCs w:val="28"/>
          <w:lang w:val="ro-RO"/>
        </w:rPr>
        <w:t>Ministru</w:t>
      </w:r>
      <w:r w:rsidRPr="00CF02A2">
        <w:rPr>
          <w:rFonts w:ascii="Times New Roman" w:hAnsi="Times New Roman"/>
          <w:b/>
          <w:sz w:val="28"/>
          <w:szCs w:val="28"/>
          <w:lang w:val="ro-RO"/>
        </w:rPr>
        <w:tab/>
      </w:r>
      <w:r w:rsidRPr="00CF02A2">
        <w:rPr>
          <w:rFonts w:ascii="Times New Roman" w:hAnsi="Times New Roman"/>
          <w:b/>
          <w:sz w:val="28"/>
          <w:szCs w:val="28"/>
          <w:lang w:val="ro-RO"/>
        </w:rPr>
        <w:tab/>
      </w:r>
      <w:r w:rsidRPr="00CF02A2">
        <w:rPr>
          <w:rFonts w:ascii="Times New Roman" w:hAnsi="Times New Roman"/>
          <w:b/>
          <w:sz w:val="28"/>
          <w:szCs w:val="28"/>
          <w:lang w:val="ro-RO"/>
        </w:rPr>
        <w:tab/>
      </w:r>
      <w:r w:rsidRPr="00CF02A2">
        <w:rPr>
          <w:rFonts w:ascii="Times New Roman" w:hAnsi="Times New Roman"/>
          <w:b/>
          <w:sz w:val="28"/>
          <w:szCs w:val="28"/>
          <w:lang w:val="ro-RO"/>
        </w:rPr>
        <w:tab/>
      </w:r>
      <w:r w:rsidRPr="00CF02A2">
        <w:rPr>
          <w:rFonts w:ascii="Times New Roman" w:hAnsi="Times New Roman"/>
          <w:b/>
          <w:sz w:val="28"/>
          <w:szCs w:val="28"/>
          <w:lang w:val="ro-RO"/>
        </w:rPr>
        <w:tab/>
      </w:r>
      <w:r w:rsidRPr="00CF02A2">
        <w:rPr>
          <w:rFonts w:ascii="Times New Roman" w:hAnsi="Times New Roman"/>
          <w:b/>
          <w:sz w:val="28"/>
          <w:szCs w:val="28"/>
          <w:lang w:val="ro-RO"/>
        </w:rPr>
        <w:tab/>
        <w:t>Anatolie NOSATÎI</w:t>
      </w:r>
    </w:p>
    <w:p w:rsidR="00D46BD0" w:rsidRPr="00CF02A2" w:rsidRDefault="00D46BD0" w:rsidP="00D46BD0">
      <w:pPr>
        <w:shd w:val="clear" w:color="auto" w:fill="FFFFFF"/>
        <w:spacing w:before="118" w:after="118" w:line="240" w:lineRule="auto"/>
        <w:jc w:val="right"/>
        <w:outlineLvl w:val="3"/>
        <w:rPr>
          <w:lang w:val="ro-RO"/>
        </w:rPr>
      </w:pPr>
    </w:p>
    <w:p w:rsidR="00D46BD0" w:rsidRPr="00CF02A2" w:rsidRDefault="00D46BD0" w:rsidP="00D46BD0">
      <w:pPr>
        <w:shd w:val="clear" w:color="auto" w:fill="FFFFFF"/>
        <w:spacing w:before="118" w:after="118" w:line="240" w:lineRule="auto"/>
        <w:jc w:val="right"/>
        <w:outlineLvl w:val="3"/>
        <w:rPr>
          <w:lang w:val="ro-RO"/>
        </w:rPr>
      </w:pPr>
    </w:p>
    <w:p w:rsidR="00F3394F" w:rsidRPr="00D46BD0" w:rsidRDefault="00EA53D5">
      <w:pPr>
        <w:rPr>
          <w:lang w:val="ro-RO"/>
        </w:rPr>
      </w:pPr>
      <w:bookmarkStart w:id="0" w:name="_GoBack"/>
      <w:bookmarkEnd w:id="0"/>
    </w:p>
    <w:sectPr w:rsidR="00F3394F" w:rsidRPr="00D46BD0" w:rsidSect="00892F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3D5" w:rsidRDefault="00EA53D5" w:rsidP="00D46BD0">
      <w:pPr>
        <w:spacing w:after="0" w:line="240" w:lineRule="auto"/>
      </w:pPr>
      <w:r>
        <w:separator/>
      </w:r>
    </w:p>
  </w:endnote>
  <w:endnote w:type="continuationSeparator" w:id="0">
    <w:p w:rsidR="00EA53D5" w:rsidRDefault="00EA53D5" w:rsidP="00D46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3D5" w:rsidRDefault="00EA53D5" w:rsidP="00D46BD0">
      <w:pPr>
        <w:spacing w:after="0" w:line="240" w:lineRule="auto"/>
      </w:pPr>
      <w:r>
        <w:separator/>
      </w:r>
    </w:p>
  </w:footnote>
  <w:footnote w:type="continuationSeparator" w:id="0">
    <w:p w:rsidR="00EA53D5" w:rsidRDefault="00EA53D5" w:rsidP="00D46B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BD0"/>
    <w:rsid w:val="002825FA"/>
    <w:rsid w:val="002B10E9"/>
    <w:rsid w:val="00772B8D"/>
    <w:rsid w:val="00892F56"/>
    <w:rsid w:val="00943093"/>
    <w:rsid w:val="00D46BD0"/>
    <w:rsid w:val="00EA5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26959E-739A-499D-B01A-2DFD0EB5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B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BD0"/>
    <w:rPr>
      <w:color w:val="0000FF" w:themeColor="hyperlink"/>
      <w:u w:val="single"/>
    </w:rPr>
  </w:style>
  <w:style w:type="paragraph" w:styleId="Footer">
    <w:name w:val="footer"/>
    <w:basedOn w:val="Normal"/>
    <w:link w:val="FooterChar"/>
    <w:uiPriority w:val="99"/>
    <w:semiHidden/>
    <w:unhideWhenUsed/>
    <w:rsid w:val="00D46BD0"/>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D46BD0"/>
  </w:style>
  <w:style w:type="paragraph" w:styleId="BalloonText">
    <w:name w:val="Balloon Text"/>
    <w:basedOn w:val="Normal"/>
    <w:link w:val="BalloonTextChar"/>
    <w:uiPriority w:val="99"/>
    <w:semiHidden/>
    <w:unhideWhenUsed/>
    <w:rsid w:val="00D46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BD0"/>
    <w:rPr>
      <w:rFonts w:ascii="Tahoma" w:hAnsi="Tahoma" w:cs="Tahoma"/>
      <w:sz w:val="16"/>
      <w:szCs w:val="16"/>
    </w:rPr>
  </w:style>
  <w:style w:type="paragraph" w:styleId="Header">
    <w:name w:val="header"/>
    <w:basedOn w:val="Normal"/>
    <w:link w:val="HeaderChar"/>
    <w:uiPriority w:val="99"/>
    <w:semiHidden/>
    <w:unhideWhenUsed/>
    <w:rsid w:val="00D46B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6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gleb.coca</dc:creator>
  <cp:lastModifiedBy>Ghetiu Mihail</cp:lastModifiedBy>
  <cp:revision>2</cp:revision>
  <dcterms:created xsi:type="dcterms:W3CDTF">2021-09-14T11:20:00Z</dcterms:created>
  <dcterms:modified xsi:type="dcterms:W3CDTF">2021-09-14T11:20:00Z</dcterms:modified>
</cp:coreProperties>
</file>