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483" w:rsidRPr="00434052" w:rsidRDefault="00B45483" w:rsidP="00B45483">
      <w:pPr>
        <w:autoSpaceDE w:val="0"/>
        <w:autoSpaceDN w:val="0"/>
        <w:adjustRightInd w:val="0"/>
        <w:spacing w:after="0" w:line="240" w:lineRule="auto"/>
        <w:rPr>
          <w:rFonts w:ascii="Times New Roman" w:hAnsi="Times New Roman"/>
          <w:b/>
          <w:bCs/>
          <w:sz w:val="28"/>
          <w:szCs w:val="28"/>
        </w:rPr>
      </w:pPr>
      <w:bookmarkStart w:id="0" w:name="_GoBack"/>
      <w:bookmarkEnd w:id="0"/>
      <w:r w:rsidRPr="00434052">
        <w:rPr>
          <w:rFonts w:ascii="Times New Roman" w:hAnsi="Times New Roman"/>
          <w:b/>
          <w:bCs/>
          <w:sz w:val="28"/>
          <w:szCs w:val="28"/>
        </w:rPr>
        <w:t>NOTĂ INFORMATIVĂ</w:t>
      </w:r>
    </w:p>
    <w:p w:rsidR="00B45483" w:rsidRPr="00B45483" w:rsidRDefault="00B45483" w:rsidP="00B45483">
      <w:pPr>
        <w:spacing w:after="0" w:line="240" w:lineRule="auto"/>
        <w:ind w:firstLine="567"/>
        <w:rPr>
          <w:rFonts w:ascii="Times New Roman" w:hAnsi="Times New Roman"/>
          <w:b/>
          <w:bCs/>
          <w:sz w:val="26"/>
          <w:szCs w:val="26"/>
        </w:rPr>
      </w:pPr>
      <w:r w:rsidRPr="00B45483">
        <w:rPr>
          <w:rFonts w:ascii="Times New Roman" w:hAnsi="Times New Roman"/>
          <w:b/>
          <w:sz w:val="28"/>
          <w:szCs w:val="28"/>
        </w:rPr>
        <w:t xml:space="preserve">la </w:t>
      </w:r>
      <w:r w:rsidRPr="00B45483">
        <w:rPr>
          <w:rFonts w:ascii="Times New Roman" w:eastAsia="Calibri" w:hAnsi="Times New Roman"/>
          <w:b/>
          <w:sz w:val="28"/>
          <w:szCs w:val="28"/>
        </w:rPr>
        <w:t xml:space="preserve">proiectul hotărîrii Guvernului </w:t>
      </w:r>
      <w:r w:rsidRPr="00B45483">
        <w:rPr>
          <w:rFonts w:ascii="Times New Roman" w:hAnsi="Times New Roman"/>
          <w:b/>
          <w:bCs/>
          <w:sz w:val="28"/>
          <w:szCs w:val="28"/>
        </w:rPr>
        <w:t>pentru modificarea Regulamentului privind transportarea mărfurilor prin posturile vamale interne de control, aprobat prin Hotărîrea Guvernului nr.792/2004</w:t>
      </w:r>
    </w:p>
    <w:tbl>
      <w:tblPr>
        <w:tblW w:w="10065" w:type="dxa"/>
        <w:tblInd w:w="-459" w:type="dxa"/>
        <w:tblLayout w:type="fixed"/>
        <w:tblLook w:val="0000" w:firstRow="0" w:lastRow="0" w:firstColumn="0" w:lastColumn="0" w:noHBand="0" w:noVBand="0"/>
      </w:tblPr>
      <w:tblGrid>
        <w:gridCol w:w="10065"/>
      </w:tblGrid>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auto" w:fill="auto"/>
          </w:tcPr>
          <w:p w:rsidR="00B45483" w:rsidRPr="006A13BD" w:rsidRDefault="00B45483" w:rsidP="00B45483">
            <w:pPr>
              <w:numPr>
                <w:ilvl w:val="0"/>
                <w:numId w:val="1"/>
              </w:numPr>
              <w:tabs>
                <w:tab w:val="left" w:pos="300"/>
              </w:tabs>
              <w:autoSpaceDE w:val="0"/>
              <w:autoSpaceDN w:val="0"/>
              <w:adjustRightInd w:val="0"/>
              <w:spacing w:after="0" w:line="240" w:lineRule="auto"/>
              <w:ind w:left="37" w:firstLine="0"/>
              <w:jc w:val="left"/>
              <w:rPr>
                <w:rFonts w:ascii="Times New Roman" w:hAnsi="Times New Roman"/>
                <w:sz w:val="28"/>
                <w:szCs w:val="28"/>
              </w:rPr>
            </w:pPr>
            <w:r w:rsidRPr="006A13BD">
              <w:rPr>
                <w:rFonts w:ascii="Times New Roman" w:hAnsi="Times New Roman"/>
                <w:b/>
                <w:sz w:val="28"/>
                <w:szCs w:val="28"/>
              </w:rPr>
              <w:t>Denumirea autorului şi, după caz, a participanţilor la elaborarea proiectului</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6A13BD" w:rsidRDefault="00B45483" w:rsidP="00D95202">
            <w:pPr>
              <w:pStyle w:val="HTML"/>
              <w:jc w:val="both"/>
              <w:rPr>
                <w:rFonts w:ascii="Times New Roman" w:hAnsi="Times New Roman" w:cs="Times New Roman"/>
                <w:sz w:val="28"/>
                <w:szCs w:val="28"/>
                <w:lang w:val="ro-RO"/>
              </w:rPr>
            </w:pPr>
            <w:r w:rsidRPr="006A13BD">
              <w:rPr>
                <w:rFonts w:ascii="Times New Roman" w:hAnsi="Times New Roman" w:cs="Times New Roman"/>
                <w:sz w:val="28"/>
                <w:szCs w:val="28"/>
                <w:lang w:val="ro-RO"/>
              </w:rPr>
              <w:t>Ministerul Finanțelor</w:t>
            </w:r>
            <w:r w:rsidR="00D95202">
              <w:rPr>
                <w:rFonts w:ascii="Times New Roman" w:hAnsi="Times New Roman" w:cs="Times New Roman"/>
                <w:sz w:val="28"/>
                <w:szCs w:val="28"/>
                <w:lang w:val="ro-RO"/>
              </w:rPr>
              <w:t xml:space="preserve"> (</w:t>
            </w:r>
            <w:r w:rsidRPr="006A13BD">
              <w:rPr>
                <w:rFonts w:ascii="Times New Roman" w:hAnsi="Times New Roman" w:cs="Times New Roman"/>
                <w:sz w:val="28"/>
                <w:szCs w:val="28"/>
                <w:lang w:val="ro-RO"/>
              </w:rPr>
              <w:t>Serviciul Vamal</w:t>
            </w:r>
            <w:r w:rsidR="00D95202">
              <w:rPr>
                <w:rFonts w:ascii="Times New Roman" w:hAnsi="Times New Roman" w:cs="Times New Roman"/>
                <w:sz w:val="28"/>
                <w:szCs w:val="28"/>
                <w:lang w:val="ro-RO"/>
              </w:rPr>
              <w:t>)</w:t>
            </w:r>
            <w:r w:rsidRPr="006A13BD">
              <w:rPr>
                <w:rFonts w:ascii="Times New Roman" w:hAnsi="Times New Roman" w:cs="Times New Roman"/>
                <w:sz w:val="28"/>
                <w:szCs w:val="28"/>
                <w:lang w:val="ro-RO"/>
              </w:rPr>
              <w:t>.</w:t>
            </w:r>
          </w:p>
        </w:tc>
      </w:tr>
      <w:tr w:rsidR="00B45483" w:rsidRPr="001E46DA" w:rsidTr="005C427D">
        <w:trPr>
          <w:trHeight w:val="825"/>
        </w:trPr>
        <w:tc>
          <w:tcPr>
            <w:tcW w:w="10065" w:type="dxa"/>
            <w:tcBorders>
              <w:top w:val="single" w:sz="2" w:space="0" w:color="000000"/>
              <w:left w:val="single" w:sz="2" w:space="0" w:color="000000"/>
              <w:bottom w:val="single" w:sz="2" w:space="0" w:color="000000"/>
              <w:right w:val="single" w:sz="2" w:space="0" w:color="000000"/>
            </w:tcBorders>
            <w:shd w:val="clear" w:color="auto" w:fill="auto"/>
            <w:vAlign w:val="center"/>
          </w:tcPr>
          <w:p w:rsidR="00B45483" w:rsidRPr="006A13BD" w:rsidRDefault="00B45483" w:rsidP="005C427D">
            <w:pPr>
              <w:tabs>
                <w:tab w:val="left" w:pos="179"/>
                <w:tab w:val="left" w:pos="884"/>
                <w:tab w:val="left" w:pos="1196"/>
              </w:tabs>
              <w:spacing w:after="0" w:line="240" w:lineRule="auto"/>
              <w:jc w:val="both"/>
              <w:rPr>
                <w:rFonts w:ascii="Times New Roman" w:hAnsi="Times New Roman"/>
                <w:b/>
                <w:sz w:val="28"/>
                <w:szCs w:val="28"/>
              </w:rPr>
            </w:pPr>
            <w:r w:rsidRPr="006A13BD">
              <w:rPr>
                <w:rFonts w:ascii="Times New Roman" w:hAnsi="Times New Roman"/>
                <w:b/>
                <w:sz w:val="28"/>
                <w:szCs w:val="28"/>
              </w:rPr>
              <w:t>2. Condiţiile ce au impus elaborarea proiectului de act normativ şi finalităţile urmărite</w:t>
            </w:r>
          </w:p>
        </w:tc>
      </w:tr>
      <w:tr w:rsidR="00B45483" w:rsidRPr="001E46DA" w:rsidTr="00A27148">
        <w:trPr>
          <w:trHeight w:val="1332"/>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A27148" w:rsidRDefault="00B45483" w:rsidP="00A27148">
            <w:pPr>
              <w:pStyle w:val="a4"/>
              <w:jc w:val="both"/>
              <w:rPr>
                <w:rFonts w:ascii="Times New Roman" w:hAnsi="Times New Roman" w:cs="Times New Roman"/>
                <w:bCs/>
                <w:sz w:val="28"/>
                <w:szCs w:val="28"/>
                <w:lang w:val="ro-RO" w:eastAsia="ru-RU"/>
              </w:rPr>
            </w:pPr>
            <w:r w:rsidRPr="00A27148">
              <w:rPr>
                <w:rFonts w:ascii="Times New Roman" w:hAnsi="Times New Roman" w:cs="Times New Roman"/>
                <w:sz w:val="28"/>
                <w:szCs w:val="28"/>
                <w:lang w:val="ro-RO" w:eastAsia="ru-RU"/>
              </w:rPr>
              <w:t>Scopul prezentului proiect de Hotărîre a Guvernului este</w:t>
            </w:r>
            <w:r w:rsidRPr="00A27148">
              <w:rPr>
                <w:rFonts w:ascii="Times New Roman" w:hAnsi="Times New Roman" w:cs="Times New Roman"/>
                <w:bCs/>
                <w:sz w:val="28"/>
                <w:szCs w:val="28"/>
                <w:lang w:val="ro-RO" w:eastAsia="ru-RU"/>
              </w:rPr>
              <w:t xml:space="preserve"> </w:t>
            </w:r>
            <w:r w:rsidR="00A27148" w:rsidRPr="00A27148">
              <w:rPr>
                <w:rFonts w:ascii="Times New Roman" w:hAnsi="Times New Roman" w:cs="Times New Roman"/>
                <w:sz w:val="28"/>
                <w:szCs w:val="28"/>
                <w:shd w:val="clear" w:color="auto" w:fill="FFFFFF"/>
                <w:lang w:val="ro-RO"/>
              </w:rPr>
              <w:t xml:space="preserve">înlăturarea dificultăților de ordin social-politic ce pot apărea în procesul transportării </w:t>
            </w:r>
            <w:r w:rsidR="00A27148" w:rsidRPr="00A27148">
              <w:rPr>
                <w:rFonts w:ascii="Times New Roman" w:hAnsi="Times New Roman" w:cs="Times New Roman"/>
                <w:sz w:val="28"/>
                <w:szCs w:val="28"/>
                <w:lang w:val="ro-RO"/>
              </w:rPr>
              <w:t>produselor agricole de către deținătorii de terenuri agricole, amplasate după traseul Tiraspol – Rîbnița,</w:t>
            </w:r>
            <w:r w:rsidR="00A27148" w:rsidRPr="00A27148">
              <w:rPr>
                <w:rFonts w:ascii="Times New Roman" w:hAnsi="Times New Roman" w:cs="Times New Roman"/>
                <w:sz w:val="28"/>
                <w:szCs w:val="28"/>
                <w:shd w:val="clear" w:color="auto" w:fill="FFFFFF"/>
                <w:lang w:val="ro-RO"/>
              </w:rPr>
              <w:t xml:space="preserve"> transportate din raioanele de est</w:t>
            </w:r>
            <w:r w:rsidR="00A27148" w:rsidRPr="00A27148">
              <w:rPr>
                <w:rFonts w:ascii="Times New Roman" w:hAnsi="Times New Roman" w:cs="Times New Roman"/>
                <w:sz w:val="28"/>
                <w:szCs w:val="28"/>
                <w:lang w:val="ro-RO"/>
              </w:rPr>
              <w:t xml:space="preserve"> prin posturile vamale interne de control. </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6A13BD" w:rsidRDefault="00B45483" w:rsidP="005C427D">
            <w:pPr>
              <w:tabs>
                <w:tab w:val="left" w:pos="323"/>
              </w:tabs>
              <w:spacing w:after="0" w:line="240" w:lineRule="auto"/>
              <w:ind w:firstLine="39"/>
              <w:jc w:val="both"/>
              <w:rPr>
                <w:rFonts w:ascii="Times New Roman" w:hAnsi="Times New Roman"/>
                <w:bCs/>
                <w:sz w:val="28"/>
                <w:szCs w:val="28"/>
                <w:lang w:eastAsia="ru-RU"/>
              </w:rPr>
            </w:pPr>
            <w:r w:rsidRPr="006A13BD">
              <w:rPr>
                <w:rFonts w:ascii="Times New Roman" w:hAnsi="Times New Roman"/>
                <w:b/>
                <w:bCs/>
                <w:sz w:val="28"/>
                <w:szCs w:val="28"/>
                <w:lang w:eastAsia="ru-RU"/>
              </w:rPr>
              <w:t>3</w:t>
            </w:r>
            <w:r w:rsidRPr="006A13BD">
              <w:rPr>
                <w:rFonts w:ascii="Times New Roman" w:hAnsi="Times New Roman"/>
                <w:bCs/>
                <w:sz w:val="28"/>
                <w:szCs w:val="28"/>
                <w:lang w:eastAsia="ru-RU"/>
              </w:rPr>
              <w:t>.</w:t>
            </w:r>
            <w:r w:rsidRPr="006A13BD">
              <w:rPr>
                <w:rFonts w:ascii="Times New Roman" w:hAnsi="Times New Roman"/>
                <w:sz w:val="28"/>
                <w:szCs w:val="28"/>
              </w:rPr>
              <w:t xml:space="preserve"> </w:t>
            </w:r>
            <w:r w:rsidRPr="006A13BD">
              <w:rPr>
                <w:rFonts w:ascii="Times New Roman" w:hAnsi="Times New Roman"/>
                <w:b/>
                <w:sz w:val="28"/>
                <w:szCs w:val="28"/>
              </w:rPr>
              <w:t>Descrierea gradului de compatibilitate pentru proiectele care au ca scop armonizarea legislaţiei naţionale cu legislaţia Uniunii Europene</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6A13BD" w:rsidRDefault="00B45483" w:rsidP="005C427D">
            <w:pPr>
              <w:spacing w:after="0" w:line="240" w:lineRule="auto"/>
              <w:ind w:left="720" w:hanging="720"/>
              <w:jc w:val="both"/>
              <w:rPr>
                <w:rFonts w:ascii="Times New Roman" w:hAnsi="Times New Roman"/>
                <w:bCs/>
                <w:sz w:val="28"/>
                <w:szCs w:val="28"/>
                <w:lang w:eastAsia="ru-RU"/>
              </w:rPr>
            </w:pPr>
            <w:r w:rsidRPr="006A13BD">
              <w:rPr>
                <w:rFonts w:ascii="Times New Roman" w:hAnsi="Times New Roman"/>
                <w:bCs/>
                <w:sz w:val="28"/>
                <w:szCs w:val="28"/>
                <w:lang w:eastAsia="ru-RU"/>
              </w:rPr>
              <w:t>Proiectul nu prevede armonizarea la legislația Uniunii Europene.</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6A13BD" w:rsidRDefault="00B45483" w:rsidP="005C427D">
            <w:pPr>
              <w:pStyle w:val="HTML"/>
              <w:ind w:firstLine="39"/>
              <w:jc w:val="both"/>
              <w:rPr>
                <w:rFonts w:ascii="Times New Roman" w:hAnsi="Times New Roman" w:cs="Times New Roman"/>
                <w:sz w:val="28"/>
                <w:szCs w:val="28"/>
                <w:lang w:val="ro-RO"/>
              </w:rPr>
            </w:pPr>
            <w:r w:rsidRPr="006A13BD">
              <w:rPr>
                <w:rFonts w:ascii="Times New Roman" w:hAnsi="Times New Roman" w:cs="Times New Roman"/>
                <w:b/>
                <w:sz w:val="28"/>
                <w:szCs w:val="28"/>
                <w:lang w:val="ro-RO"/>
              </w:rPr>
              <w:t>4. Principalele prevederi ale proiectului şi evidenţierea elementelor noi</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A27148" w:rsidRPr="00A27148" w:rsidRDefault="00A27148" w:rsidP="00A27148">
            <w:pPr>
              <w:pStyle w:val="a4"/>
              <w:jc w:val="both"/>
              <w:rPr>
                <w:rFonts w:ascii="Times New Roman" w:hAnsi="Times New Roman" w:cs="Times New Roman"/>
                <w:sz w:val="28"/>
                <w:szCs w:val="28"/>
                <w:lang w:val="ro-RO"/>
              </w:rPr>
            </w:pPr>
            <w:r w:rsidRPr="00A27148">
              <w:rPr>
                <w:rFonts w:ascii="Times New Roman" w:hAnsi="Times New Roman" w:cs="Times New Roman"/>
                <w:sz w:val="28"/>
                <w:szCs w:val="28"/>
                <w:lang w:val="ro-RO"/>
              </w:rPr>
              <w:t>Necesitatea modific</w:t>
            </w:r>
            <w:r>
              <w:rPr>
                <w:rFonts w:ascii="Times New Roman" w:hAnsi="Times New Roman" w:cs="Times New Roman"/>
                <w:sz w:val="28"/>
                <w:szCs w:val="28"/>
                <w:lang w:val="ro-RO"/>
              </w:rPr>
              <w:t>ă</w:t>
            </w:r>
            <w:r w:rsidRPr="00A27148">
              <w:rPr>
                <w:rFonts w:ascii="Times New Roman" w:hAnsi="Times New Roman" w:cs="Times New Roman"/>
                <w:sz w:val="28"/>
                <w:szCs w:val="28"/>
                <w:lang w:val="ro-RO"/>
              </w:rPr>
              <w:t>r</w:t>
            </w:r>
            <w:r>
              <w:rPr>
                <w:rFonts w:ascii="Times New Roman" w:hAnsi="Times New Roman" w:cs="Times New Roman"/>
                <w:sz w:val="28"/>
                <w:szCs w:val="28"/>
                <w:lang w:val="ro-RO"/>
              </w:rPr>
              <w:t>ii</w:t>
            </w:r>
            <w:r w:rsidRPr="00A27148">
              <w:rPr>
                <w:rFonts w:ascii="Times New Roman" w:hAnsi="Times New Roman" w:cs="Times New Roman"/>
                <w:sz w:val="28"/>
                <w:szCs w:val="28"/>
                <w:lang w:val="ro-RO"/>
              </w:rPr>
              <w:t xml:space="preserve"> </w:t>
            </w:r>
            <w:r w:rsidR="00763C3B" w:rsidRPr="00A27148">
              <w:rPr>
                <w:rFonts w:ascii="Times New Roman" w:hAnsi="Times New Roman" w:cs="Times New Roman"/>
                <w:sz w:val="28"/>
                <w:szCs w:val="28"/>
                <w:lang w:val="ro-RO"/>
              </w:rPr>
              <w:t>Regulamentului privind transportarea mărfurilor prin posturile vamale interne de control</w:t>
            </w:r>
            <w:r w:rsidR="00763C3B">
              <w:rPr>
                <w:rFonts w:ascii="Times New Roman" w:hAnsi="Times New Roman" w:cs="Times New Roman"/>
                <w:sz w:val="28"/>
                <w:szCs w:val="28"/>
                <w:lang w:val="ro-RO"/>
              </w:rPr>
              <w:t>, aprobat prin</w:t>
            </w:r>
            <w:r w:rsidR="00763C3B" w:rsidRPr="00A27148">
              <w:rPr>
                <w:rFonts w:ascii="Times New Roman" w:hAnsi="Times New Roman" w:cs="Times New Roman"/>
                <w:sz w:val="28"/>
                <w:szCs w:val="28"/>
                <w:lang w:val="ro-RO"/>
              </w:rPr>
              <w:t xml:space="preserve"> </w:t>
            </w:r>
            <w:r w:rsidRPr="00A27148">
              <w:rPr>
                <w:rFonts w:ascii="Times New Roman" w:hAnsi="Times New Roman" w:cs="Times New Roman"/>
                <w:sz w:val="28"/>
                <w:szCs w:val="28"/>
                <w:lang w:val="ro-RO"/>
              </w:rPr>
              <w:t>H</w:t>
            </w:r>
            <w:r>
              <w:rPr>
                <w:rFonts w:ascii="Times New Roman" w:hAnsi="Times New Roman" w:cs="Times New Roman"/>
                <w:sz w:val="28"/>
                <w:szCs w:val="28"/>
                <w:lang w:val="ro-RO"/>
              </w:rPr>
              <w:t>otărîr</w:t>
            </w:r>
            <w:r w:rsidR="00763C3B">
              <w:rPr>
                <w:rFonts w:ascii="Times New Roman" w:hAnsi="Times New Roman" w:cs="Times New Roman"/>
                <w:sz w:val="28"/>
                <w:szCs w:val="28"/>
                <w:lang w:val="ro-RO"/>
              </w:rPr>
              <w:t>ea</w:t>
            </w:r>
            <w:r>
              <w:rPr>
                <w:rFonts w:ascii="Times New Roman" w:hAnsi="Times New Roman" w:cs="Times New Roman"/>
                <w:sz w:val="28"/>
                <w:szCs w:val="28"/>
                <w:lang w:val="ro-RO"/>
              </w:rPr>
              <w:t xml:space="preserve"> </w:t>
            </w:r>
            <w:r w:rsidRPr="00A27148">
              <w:rPr>
                <w:rFonts w:ascii="Times New Roman" w:hAnsi="Times New Roman" w:cs="Times New Roman"/>
                <w:sz w:val="28"/>
                <w:szCs w:val="28"/>
                <w:lang w:val="ro-RO"/>
              </w:rPr>
              <w:t>G</w:t>
            </w:r>
            <w:r>
              <w:rPr>
                <w:rFonts w:ascii="Times New Roman" w:hAnsi="Times New Roman" w:cs="Times New Roman"/>
                <w:sz w:val="28"/>
                <w:szCs w:val="28"/>
                <w:lang w:val="ro-RO"/>
              </w:rPr>
              <w:t>uvernului</w:t>
            </w:r>
            <w:r w:rsidRPr="00A27148">
              <w:rPr>
                <w:rFonts w:ascii="Times New Roman" w:hAnsi="Times New Roman" w:cs="Times New Roman"/>
                <w:sz w:val="28"/>
                <w:szCs w:val="28"/>
                <w:lang w:val="ro-RO"/>
              </w:rPr>
              <w:t xml:space="preserve"> </w:t>
            </w:r>
            <w:r w:rsidR="00980496">
              <w:rPr>
                <w:rFonts w:ascii="Times New Roman" w:hAnsi="Times New Roman" w:cs="Times New Roman"/>
                <w:sz w:val="28"/>
                <w:szCs w:val="28"/>
                <w:lang w:val="ro-RO"/>
              </w:rPr>
              <w:t>nr.</w:t>
            </w:r>
            <w:r w:rsidRPr="00A27148">
              <w:rPr>
                <w:rFonts w:ascii="Times New Roman" w:hAnsi="Times New Roman" w:cs="Times New Roman"/>
                <w:sz w:val="28"/>
                <w:szCs w:val="28"/>
                <w:lang w:val="ro-RO"/>
              </w:rPr>
              <w:t>792/2004</w:t>
            </w:r>
            <w:r w:rsidR="00980496">
              <w:rPr>
                <w:rFonts w:ascii="Times New Roman" w:hAnsi="Times New Roman" w:cs="Times New Roman"/>
                <w:sz w:val="28"/>
                <w:szCs w:val="28"/>
                <w:lang w:val="ro-RO"/>
              </w:rPr>
              <w:t>,</w:t>
            </w:r>
            <w:r w:rsidRPr="00A27148">
              <w:rPr>
                <w:rFonts w:ascii="Times New Roman" w:hAnsi="Times New Roman" w:cs="Times New Roman"/>
                <w:sz w:val="28"/>
                <w:szCs w:val="28"/>
                <w:lang w:val="ro-RO"/>
              </w:rPr>
              <w:t xml:space="preserve"> survine din faptul că în posturile vamale menționate este stopată pentru control și impozitare producția agricolă obținută</w:t>
            </w:r>
            <w:r w:rsidR="00980496">
              <w:rPr>
                <w:rFonts w:ascii="Times New Roman" w:hAnsi="Times New Roman" w:cs="Times New Roman"/>
                <w:sz w:val="28"/>
                <w:szCs w:val="28"/>
                <w:lang w:val="ro-RO"/>
              </w:rPr>
              <w:t xml:space="preserve"> de</w:t>
            </w:r>
            <w:r w:rsidRPr="00A27148">
              <w:rPr>
                <w:rFonts w:ascii="Times New Roman" w:hAnsi="Times New Roman" w:cs="Times New Roman"/>
                <w:sz w:val="28"/>
                <w:szCs w:val="28"/>
                <w:lang w:val="ro-RO"/>
              </w:rPr>
              <w:t xml:space="preserve"> pe terenurile amplasate </w:t>
            </w:r>
            <w:r w:rsidR="00763C3B">
              <w:rPr>
                <w:rFonts w:ascii="Times New Roman" w:hAnsi="Times New Roman" w:cs="Times New Roman"/>
                <w:sz w:val="28"/>
                <w:szCs w:val="28"/>
                <w:lang w:val="ro-RO"/>
              </w:rPr>
              <w:t>î</w:t>
            </w:r>
            <w:r w:rsidRPr="00A27148">
              <w:rPr>
                <w:rFonts w:ascii="Times New Roman" w:hAnsi="Times New Roman" w:cs="Times New Roman"/>
                <w:sz w:val="28"/>
                <w:szCs w:val="28"/>
                <w:lang w:val="ro-RO"/>
              </w:rPr>
              <w:t>n partea de est a traseului M4 Tiraspol-Râbnița, ce aparțin</w:t>
            </w:r>
            <w:r w:rsidR="00763C3B">
              <w:rPr>
                <w:rFonts w:ascii="Times New Roman" w:hAnsi="Times New Roman" w:cs="Times New Roman"/>
                <w:sz w:val="28"/>
                <w:szCs w:val="28"/>
                <w:lang w:val="ro-RO"/>
              </w:rPr>
              <w:t>e</w:t>
            </w:r>
            <w:r w:rsidRPr="00A27148">
              <w:rPr>
                <w:rFonts w:ascii="Times New Roman" w:hAnsi="Times New Roman" w:cs="Times New Roman"/>
                <w:sz w:val="28"/>
                <w:szCs w:val="28"/>
                <w:lang w:val="ro-RO"/>
              </w:rPr>
              <w:t xml:space="preserve"> cu drept de proprietate cetățenilor Republicii Moldova locuitori ai satelor Molovata Nouă, Cocieri, Doroțcaia, Pohrebea, Coșnița și Pârâta, sau care sunt date în arendă </w:t>
            </w:r>
            <w:r w:rsidR="00763C3B">
              <w:rPr>
                <w:rFonts w:ascii="Times New Roman" w:hAnsi="Times New Roman" w:cs="Times New Roman"/>
                <w:color w:val="000000" w:themeColor="text1"/>
                <w:sz w:val="28"/>
                <w:szCs w:val="28"/>
                <w:shd w:val="clear" w:color="auto" w:fill="FFFFFF"/>
                <w:lang w:val="ro-RO"/>
              </w:rPr>
              <w:t>persoanelor</w:t>
            </w:r>
            <w:r w:rsidRPr="00A27148">
              <w:rPr>
                <w:rFonts w:ascii="Times New Roman" w:hAnsi="Times New Roman" w:cs="Times New Roman"/>
                <w:color w:val="000000" w:themeColor="text1"/>
                <w:sz w:val="28"/>
                <w:szCs w:val="28"/>
                <w:shd w:val="clear" w:color="auto" w:fill="FFFFFF"/>
                <w:lang w:val="ro-RO"/>
              </w:rPr>
              <w:t xml:space="preserve"> juridice, </w:t>
            </w:r>
            <w:r w:rsidR="00763C3B" w:rsidRPr="00A27148">
              <w:rPr>
                <w:rFonts w:ascii="Times New Roman" w:hAnsi="Times New Roman" w:cs="Times New Roman"/>
                <w:color w:val="000000" w:themeColor="text1"/>
                <w:sz w:val="28"/>
                <w:szCs w:val="28"/>
                <w:shd w:val="clear" w:color="auto" w:fill="FFFFFF"/>
                <w:lang w:val="ro-RO"/>
              </w:rPr>
              <w:t>subiecți</w:t>
            </w:r>
            <w:r w:rsidRPr="00A27148">
              <w:rPr>
                <w:rFonts w:ascii="Times New Roman" w:hAnsi="Times New Roman" w:cs="Times New Roman"/>
                <w:color w:val="000000" w:themeColor="text1"/>
                <w:sz w:val="28"/>
                <w:szCs w:val="28"/>
                <w:shd w:val="clear" w:color="auto" w:fill="FFFFFF"/>
                <w:lang w:val="ro-RO"/>
              </w:rPr>
              <w:t xml:space="preserve"> ai </w:t>
            </w:r>
            <w:r w:rsidR="00763C3B" w:rsidRPr="00A27148">
              <w:rPr>
                <w:rFonts w:ascii="Times New Roman" w:hAnsi="Times New Roman" w:cs="Times New Roman"/>
                <w:color w:val="000000" w:themeColor="text1"/>
                <w:sz w:val="28"/>
                <w:szCs w:val="28"/>
                <w:shd w:val="clear" w:color="auto" w:fill="FFFFFF"/>
                <w:lang w:val="ro-RO"/>
              </w:rPr>
              <w:t>activității</w:t>
            </w:r>
            <w:r w:rsidRPr="00A27148">
              <w:rPr>
                <w:rFonts w:ascii="Times New Roman" w:hAnsi="Times New Roman" w:cs="Times New Roman"/>
                <w:color w:val="000000" w:themeColor="text1"/>
                <w:sz w:val="28"/>
                <w:szCs w:val="28"/>
                <w:shd w:val="clear" w:color="auto" w:fill="FFFFFF"/>
                <w:lang w:val="ro-RO"/>
              </w:rPr>
              <w:t xml:space="preserve"> de întreprinzător, </w:t>
            </w:r>
            <w:r w:rsidR="00763C3B" w:rsidRPr="00A27148">
              <w:rPr>
                <w:rFonts w:ascii="Times New Roman" w:hAnsi="Times New Roman" w:cs="Times New Roman"/>
                <w:color w:val="000000" w:themeColor="text1"/>
                <w:sz w:val="28"/>
                <w:szCs w:val="28"/>
                <w:shd w:val="clear" w:color="auto" w:fill="FFFFFF"/>
                <w:lang w:val="ro-RO"/>
              </w:rPr>
              <w:t>situați</w:t>
            </w:r>
            <w:r w:rsidRPr="00A27148">
              <w:rPr>
                <w:rFonts w:ascii="Times New Roman" w:hAnsi="Times New Roman" w:cs="Times New Roman"/>
                <w:color w:val="000000" w:themeColor="text1"/>
                <w:sz w:val="28"/>
                <w:szCs w:val="28"/>
                <w:shd w:val="clear" w:color="auto" w:fill="FFFFFF"/>
                <w:lang w:val="ro-RO"/>
              </w:rPr>
              <w:t xml:space="preserve"> pe teritoriul Republicii Moldova </w:t>
            </w:r>
            <w:r w:rsidR="00763C3B" w:rsidRPr="00A27148">
              <w:rPr>
                <w:rFonts w:ascii="Times New Roman" w:hAnsi="Times New Roman" w:cs="Times New Roman"/>
                <w:color w:val="000000" w:themeColor="text1"/>
                <w:sz w:val="28"/>
                <w:szCs w:val="28"/>
                <w:shd w:val="clear" w:color="auto" w:fill="FFFFFF"/>
                <w:lang w:val="ro-RO"/>
              </w:rPr>
              <w:t>și</w:t>
            </w:r>
            <w:r w:rsidRPr="00A27148">
              <w:rPr>
                <w:rFonts w:ascii="Times New Roman" w:hAnsi="Times New Roman" w:cs="Times New Roman"/>
                <w:color w:val="000000" w:themeColor="text1"/>
                <w:sz w:val="28"/>
                <w:szCs w:val="28"/>
                <w:shd w:val="clear" w:color="auto" w:fill="FFFFFF"/>
                <w:lang w:val="ro-RO"/>
              </w:rPr>
              <w:t xml:space="preserve"> </w:t>
            </w:r>
            <w:r w:rsidR="00763C3B" w:rsidRPr="00A27148">
              <w:rPr>
                <w:rFonts w:ascii="Times New Roman" w:hAnsi="Times New Roman" w:cs="Times New Roman"/>
                <w:color w:val="000000" w:themeColor="text1"/>
                <w:sz w:val="28"/>
                <w:szCs w:val="28"/>
                <w:shd w:val="clear" w:color="auto" w:fill="FFFFFF"/>
                <w:lang w:val="ro-RO"/>
              </w:rPr>
              <w:t>înregistrați</w:t>
            </w:r>
            <w:r w:rsidRPr="00A27148">
              <w:rPr>
                <w:rFonts w:ascii="Times New Roman" w:hAnsi="Times New Roman" w:cs="Times New Roman"/>
                <w:color w:val="000000" w:themeColor="text1"/>
                <w:sz w:val="28"/>
                <w:szCs w:val="28"/>
                <w:shd w:val="clear" w:color="auto" w:fill="FFFFFF"/>
                <w:lang w:val="ro-RO"/>
              </w:rPr>
              <w:t xml:space="preserve"> permanent la Agenția Servicii Publice și care au </w:t>
            </w:r>
            <w:r w:rsidR="00763C3B" w:rsidRPr="00A27148">
              <w:rPr>
                <w:rFonts w:ascii="Times New Roman" w:hAnsi="Times New Roman" w:cs="Times New Roman"/>
                <w:color w:val="000000" w:themeColor="text1"/>
                <w:sz w:val="28"/>
                <w:szCs w:val="28"/>
                <w:shd w:val="clear" w:color="auto" w:fill="FFFFFF"/>
                <w:lang w:val="ro-RO"/>
              </w:rPr>
              <w:t>relații</w:t>
            </w:r>
            <w:r w:rsidRPr="00A27148">
              <w:rPr>
                <w:rFonts w:ascii="Times New Roman" w:hAnsi="Times New Roman" w:cs="Times New Roman"/>
                <w:color w:val="000000" w:themeColor="text1"/>
                <w:sz w:val="28"/>
                <w:szCs w:val="28"/>
                <w:shd w:val="clear" w:color="auto" w:fill="FFFFFF"/>
                <w:lang w:val="ro-RO"/>
              </w:rPr>
              <w:t xml:space="preserve"> fiscale cu sistemul bugetar al </w:t>
            </w:r>
            <w:r w:rsidR="00763C3B" w:rsidRPr="00A27148">
              <w:rPr>
                <w:rFonts w:ascii="Times New Roman" w:hAnsi="Times New Roman" w:cs="Times New Roman"/>
                <w:color w:val="000000" w:themeColor="text1"/>
                <w:sz w:val="28"/>
                <w:szCs w:val="28"/>
                <w:shd w:val="clear" w:color="auto" w:fill="FFFFFF"/>
                <w:lang w:val="ro-RO"/>
              </w:rPr>
              <w:t>țării</w:t>
            </w:r>
            <w:r w:rsidRPr="00A27148">
              <w:rPr>
                <w:rFonts w:ascii="Times New Roman" w:hAnsi="Times New Roman" w:cs="Times New Roman"/>
                <w:color w:val="000000" w:themeColor="text1"/>
                <w:sz w:val="28"/>
                <w:szCs w:val="28"/>
                <w:shd w:val="clear" w:color="auto" w:fill="FFFFFF"/>
                <w:lang w:val="ro-RO"/>
              </w:rPr>
              <w:t>.</w:t>
            </w:r>
            <w:r w:rsidRPr="00A27148">
              <w:rPr>
                <w:rFonts w:ascii="Times New Roman" w:hAnsi="Times New Roman" w:cs="Times New Roman"/>
                <w:sz w:val="28"/>
                <w:szCs w:val="28"/>
                <w:lang w:val="ro-RO"/>
              </w:rPr>
              <w:t xml:space="preserve"> </w:t>
            </w:r>
          </w:p>
          <w:p w:rsidR="00A27148" w:rsidRPr="00F04FD7" w:rsidRDefault="00763C3B" w:rsidP="00A27148">
            <w:pPr>
              <w:pStyle w:val="a4"/>
              <w:jc w:val="both"/>
              <w:rPr>
                <w:rFonts w:ascii="Times New Roman" w:hAnsi="Times New Roman" w:cs="Times New Roman"/>
                <w:sz w:val="28"/>
                <w:szCs w:val="28"/>
                <w:lang w:val="ro-RO"/>
              </w:rPr>
            </w:pPr>
            <w:r>
              <w:rPr>
                <w:rFonts w:ascii="Times New Roman" w:hAnsi="Times New Roman" w:cs="Times New Roman"/>
                <w:sz w:val="28"/>
                <w:szCs w:val="28"/>
                <w:lang w:val="ro-RO"/>
              </w:rPr>
              <w:t>Actualmente, p</w:t>
            </w:r>
            <w:r w:rsidRPr="00763C3B">
              <w:rPr>
                <w:rFonts w:ascii="Times New Roman" w:hAnsi="Times New Roman" w:cs="Times New Roman"/>
                <w:sz w:val="28"/>
                <w:szCs w:val="28"/>
                <w:lang w:val="ro-RO"/>
              </w:rPr>
              <w:t xml:space="preserve">otrivit </w:t>
            </w:r>
            <w:r w:rsidR="00A27148" w:rsidRPr="00763C3B">
              <w:rPr>
                <w:rFonts w:ascii="Times New Roman" w:hAnsi="Times New Roman" w:cs="Times New Roman"/>
                <w:sz w:val="28"/>
                <w:szCs w:val="28"/>
                <w:lang w:val="ro-RO"/>
              </w:rPr>
              <w:t>H</w:t>
            </w:r>
            <w:r w:rsidR="00980496">
              <w:rPr>
                <w:rFonts w:ascii="Times New Roman" w:hAnsi="Times New Roman" w:cs="Times New Roman"/>
                <w:sz w:val="28"/>
                <w:szCs w:val="28"/>
                <w:lang w:val="ro-RO"/>
              </w:rPr>
              <w:t xml:space="preserve">otărîrii </w:t>
            </w:r>
            <w:r w:rsidR="00A27148" w:rsidRPr="00763C3B">
              <w:rPr>
                <w:rFonts w:ascii="Times New Roman" w:hAnsi="Times New Roman" w:cs="Times New Roman"/>
                <w:sz w:val="28"/>
                <w:szCs w:val="28"/>
                <w:lang w:val="ro-RO"/>
              </w:rPr>
              <w:t>G</w:t>
            </w:r>
            <w:r w:rsidR="00980496">
              <w:rPr>
                <w:rFonts w:ascii="Times New Roman" w:hAnsi="Times New Roman" w:cs="Times New Roman"/>
                <w:sz w:val="28"/>
                <w:szCs w:val="28"/>
                <w:lang w:val="ro-RO"/>
              </w:rPr>
              <w:t>uvernului nr.</w:t>
            </w:r>
            <w:r w:rsidR="00A27148" w:rsidRPr="00763C3B">
              <w:rPr>
                <w:rFonts w:ascii="Times New Roman" w:hAnsi="Times New Roman" w:cs="Times New Roman"/>
                <w:sz w:val="28"/>
                <w:szCs w:val="28"/>
                <w:lang w:val="ro-RO"/>
              </w:rPr>
              <w:t>792/2004 produ</w:t>
            </w:r>
            <w:r w:rsidRPr="00763C3B">
              <w:rPr>
                <w:rFonts w:ascii="Times New Roman" w:hAnsi="Times New Roman" w:cs="Times New Roman"/>
                <w:sz w:val="28"/>
                <w:szCs w:val="28"/>
                <w:lang w:val="ro-RO"/>
              </w:rPr>
              <w:t>cția agricolă produsă de persoanele juridice</w:t>
            </w:r>
            <w:r w:rsidR="00A27148" w:rsidRPr="00A27148">
              <w:rPr>
                <w:rFonts w:ascii="Times New Roman" w:hAnsi="Times New Roman" w:cs="Times New Roman"/>
                <w:sz w:val="28"/>
                <w:szCs w:val="28"/>
                <w:lang w:val="ro-RO"/>
              </w:rPr>
              <w:t xml:space="preserve"> sunt supuse controlului cu scopul impozitării, ca producție agricolă de import. Însă, ca să nu fie impozitată producția agricolă respectivă, posturile vamale interne de control solicită un certificat </w:t>
            </w:r>
            <w:r w:rsidR="00F04FD7">
              <w:rPr>
                <w:rFonts w:ascii="Times New Roman" w:hAnsi="Times New Roman" w:cs="Times New Roman"/>
                <w:sz w:val="28"/>
                <w:szCs w:val="28"/>
                <w:lang w:val="ro-RO"/>
              </w:rPr>
              <w:t xml:space="preserve">eliberat </w:t>
            </w:r>
            <w:r w:rsidR="00A27148" w:rsidRPr="00A27148">
              <w:rPr>
                <w:rFonts w:ascii="Times New Roman" w:hAnsi="Times New Roman" w:cs="Times New Roman"/>
                <w:sz w:val="28"/>
                <w:szCs w:val="28"/>
                <w:lang w:val="ro-RO"/>
              </w:rPr>
              <w:t xml:space="preserve">de către Camera de Comerț și Industrie a Republicii </w:t>
            </w:r>
            <w:r w:rsidR="00A27148" w:rsidRPr="00F04FD7">
              <w:rPr>
                <w:rFonts w:ascii="Times New Roman" w:hAnsi="Times New Roman" w:cs="Times New Roman"/>
                <w:sz w:val="28"/>
                <w:szCs w:val="28"/>
                <w:lang w:val="ro-RO"/>
              </w:rPr>
              <w:t xml:space="preserve">Moldova privind originea produselor agricole. </w:t>
            </w:r>
          </w:p>
          <w:p w:rsidR="00B45483" w:rsidRPr="00F04FD7" w:rsidRDefault="00F04FD7" w:rsidP="00D95202">
            <w:pPr>
              <w:pStyle w:val="a4"/>
              <w:jc w:val="both"/>
              <w:rPr>
                <w:rFonts w:ascii="Times New Roman" w:hAnsi="Times New Roman" w:cs="Times New Roman"/>
                <w:sz w:val="28"/>
                <w:szCs w:val="28"/>
                <w:lang w:val="ro-RO"/>
              </w:rPr>
            </w:pPr>
            <w:r w:rsidRPr="00F04FD7">
              <w:rPr>
                <w:rFonts w:ascii="Times New Roman" w:hAnsi="Times New Roman" w:cs="Times New Roman"/>
                <w:sz w:val="28"/>
                <w:szCs w:val="28"/>
                <w:lang w:val="ro-RO"/>
              </w:rPr>
              <w:t>Astfel, se propune completarea Regulamentului privind transportarea mărfurilor prin posturile vamale interne de control cu un punct nou, î</w:t>
            </w:r>
            <w:r w:rsidR="00A27148" w:rsidRPr="00F04FD7">
              <w:rPr>
                <w:rFonts w:ascii="Times New Roman" w:hAnsi="Times New Roman" w:cs="Times New Roman"/>
                <w:sz w:val="28"/>
                <w:szCs w:val="28"/>
                <w:lang w:val="ro-RO"/>
              </w:rPr>
              <w:t>n scopul simplificării procedurii de transportare a producției agricole obținute</w:t>
            </w:r>
            <w:r w:rsidRPr="00F04FD7">
              <w:rPr>
                <w:rFonts w:ascii="Times New Roman" w:hAnsi="Times New Roman" w:cs="Times New Roman"/>
                <w:sz w:val="28"/>
                <w:szCs w:val="28"/>
                <w:lang w:val="ro-RO"/>
              </w:rPr>
              <w:t xml:space="preserve"> de subiecți ai activității de întreprinzător și înregistrați permanent la Agenția Servicii Publice, care au relații fiscale cu sistemul bugetar al țării deținători de terenuri agricole amplasate după traseul Tiraspol – Rîbnița (6499 ha), </w:t>
            </w:r>
            <w:r w:rsidR="00D95202">
              <w:rPr>
                <w:rFonts w:ascii="Times New Roman" w:hAnsi="Times New Roman" w:cs="Times New Roman"/>
                <w:sz w:val="28"/>
                <w:szCs w:val="28"/>
                <w:lang w:val="ro-RO"/>
              </w:rPr>
              <w:t xml:space="preserve">transportată în interes personal, precum și </w:t>
            </w:r>
            <w:r w:rsidRPr="00F04FD7">
              <w:rPr>
                <w:rFonts w:ascii="Times New Roman" w:hAnsi="Times New Roman" w:cs="Times New Roman"/>
                <w:sz w:val="28"/>
                <w:szCs w:val="28"/>
                <w:lang w:val="ro-RO"/>
              </w:rPr>
              <w:t>livrat</w:t>
            </w:r>
            <w:r w:rsidR="00D95202">
              <w:rPr>
                <w:rFonts w:ascii="Times New Roman" w:hAnsi="Times New Roman" w:cs="Times New Roman"/>
                <w:sz w:val="28"/>
                <w:szCs w:val="28"/>
                <w:lang w:val="ro-RO"/>
              </w:rPr>
              <w:t>ă</w:t>
            </w:r>
            <w:r w:rsidRPr="00F04FD7">
              <w:rPr>
                <w:rFonts w:ascii="Times New Roman" w:hAnsi="Times New Roman" w:cs="Times New Roman"/>
                <w:sz w:val="28"/>
                <w:szCs w:val="28"/>
                <w:lang w:val="ro-RO"/>
              </w:rPr>
              <w:t xml:space="preserve"> în adresa persoanelor juridice, subiecți ai activității de întreprinzător, situați pe teritoriul Republicii Moldova și care au relații fiscale cu sistemul ei bugetar</w:t>
            </w:r>
            <w:r w:rsidR="00A27148" w:rsidRPr="00F04FD7">
              <w:rPr>
                <w:rFonts w:ascii="Times New Roman" w:hAnsi="Times New Roman" w:cs="Times New Roman"/>
                <w:sz w:val="28"/>
                <w:szCs w:val="28"/>
                <w:lang w:val="ro-RO"/>
              </w:rPr>
              <w:t>.</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auto" w:fill="auto"/>
          </w:tcPr>
          <w:p w:rsidR="00B45483" w:rsidRPr="006A13BD" w:rsidRDefault="00B45483" w:rsidP="005C427D">
            <w:pPr>
              <w:tabs>
                <w:tab w:val="left" w:pos="462"/>
              </w:tabs>
              <w:spacing w:after="0" w:line="240" w:lineRule="auto"/>
              <w:ind w:firstLine="39"/>
              <w:jc w:val="left"/>
              <w:rPr>
                <w:rFonts w:ascii="Times New Roman" w:hAnsi="Times New Roman"/>
                <w:b/>
                <w:sz w:val="28"/>
                <w:szCs w:val="28"/>
              </w:rPr>
            </w:pPr>
            <w:r w:rsidRPr="006A13BD">
              <w:rPr>
                <w:rFonts w:ascii="Times New Roman" w:hAnsi="Times New Roman"/>
                <w:b/>
                <w:sz w:val="28"/>
                <w:szCs w:val="28"/>
              </w:rPr>
              <w:t>5. Fundamentarea economico-financiară</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6A13BD" w:rsidRDefault="00B45483" w:rsidP="005C427D">
            <w:pPr>
              <w:spacing w:after="0" w:line="240" w:lineRule="auto"/>
              <w:jc w:val="both"/>
              <w:rPr>
                <w:rFonts w:ascii="Times New Roman" w:hAnsi="Times New Roman"/>
                <w:sz w:val="28"/>
                <w:szCs w:val="28"/>
              </w:rPr>
            </w:pPr>
            <w:r w:rsidRPr="006A13BD">
              <w:rPr>
                <w:rFonts w:ascii="Times New Roman" w:hAnsi="Times New Roman"/>
                <w:sz w:val="28"/>
                <w:szCs w:val="28"/>
              </w:rPr>
              <w:t>Proiectul nu va necesita cheltuieli financiare şi alocarea mijloacelor financiare suplimentare.</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6A13BD" w:rsidRDefault="00B45483" w:rsidP="005C427D">
            <w:pPr>
              <w:spacing w:after="0" w:line="240" w:lineRule="auto"/>
              <w:jc w:val="both"/>
              <w:rPr>
                <w:rFonts w:ascii="Times New Roman" w:hAnsi="Times New Roman"/>
                <w:b/>
                <w:sz w:val="28"/>
                <w:szCs w:val="28"/>
              </w:rPr>
            </w:pPr>
            <w:r w:rsidRPr="006A13BD">
              <w:rPr>
                <w:rFonts w:ascii="Times New Roman" w:hAnsi="Times New Roman"/>
                <w:b/>
                <w:sz w:val="28"/>
                <w:szCs w:val="28"/>
              </w:rPr>
              <w:t>6.</w:t>
            </w:r>
            <w:r w:rsidRPr="006A13BD">
              <w:rPr>
                <w:rFonts w:ascii="Times New Roman" w:hAnsi="Times New Roman"/>
                <w:sz w:val="28"/>
                <w:szCs w:val="28"/>
              </w:rPr>
              <w:t xml:space="preserve"> </w:t>
            </w:r>
            <w:r w:rsidRPr="006A13BD">
              <w:rPr>
                <w:rFonts w:ascii="Times New Roman" w:hAnsi="Times New Roman"/>
                <w:b/>
                <w:sz w:val="28"/>
                <w:szCs w:val="28"/>
              </w:rPr>
              <w:t>Modul de încorporare a actului în cadrul normativ în vigoare</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6A13BD" w:rsidRDefault="00B45483" w:rsidP="005C427D">
            <w:pPr>
              <w:spacing w:after="0" w:line="240" w:lineRule="auto"/>
              <w:ind w:firstLine="131"/>
              <w:jc w:val="both"/>
              <w:rPr>
                <w:rFonts w:ascii="Times New Roman" w:hAnsi="Times New Roman"/>
                <w:sz w:val="28"/>
                <w:szCs w:val="28"/>
              </w:rPr>
            </w:pPr>
            <w:r w:rsidRPr="006A13BD">
              <w:rPr>
                <w:rFonts w:ascii="Times New Roman" w:hAnsi="Times New Roman"/>
                <w:sz w:val="28"/>
                <w:szCs w:val="28"/>
              </w:rPr>
              <w:t>Proiectul nu necesită abrogarea sau aprobarea altor acte normative.</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auto" w:fill="auto"/>
          </w:tcPr>
          <w:p w:rsidR="00B45483" w:rsidRPr="006A13BD" w:rsidRDefault="00B45483" w:rsidP="005C427D">
            <w:pPr>
              <w:spacing w:after="0" w:line="240" w:lineRule="auto"/>
              <w:jc w:val="left"/>
              <w:rPr>
                <w:rFonts w:ascii="Times New Roman" w:hAnsi="Times New Roman"/>
                <w:b/>
                <w:sz w:val="28"/>
                <w:szCs w:val="28"/>
              </w:rPr>
            </w:pPr>
            <w:r w:rsidRPr="006B6C69">
              <w:rPr>
                <w:rFonts w:ascii="Times New Roman" w:hAnsi="Times New Roman"/>
                <w:b/>
                <w:sz w:val="28"/>
                <w:szCs w:val="28"/>
              </w:rPr>
              <w:t>7</w:t>
            </w:r>
            <w:r w:rsidRPr="006A13BD">
              <w:rPr>
                <w:rFonts w:ascii="Times New Roman" w:hAnsi="Times New Roman"/>
                <w:b/>
                <w:sz w:val="28"/>
                <w:szCs w:val="28"/>
              </w:rPr>
              <w:t>. Avizarea și consultarea publică a proiectului</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E50BC6" w:rsidRDefault="00B45483" w:rsidP="00B45483">
            <w:pPr>
              <w:tabs>
                <w:tab w:val="left" w:pos="884"/>
                <w:tab w:val="left" w:pos="1196"/>
              </w:tabs>
              <w:spacing w:after="0" w:line="240" w:lineRule="auto"/>
              <w:jc w:val="both"/>
              <w:rPr>
                <w:rFonts w:ascii="Times New Roman" w:hAnsi="Times New Roman"/>
                <w:sz w:val="28"/>
                <w:szCs w:val="28"/>
                <w:lang w:eastAsia="ru-RU"/>
              </w:rPr>
            </w:pPr>
            <w:r w:rsidRPr="00E50BC6">
              <w:rPr>
                <w:rFonts w:ascii="Times New Roman" w:hAnsi="Times New Roman"/>
                <w:sz w:val="28"/>
                <w:szCs w:val="28"/>
                <w:lang w:eastAsia="ru-RU"/>
              </w:rPr>
              <w:t>Proiectul urmează a fi supus avizării și consultării publice în conformitate cu art.32 din Legea nr.100/2017 cu privire la actele normative, prin expediere părților interesate și prin publicare pe pagina web oficială a</w:t>
            </w:r>
            <w:r>
              <w:rPr>
                <w:rFonts w:ascii="Times New Roman" w:hAnsi="Times New Roman"/>
                <w:sz w:val="28"/>
                <w:szCs w:val="28"/>
                <w:lang w:eastAsia="ru-RU"/>
              </w:rPr>
              <w:t xml:space="preserve"> </w:t>
            </w:r>
            <w:r w:rsidRPr="00B45483">
              <w:rPr>
                <w:rFonts w:ascii="Times New Roman" w:hAnsi="Times New Roman"/>
                <w:sz w:val="28"/>
                <w:szCs w:val="28"/>
                <w:lang w:eastAsia="ru-RU"/>
              </w:rPr>
              <w:softHyphen/>
            </w:r>
            <w:r w:rsidRPr="00B45483">
              <w:rPr>
                <w:rFonts w:ascii="Times New Roman" w:hAnsi="Times New Roman"/>
                <w:sz w:val="28"/>
                <w:szCs w:val="28"/>
                <w:lang w:eastAsia="ru-RU"/>
              </w:rPr>
              <w:softHyphen/>
            </w:r>
            <w:r w:rsidRPr="00B45483">
              <w:rPr>
                <w:rFonts w:ascii="Times New Roman" w:hAnsi="Times New Roman"/>
                <w:sz w:val="28"/>
                <w:szCs w:val="28"/>
                <w:lang w:eastAsia="ru-RU"/>
              </w:rPr>
              <w:softHyphen/>
            </w:r>
            <w:r w:rsidRPr="00B45483">
              <w:rPr>
                <w:rFonts w:ascii="Times New Roman" w:hAnsi="Times New Roman"/>
                <w:sz w:val="28"/>
                <w:szCs w:val="28"/>
                <w:lang w:eastAsia="ru-RU"/>
              </w:rPr>
              <w:softHyphen/>
            </w:r>
            <w:r w:rsidRPr="00B45483">
              <w:rPr>
                <w:rFonts w:ascii="Times New Roman" w:hAnsi="Times New Roman"/>
                <w:sz w:val="28"/>
                <w:szCs w:val="28"/>
                <w:lang w:eastAsia="ru-RU"/>
              </w:rPr>
              <w:softHyphen/>
              <w:t xml:space="preserve">Ministerului Finanțelor; </w:t>
            </w:r>
          </w:p>
          <w:p w:rsidR="00B45483" w:rsidRPr="006A13BD" w:rsidRDefault="00B45483" w:rsidP="00B45483">
            <w:pPr>
              <w:spacing w:after="0" w:line="240" w:lineRule="auto"/>
              <w:jc w:val="both"/>
              <w:rPr>
                <w:rFonts w:ascii="Times New Roman" w:hAnsi="Times New Roman"/>
                <w:sz w:val="28"/>
                <w:szCs w:val="28"/>
              </w:rPr>
            </w:pPr>
            <w:r w:rsidRPr="00E50BC6">
              <w:rPr>
                <w:rFonts w:ascii="Times New Roman" w:hAnsi="Times New Roman"/>
                <w:sz w:val="28"/>
                <w:szCs w:val="28"/>
                <w:lang w:eastAsia="ru-RU"/>
              </w:rPr>
              <w:t xml:space="preserve">În scopul respectării prevederilor Legii nr.239/2008 privind transparența în procesul </w:t>
            </w:r>
            <w:r w:rsidRPr="00E50BC6">
              <w:rPr>
                <w:rFonts w:ascii="Times New Roman" w:hAnsi="Times New Roman"/>
                <w:sz w:val="28"/>
                <w:szCs w:val="28"/>
                <w:lang w:eastAsia="ru-RU"/>
              </w:rPr>
              <w:lastRenderedPageBreak/>
              <w:t xml:space="preserve">decizional, anunțul privind inițierea procesului de elaborare a proiectului </w:t>
            </w:r>
            <w:r>
              <w:rPr>
                <w:rFonts w:ascii="Times New Roman" w:hAnsi="Times New Roman"/>
                <w:sz w:val="28"/>
                <w:szCs w:val="28"/>
                <w:lang w:eastAsia="ru-RU"/>
              </w:rPr>
              <w:t>va fi plasat</w:t>
            </w:r>
            <w:r w:rsidRPr="00E50BC6">
              <w:rPr>
                <w:rFonts w:ascii="Times New Roman" w:hAnsi="Times New Roman"/>
                <w:sz w:val="28"/>
                <w:szCs w:val="28"/>
                <w:lang w:eastAsia="ru-RU"/>
              </w:rPr>
              <w:t xml:space="preserve"> pe pagina oficială a</w:t>
            </w:r>
            <w:r>
              <w:rPr>
                <w:rFonts w:ascii="Times New Roman" w:hAnsi="Times New Roman"/>
                <w:sz w:val="28"/>
                <w:szCs w:val="28"/>
                <w:lang w:eastAsia="ru-RU"/>
              </w:rPr>
              <w:softHyphen/>
            </w:r>
            <w:r>
              <w:rPr>
                <w:rFonts w:ascii="Times New Roman" w:hAnsi="Times New Roman"/>
                <w:sz w:val="28"/>
                <w:szCs w:val="28"/>
                <w:lang w:eastAsia="ru-RU"/>
              </w:rPr>
              <w:softHyphen/>
            </w:r>
            <w:r>
              <w:rPr>
                <w:rFonts w:ascii="Times New Roman" w:hAnsi="Times New Roman"/>
                <w:sz w:val="28"/>
                <w:szCs w:val="28"/>
                <w:lang w:eastAsia="ru-RU"/>
              </w:rPr>
              <w:softHyphen/>
            </w:r>
            <w:r>
              <w:rPr>
                <w:rFonts w:ascii="Times New Roman" w:hAnsi="Times New Roman"/>
                <w:sz w:val="28"/>
                <w:szCs w:val="28"/>
                <w:lang w:eastAsia="ru-RU"/>
              </w:rPr>
              <w:softHyphen/>
            </w:r>
            <w:r>
              <w:rPr>
                <w:rFonts w:ascii="Times New Roman" w:hAnsi="Times New Roman"/>
                <w:sz w:val="28"/>
                <w:szCs w:val="28"/>
                <w:lang w:eastAsia="ru-RU"/>
              </w:rPr>
              <w:softHyphen/>
            </w:r>
            <w:r>
              <w:rPr>
                <w:rFonts w:ascii="Times New Roman" w:hAnsi="Times New Roman"/>
                <w:sz w:val="28"/>
                <w:szCs w:val="28"/>
                <w:lang w:eastAsia="ru-RU"/>
              </w:rPr>
              <w:softHyphen/>
              <w:t xml:space="preserve"> Ministerului Finanțelor,</w:t>
            </w:r>
            <w:r w:rsidRPr="00E50BC6">
              <w:rPr>
                <w:rFonts w:ascii="Times New Roman" w:hAnsi="Times New Roman"/>
                <w:sz w:val="28"/>
                <w:szCs w:val="28"/>
                <w:lang w:eastAsia="ru-RU"/>
              </w:rPr>
              <w:t xml:space="preserve"> la compartimentul Transparența decizională/Consultări publice și va asigura avizarea acestuia de către instituțiile interesate.</w:t>
            </w:r>
          </w:p>
        </w:tc>
      </w:tr>
      <w:tr w:rsidR="00B45483" w:rsidRPr="001E46DA" w:rsidTr="005C427D">
        <w:trPr>
          <w:trHeight w:val="75"/>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6A13BD" w:rsidRDefault="00B45483" w:rsidP="005C427D">
            <w:pPr>
              <w:spacing w:after="0" w:line="240" w:lineRule="auto"/>
              <w:jc w:val="left"/>
              <w:rPr>
                <w:rFonts w:ascii="Times New Roman" w:hAnsi="Times New Roman"/>
                <w:b/>
                <w:sz w:val="28"/>
                <w:szCs w:val="28"/>
              </w:rPr>
            </w:pPr>
            <w:r w:rsidRPr="006A13BD">
              <w:rPr>
                <w:rFonts w:ascii="Times New Roman" w:hAnsi="Times New Roman"/>
                <w:b/>
                <w:sz w:val="28"/>
                <w:szCs w:val="28"/>
              </w:rPr>
              <w:lastRenderedPageBreak/>
              <w:t>8.</w:t>
            </w:r>
            <w:r>
              <w:rPr>
                <w:rFonts w:ascii="Times New Roman" w:hAnsi="Times New Roman"/>
                <w:b/>
                <w:sz w:val="28"/>
                <w:szCs w:val="28"/>
              </w:rPr>
              <w:t xml:space="preserve"> </w:t>
            </w:r>
            <w:r w:rsidRPr="006A13BD">
              <w:rPr>
                <w:rFonts w:ascii="Times New Roman" w:hAnsi="Times New Roman"/>
                <w:b/>
                <w:sz w:val="28"/>
                <w:szCs w:val="28"/>
              </w:rPr>
              <w:t>Constatările expertizei anticorupţie</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6A13BD" w:rsidRDefault="00B45483" w:rsidP="00B45483">
            <w:pPr>
              <w:spacing w:after="0" w:line="240" w:lineRule="auto"/>
              <w:jc w:val="both"/>
              <w:rPr>
                <w:rFonts w:ascii="Times New Roman" w:hAnsi="Times New Roman"/>
                <w:sz w:val="28"/>
                <w:szCs w:val="28"/>
              </w:rPr>
            </w:pPr>
            <w:r w:rsidRPr="00F16E54">
              <w:rPr>
                <w:rFonts w:ascii="Times New Roman" w:hAnsi="Times New Roman"/>
                <w:sz w:val="28"/>
                <w:szCs w:val="28"/>
                <w:lang w:eastAsia="ru-RU"/>
              </w:rPr>
              <w:t>Potrivit art.35 din Legea cu privire la actele normative proiectul urmează a fi supus expertizei anticorupție de către Centrul Național Anticorupție, care urmează a fi efectuată în conformitate prevederile Legii nr.1104/2002 cu privire la Centrul Național Anticorupție.</w:t>
            </w:r>
            <w:r>
              <w:t xml:space="preserve"> </w:t>
            </w:r>
            <w:r w:rsidRPr="00E50BC6">
              <w:rPr>
                <w:rFonts w:ascii="Times New Roman" w:hAnsi="Times New Roman"/>
                <w:sz w:val="28"/>
                <w:szCs w:val="28"/>
                <w:lang w:eastAsia="ru-RU"/>
              </w:rPr>
              <w:t>Informația privind rezultatele expertizei anticorupție va fi inclusă în sinteza obiecțiilor și propunerilor/recomandărilor la proiectul hotărârii de Guvern</w:t>
            </w:r>
            <w:r>
              <w:rPr>
                <w:rFonts w:ascii="Times New Roman" w:hAnsi="Times New Roman"/>
                <w:sz w:val="28"/>
                <w:szCs w:val="28"/>
                <w:lang w:eastAsia="ru-RU"/>
              </w:rPr>
              <w:t>.</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6A13BD" w:rsidRDefault="00B45483" w:rsidP="005C427D">
            <w:pPr>
              <w:spacing w:after="0" w:line="240" w:lineRule="auto"/>
              <w:jc w:val="left"/>
              <w:rPr>
                <w:rFonts w:ascii="Times New Roman" w:hAnsi="Times New Roman"/>
                <w:b/>
                <w:sz w:val="28"/>
                <w:szCs w:val="28"/>
              </w:rPr>
            </w:pPr>
            <w:r w:rsidRPr="006A13BD">
              <w:rPr>
                <w:rFonts w:ascii="Times New Roman" w:hAnsi="Times New Roman"/>
                <w:b/>
                <w:sz w:val="28"/>
                <w:szCs w:val="28"/>
              </w:rPr>
              <w:t>9. Constatările expertizei de compatibilitate</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6A13BD" w:rsidRDefault="00B45483" w:rsidP="005C427D">
            <w:pPr>
              <w:tabs>
                <w:tab w:val="left" w:pos="39"/>
              </w:tabs>
              <w:spacing w:after="0" w:line="240" w:lineRule="auto"/>
              <w:jc w:val="both"/>
              <w:rPr>
                <w:rFonts w:ascii="Times New Roman" w:hAnsi="Times New Roman"/>
                <w:b/>
                <w:sz w:val="28"/>
                <w:szCs w:val="28"/>
              </w:rPr>
            </w:pPr>
            <w:r w:rsidRPr="006A13BD">
              <w:rPr>
                <w:rFonts w:ascii="Times New Roman" w:hAnsi="Times New Roman"/>
                <w:sz w:val="28"/>
                <w:szCs w:val="28"/>
              </w:rPr>
              <w:t xml:space="preserve">Proiectul nu urmează a fi examinat sub aspect de compatibilitate. </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6A13BD" w:rsidRDefault="00B45483" w:rsidP="005C427D">
            <w:pPr>
              <w:spacing w:after="0" w:line="240" w:lineRule="auto"/>
              <w:jc w:val="left"/>
              <w:rPr>
                <w:rFonts w:ascii="Times New Roman" w:hAnsi="Times New Roman"/>
                <w:b/>
                <w:sz w:val="28"/>
                <w:szCs w:val="28"/>
              </w:rPr>
            </w:pPr>
            <w:r w:rsidRPr="006A13BD">
              <w:rPr>
                <w:rFonts w:ascii="Times New Roman" w:hAnsi="Times New Roman"/>
                <w:b/>
                <w:sz w:val="28"/>
                <w:szCs w:val="28"/>
              </w:rPr>
              <w:t>10. Constatările expertizei juridice</w:t>
            </w:r>
          </w:p>
        </w:tc>
      </w:tr>
      <w:tr w:rsidR="00B45483" w:rsidRPr="001E46DA" w:rsidTr="005C427D">
        <w:trPr>
          <w:trHeight w:val="1"/>
        </w:trPr>
        <w:tc>
          <w:tcPr>
            <w:tcW w:w="10065" w:type="dxa"/>
            <w:tcBorders>
              <w:top w:val="single" w:sz="2" w:space="0" w:color="000000"/>
              <w:left w:val="single" w:sz="2" w:space="0" w:color="000000"/>
              <w:bottom w:val="single" w:sz="2" w:space="0" w:color="000000"/>
              <w:right w:val="single" w:sz="2" w:space="0" w:color="000000"/>
            </w:tcBorders>
            <w:shd w:val="clear" w:color="000000" w:fill="FFFFFF"/>
          </w:tcPr>
          <w:p w:rsidR="00B45483" w:rsidRPr="006A13BD" w:rsidRDefault="00B45483" w:rsidP="00B45483">
            <w:pPr>
              <w:spacing w:after="0" w:line="240" w:lineRule="auto"/>
              <w:jc w:val="both"/>
              <w:rPr>
                <w:rFonts w:ascii="Times New Roman" w:hAnsi="Times New Roman"/>
                <w:sz w:val="28"/>
                <w:szCs w:val="28"/>
              </w:rPr>
            </w:pPr>
            <w:r w:rsidRPr="00F16E54">
              <w:rPr>
                <w:rFonts w:ascii="Times New Roman" w:hAnsi="Times New Roman"/>
                <w:sz w:val="28"/>
                <w:szCs w:val="28"/>
                <w:lang w:eastAsia="ru-RU"/>
              </w:rPr>
              <w:t>În conformitate cu art.37 din Legea nr. 100/2017 cu privire la actele normative proiectul urmează a fi supus expertizei juridice.</w:t>
            </w:r>
            <w:r>
              <w:t xml:space="preserve"> </w:t>
            </w:r>
            <w:r w:rsidRPr="00E50BC6">
              <w:rPr>
                <w:rFonts w:ascii="Times New Roman" w:hAnsi="Times New Roman"/>
                <w:sz w:val="28"/>
                <w:szCs w:val="28"/>
                <w:lang w:eastAsia="ru-RU"/>
              </w:rPr>
              <w:t>Informația privind rezultatele expertizei juridice va fi inclusă în sinteza obiecțiilor și propunerilor/recomandărilor la proiectul hotărârii de Guvern.</w:t>
            </w:r>
          </w:p>
        </w:tc>
      </w:tr>
    </w:tbl>
    <w:p w:rsidR="00B45483" w:rsidRPr="001E46DA" w:rsidRDefault="00B45483" w:rsidP="00B45483">
      <w:pPr>
        <w:tabs>
          <w:tab w:val="left" w:pos="6750"/>
        </w:tabs>
        <w:spacing w:after="0"/>
        <w:ind w:firstLine="131"/>
        <w:jc w:val="both"/>
        <w:rPr>
          <w:rFonts w:ascii="Times New Roman" w:hAnsi="Times New Roman"/>
          <w:b/>
          <w:sz w:val="26"/>
          <w:szCs w:val="26"/>
          <w:lang w:eastAsia="ru-RU"/>
        </w:rPr>
      </w:pPr>
    </w:p>
    <w:p w:rsidR="00B45483" w:rsidRDefault="00B45483" w:rsidP="00B45483">
      <w:pPr>
        <w:tabs>
          <w:tab w:val="left" w:pos="6750"/>
        </w:tabs>
        <w:spacing w:after="0"/>
        <w:ind w:left="142"/>
        <w:jc w:val="left"/>
        <w:rPr>
          <w:rFonts w:ascii="Times New Roman" w:hAnsi="Times New Roman"/>
          <w:b/>
          <w:sz w:val="26"/>
          <w:szCs w:val="26"/>
          <w:lang w:eastAsia="ru-RU"/>
        </w:rPr>
      </w:pPr>
    </w:p>
    <w:p w:rsidR="00B45483" w:rsidRDefault="00B45483" w:rsidP="00B45483">
      <w:pPr>
        <w:tabs>
          <w:tab w:val="left" w:pos="6750"/>
        </w:tabs>
        <w:spacing w:after="0"/>
        <w:ind w:left="142"/>
        <w:jc w:val="left"/>
        <w:rPr>
          <w:rFonts w:ascii="Times New Roman" w:hAnsi="Times New Roman"/>
          <w:b/>
          <w:sz w:val="26"/>
          <w:szCs w:val="26"/>
          <w:lang w:eastAsia="ru-RU"/>
        </w:rPr>
      </w:pPr>
    </w:p>
    <w:p w:rsidR="00B45483" w:rsidRPr="00105CBE" w:rsidRDefault="00B45483" w:rsidP="00B45483">
      <w:pPr>
        <w:ind w:left="643" w:right="-540"/>
        <w:jc w:val="both"/>
        <w:rPr>
          <w:rFonts w:ascii="Times New Roman" w:hAnsi="Times New Roman"/>
          <w:sz w:val="28"/>
          <w:szCs w:val="28"/>
        </w:rPr>
      </w:pPr>
      <w:r w:rsidRPr="00105CBE">
        <w:rPr>
          <w:rFonts w:ascii="Times New Roman" w:hAnsi="Times New Roman"/>
          <w:b/>
          <w:bCs/>
          <w:iCs/>
          <w:sz w:val="28"/>
          <w:szCs w:val="28"/>
        </w:rPr>
        <w:t xml:space="preserve">Ministru        </w:t>
      </w:r>
      <w:r w:rsidRPr="00105CBE">
        <w:rPr>
          <w:rFonts w:ascii="Times New Roman" w:hAnsi="Times New Roman"/>
          <w:b/>
          <w:sz w:val="28"/>
          <w:szCs w:val="28"/>
        </w:rPr>
        <w:t xml:space="preserve">      </w:t>
      </w:r>
      <w:r>
        <w:rPr>
          <w:rFonts w:ascii="Times New Roman" w:hAnsi="Times New Roman"/>
          <w:b/>
          <w:sz w:val="28"/>
          <w:szCs w:val="28"/>
        </w:rPr>
        <w:t xml:space="preserve">     </w:t>
      </w:r>
      <w:r w:rsidRPr="00105CBE">
        <w:rPr>
          <w:rFonts w:ascii="Times New Roman" w:hAnsi="Times New Roman"/>
          <w:b/>
          <w:sz w:val="28"/>
          <w:szCs w:val="28"/>
        </w:rPr>
        <w:t xml:space="preserve">  </w:t>
      </w:r>
      <w:r w:rsidRPr="00105CBE">
        <w:rPr>
          <w:rFonts w:ascii="Times New Roman" w:hAnsi="Times New Roman"/>
          <w:i/>
          <w:sz w:val="24"/>
          <w:szCs w:val="24"/>
        </w:rPr>
        <w:t>(semnat electronic)</w:t>
      </w:r>
      <w:r w:rsidRPr="00105CBE">
        <w:rPr>
          <w:rFonts w:ascii="Times New Roman" w:hAnsi="Times New Roman"/>
          <w:b/>
          <w:sz w:val="24"/>
          <w:szCs w:val="24"/>
        </w:rPr>
        <w:t xml:space="preserve"> </w:t>
      </w:r>
      <w:r w:rsidRPr="00105CBE">
        <w:rPr>
          <w:rFonts w:ascii="Times New Roman" w:hAnsi="Times New Roman"/>
          <w:b/>
          <w:sz w:val="28"/>
          <w:szCs w:val="28"/>
        </w:rPr>
        <w:t xml:space="preserve">    </w:t>
      </w:r>
      <w:r w:rsidRPr="00105CBE">
        <w:rPr>
          <w:rFonts w:ascii="Times New Roman" w:hAnsi="Times New Roman"/>
          <w:b/>
          <w:bCs/>
          <w:iCs/>
          <w:sz w:val="28"/>
          <w:szCs w:val="28"/>
        </w:rPr>
        <w:t xml:space="preserve">             </w:t>
      </w:r>
      <w:r w:rsidRPr="00105CBE">
        <w:rPr>
          <w:rFonts w:ascii="Times New Roman" w:hAnsi="Times New Roman"/>
          <w:b/>
          <w:sz w:val="28"/>
          <w:szCs w:val="28"/>
        </w:rPr>
        <w:t>Dumitru BUDIANSCHI</w:t>
      </w:r>
    </w:p>
    <w:p w:rsidR="00B45483" w:rsidRPr="00CD6B10" w:rsidRDefault="00B45483" w:rsidP="00B45483">
      <w:pPr>
        <w:tabs>
          <w:tab w:val="left" w:pos="6750"/>
        </w:tabs>
        <w:spacing w:after="0"/>
        <w:ind w:left="142"/>
        <w:jc w:val="left"/>
        <w:rPr>
          <w:rFonts w:ascii="Times New Roman" w:hAnsi="Times New Roman"/>
          <w:b/>
          <w:bCs/>
          <w:sz w:val="28"/>
          <w:szCs w:val="28"/>
        </w:rPr>
      </w:pPr>
    </w:p>
    <w:p w:rsidR="00952DE7" w:rsidRDefault="00952DE7"/>
    <w:sectPr w:rsidR="00952DE7" w:rsidSect="00CF7577">
      <w:pgSz w:w="11906" w:h="16838"/>
      <w:pgMar w:top="426" w:right="849"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25D87"/>
    <w:multiLevelType w:val="hybridMultilevel"/>
    <w:tmpl w:val="67F20D7C"/>
    <w:lvl w:ilvl="0" w:tplc="97620F4A">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483"/>
    <w:rsid w:val="00763C3B"/>
    <w:rsid w:val="00952DE7"/>
    <w:rsid w:val="00980496"/>
    <w:rsid w:val="00A27148"/>
    <w:rsid w:val="00B45483"/>
    <w:rsid w:val="00D36A51"/>
    <w:rsid w:val="00D95202"/>
    <w:rsid w:val="00F04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83"/>
    <w:pPr>
      <w:spacing w:after="200" w:line="276" w:lineRule="auto"/>
      <w:jc w:val="center"/>
    </w:pPr>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a"/>
    <w:link w:val="1"/>
    <w:uiPriority w:val="99"/>
    <w:qFormat/>
    <w:rsid w:val="00B45483"/>
    <w:pPr>
      <w:spacing w:after="0" w:line="240" w:lineRule="auto"/>
      <w:ind w:firstLine="567"/>
      <w:jc w:val="both"/>
    </w:pPr>
    <w:rPr>
      <w:rFonts w:ascii="Times New Roman" w:eastAsia="Calibri" w:hAnsi="Times New Roman"/>
      <w:sz w:val="24"/>
      <w:szCs w:val="24"/>
      <w:lang w:val="ru-RU" w:eastAsia="ru-RU"/>
    </w:rPr>
  </w:style>
  <w:style w:type="paragraph" w:styleId="HTML">
    <w:name w:val="HTML Preformatted"/>
    <w:basedOn w:val="a"/>
    <w:link w:val="HTML0"/>
    <w:rsid w:val="00B45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ru-RU" w:eastAsia="ru-RU"/>
    </w:rPr>
  </w:style>
  <w:style w:type="character" w:customStyle="1" w:styleId="HTML0">
    <w:name w:val="Стандартный HTML Знак"/>
    <w:basedOn w:val="a0"/>
    <w:link w:val="HTML"/>
    <w:rsid w:val="00B45483"/>
    <w:rPr>
      <w:rFonts w:ascii="Courier New" w:eastAsia="Times New Roman" w:hAnsi="Courier New" w:cs="Courier New"/>
      <w:sz w:val="20"/>
      <w:szCs w:val="20"/>
      <w:lang w:val="ru-RU" w:eastAsia="ru-RU"/>
    </w:rPr>
  </w:style>
  <w:style w:type="paragraph" w:customStyle="1" w:styleId="tt">
    <w:name w:val="tt"/>
    <w:basedOn w:val="a"/>
    <w:rsid w:val="00B45483"/>
    <w:pPr>
      <w:spacing w:after="0" w:line="240" w:lineRule="auto"/>
    </w:pPr>
    <w:rPr>
      <w:rFonts w:ascii="Times New Roman" w:hAnsi="Times New Roman"/>
      <w:b/>
      <w:bCs/>
      <w:sz w:val="24"/>
      <w:szCs w:val="24"/>
      <w:lang w:eastAsia="ro-RO"/>
    </w:rPr>
  </w:style>
  <w:style w:type="paragraph" w:customStyle="1" w:styleId="Default">
    <w:name w:val="Default"/>
    <w:rsid w:val="00B45483"/>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1">
    <w:name w:val="Обычный (веб) Знак1"/>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ebb Знак"/>
    <w:link w:val="a3"/>
    <w:uiPriority w:val="99"/>
    <w:locked/>
    <w:rsid w:val="00B45483"/>
    <w:rPr>
      <w:rFonts w:ascii="Times New Roman" w:eastAsia="Calibri" w:hAnsi="Times New Roman" w:cs="Times New Roman"/>
      <w:sz w:val="24"/>
      <w:szCs w:val="24"/>
      <w:lang w:val="ru-RU" w:eastAsia="ru-RU"/>
    </w:rPr>
  </w:style>
  <w:style w:type="paragraph" w:styleId="a4">
    <w:name w:val="No Spacing"/>
    <w:uiPriority w:val="1"/>
    <w:qFormat/>
    <w:rsid w:val="00A27148"/>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483"/>
    <w:pPr>
      <w:spacing w:after="200" w:line="276" w:lineRule="auto"/>
      <w:jc w:val="center"/>
    </w:pPr>
    <w:rPr>
      <w:rFonts w:ascii="Calibri" w:eastAsia="Times New Roman" w:hAnsi="Calibri"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 Знак,webb Знак Знак,Знак,webb, Знак, Знак Знак,webb Знак Знак Знак Char Char,Обычный (веб) Знак,webb Знак,Знак Знак1,Знак Знак Знак,Normal (Web) Знак,webb Знак Знак Знак,Normal (Web) Знак Знак Знак,Обычный (веб)1, webb"/>
    <w:basedOn w:val="a"/>
    <w:link w:val="1"/>
    <w:uiPriority w:val="99"/>
    <w:qFormat/>
    <w:rsid w:val="00B45483"/>
    <w:pPr>
      <w:spacing w:after="0" w:line="240" w:lineRule="auto"/>
      <w:ind w:firstLine="567"/>
      <w:jc w:val="both"/>
    </w:pPr>
    <w:rPr>
      <w:rFonts w:ascii="Times New Roman" w:eastAsia="Calibri" w:hAnsi="Times New Roman"/>
      <w:sz w:val="24"/>
      <w:szCs w:val="24"/>
      <w:lang w:val="ru-RU" w:eastAsia="ru-RU"/>
    </w:rPr>
  </w:style>
  <w:style w:type="paragraph" w:styleId="HTML">
    <w:name w:val="HTML Preformatted"/>
    <w:basedOn w:val="a"/>
    <w:link w:val="HTML0"/>
    <w:rsid w:val="00B454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 w:val="20"/>
      <w:szCs w:val="20"/>
      <w:lang w:val="ru-RU" w:eastAsia="ru-RU"/>
    </w:rPr>
  </w:style>
  <w:style w:type="character" w:customStyle="1" w:styleId="HTML0">
    <w:name w:val="Стандартный HTML Знак"/>
    <w:basedOn w:val="a0"/>
    <w:link w:val="HTML"/>
    <w:rsid w:val="00B45483"/>
    <w:rPr>
      <w:rFonts w:ascii="Courier New" w:eastAsia="Times New Roman" w:hAnsi="Courier New" w:cs="Courier New"/>
      <w:sz w:val="20"/>
      <w:szCs w:val="20"/>
      <w:lang w:val="ru-RU" w:eastAsia="ru-RU"/>
    </w:rPr>
  </w:style>
  <w:style w:type="paragraph" w:customStyle="1" w:styleId="tt">
    <w:name w:val="tt"/>
    <w:basedOn w:val="a"/>
    <w:rsid w:val="00B45483"/>
    <w:pPr>
      <w:spacing w:after="0" w:line="240" w:lineRule="auto"/>
    </w:pPr>
    <w:rPr>
      <w:rFonts w:ascii="Times New Roman" w:hAnsi="Times New Roman"/>
      <w:b/>
      <w:bCs/>
      <w:sz w:val="24"/>
      <w:szCs w:val="24"/>
      <w:lang w:eastAsia="ro-RO"/>
    </w:rPr>
  </w:style>
  <w:style w:type="paragraph" w:customStyle="1" w:styleId="Default">
    <w:name w:val="Default"/>
    <w:rsid w:val="00B45483"/>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1">
    <w:name w:val="Обычный (веб) Знак1"/>
    <w:aliases w:val="Знак Знак Знак1,webb Знак Знак Знак1,Знак Знак2,webb Знак1, Знак Знак1, Знак Знак Знак,webb Знак Знак Знак Char Char Знак,Обычный (веб) Знак Знак,webb Знак Знак1,Знак Знак1 Знак,Знак Знак Знак Знак,Normal (Web) Знак Знак, webb Знак"/>
    <w:link w:val="a3"/>
    <w:uiPriority w:val="99"/>
    <w:locked/>
    <w:rsid w:val="00B45483"/>
    <w:rPr>
      <w:rFonts w:ascii="Times New Roman" w:eastAsia="Calibri" w:hAnsi="Times New Roman" w:cs="Times New Roman"/>
      <w:sz w:val="24"/>
      <w:szCs w:val="24"/>
      <w:lang w:val="ru-RU" w:eastAsia="ru-RU"/>
    </w:rPr>
  </w:style>
  <w:style w:type="paragraph" w:styleId="a4">
    <w:name w:val="No Spacing"/>
    <w:uiPriority w:val="1"/>
    <w:qFormat/>
    <w:rsid w:val="00A27148"/>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4088</Characters>
  <Application>Microsoft Office Word</Application>
  <DocSecurity>0</DocSecurity>
  <Lines>34</Lines>
  <Paragraphs>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Golban, Viorica</dc:creator>
  <cp:lastModifiedBy>ESC-10.09.2017</cp:lastModifiedBy>
  <cp:revision>2</cp:revision>
  <dcterms:created xsi:type="dcterms:W3CDTF">2021-09-24T07:52:00Z</dcterms:created>
  <dcterms:modified xsi:type="dcterms:W3CDTF">2021-09-24T07:52:00Z</dcterms:modified>
</cp:coreProperties>
</file>