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2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6"/>
      </w:tblGrid>
      <w:tr w:rsidR="0057300F" w:rsidRPr="00844CBB" w14:paraId="5144ABC9" w14:textId="77777777" w:rsidTr="007C1773">
        <w:trPr>
          <w:jc w:val="center"/>
        </w:trPr>
        <w:tc>
          <w:tcPr>
            <w:tcW w:w="10276" w:type="dxa"/>
            <w:shd w:val="clear" w:color="auto" w:fill="D9D9D9"/>
            <w:vAlign w:val="center"/>
          </w:tcPr>
          <w:p w14:paraId="30FBA054" w14:textId="77777777" w:rsidR="0057300F" w:rsidRPr="009E0EDE" w:rsidRDefault="0057300F" w:rsidP="00BE19C1">
            <w:pPr>
              <w:pStyle w:val="NoSpacing"/>
              <w:ind w:left="-397"/>
              <w:jc w:val="center"/>
              <w:rPr>
                <w:rFonts w:ascii="Times New Roman" w:hAnsi="Times New Roman" w:cs="Times New Roman"/>
                <w:b/>
                <w:bCs/>
                <w:sz w:val="28"/>
                <w:szCs w:val="28"/>
                <w:lang w:val="ro-RO"/>
              </w:rPr>
            </w:pPr>
            <w:bookmarkStart w:id="0" w:name="_Hlk52202031"/>
            <w:r w:rsidRPr="009E0EDE">
              <w:rPr>
                <w:rFonts w:ascii="Times New Roman" w:hAnsi="Times New Roman" w:cs="Times New Roman"/>
                <w:b/>
                <w:bCs/>
                <w:sz w:val="28"/>
                <w:szCs w:val="28"/>
                <w:lang w:val="ro-RO"/>
              </w:rPr>
              <w:t>NOTĂ INFORMATIVĂ</w:t>
            </w:r>
          </w:p>
          <w:p w14:paraId="404279BA" w14:textId="415D1034" w:rsidR="0057300F" w:rsidRPr="00224B69" w:rsidRDefault="00E41C45" w:rsidP="00BE19C1">
            <w:pPr>
              <w:ind w:left="-113"/>
              <w:jc w:val="center"/>
              <w:rPr>
                <w:rFonts w:eastAsia="Calibri" w:cs="Times New Roman"/>
                <w:b/>
                <w:bCs/>
                <w:szCs w:val="24"/>
                <w:lang w:val="ro-MD"/>
              </w:rPr>
            </w:pPr>
            <w:r w:rsidRPr="00224B69">
              <w:rPr>
                <w:rFonts w:eastAsia="Calibri" w:cs="Times New Roman"/>
                <w:b/>
                <w:bCs/>
                <w:i/>
                <w:iCs/>
                <w:szCs w:val="24"/>
                <w:lang w:val="ro-MD"/>
              </w:rPr>
              <w:t xml:space="preserve">la proiectul </w:t>
            </w:r>
            <w:r w:rsidR="00611D70" w:rsidRPr="00224B69">
              <w:rPr>
                <w:rFonts w:eastAsia="Calibri" w:cs="Times New Roman"/>
                <w:b/>
                <w:bCs/>
                <w:i/>
                <w:iCs/>
                <w:szCs w:val="24"/>
                <w:lang w:val="ro-MD"/>
              </w:rPr>
              <w:t>Hotărârii</w:t>
            </w:r>
            <w:r w:rsidRPr="00224B69">
              <w:rPr>
                <w:rFonts w:eastAsia="Calibri" w:cs="Times New Roman"/>
                <w:b/>
                <w:bCs/>
                <w:i/>
                <w:iCs/>
                <w:szCs w:val="24"/>
                <w:lang w:val="ro-MD"/>
              </w:rPr>
              <w:t xml:space="preserve"> Guvernului</w:t>
            </w:r>
            <w:r w:rsidRPr="00224B69">
              <w:rPr>
                <w:rFonts w:eastAsia="Calibri" w:cs="Times New Roman"/>
                <w:b/>
                <w:bCs/>
                <w:szCs w:val="24"/>
                <w:lang w:val="ro-MD"/>
              </w:rPr>
              <w:t xml:space="preserve"> </w:t>
            </w:r>
            <w:r w:rsidRPr="00224B69">
              <w:rPr>
                <w:rFonts w:eastAsia="Calibri" w:cs="Times New Roman"/>
                <w:b/>
                <w:bCs/>
                <w:i/>
                <w:iCs/>
                <w:szCs w:val="24"/>
                <w:lang w:val="ro-MD"/>
              </w:rPr>
              <w:t xml:space="preserve">cu privire la aprobarea limitelor de capacitate, cotelor maxime și categoriilor de capacitate în domeniul energiei electrice din surse regenerabile </w:t>
            </w:r>
            <w:r w:rsidR="00224B69" w:rsidRPr="00224B69">
              <w:rPr>
                <w:rFonts w:eastAsia="Calibri" w:cs="Times New Roman"/>
                <w:b/>
                <w:bCs/>
                <w:i/>
                <w:iCs/>
                <w:szCs w:val="24"/>
                <w:lang w:val="ro-MD"/>
              </w:rPr>
              <w:t>până</w:t>
            </w:r>
            <w:r w:rsidRPr="00224B69">
              <w:rPr>
                <w:rFonts w:eastAsia="Calibri" w:cs="Times New Roman"/>
                <w:b/>
                <w:bCs/>
                <w:i/>
                <w:iCs/>
                <w:szCs w:val="24"/>
                <w:lang w:val="ro-MD"/>
              </w:rPr>
              <w:t xml:space="preserve"> în anul 202</w:t>
            </w:r>
            <w:bookmarkEnd w:id="0"/>
            <w:r w:rsidR="006E66D5" w:rsidRPr="00224B69">
              <w:rPr>
                <w:rFonts w:eastAsia="Calibri" w:cs="Times New Roman"/>
                <w:b/>
                <w:bCs/>
                <w:i/>
                <w:iCs/>
                <w:szCs w:val="24"/>
                <w:lang w:val="ro-MD"/>
              </w:rPr>
              <w:t>5</w:t>
            </w:r>
          </w:p>
        </w:tc>
      </w:tr>
    </w:tbl>
    <w:tbl>
      <w:tblPr>
        <w:tblStyle w:val="1"/>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1"/>
      </w:tblGrid>
      <w:tr w:rsidR="0057300F" w:rsidRPr="00844CBB" w14:paraId="0D357F95" w14:textId="77777777" w:rsidTr="07DD546D">
        <w:tc>
          <w:tcPr>
            <w:tcW w:w="10211" w:type="dxa"/>
          </w:tcPr>
          <w:p w14:paraId="733B8824" w14:textId="77777777" w:rsidR="0057300F" w:rsidRPr="007F53F8" w:rsidRDefault="0057300F" w:rsidP="00BE19C1">
            <w:pPr>
              <w:ind w:right="-110"/>
              <w:rPr>
                <w:b/>
                <w:szCs w:val="24"/>
              </w:rPr>
            </w:pPr>
            <w:bookmarkStart w:id="1" w:name="_Hlk52202103"/>
            <w:r w:rsidRPr="007F53F8">
              <w:rPr>
                <w:b/>
                <w:szCs w:val="24"/>
              </w:rPr>
              <w:t>1. Denumirea autorului și, după caz, a participanților la elaborarea proiectului</w:t>
            </w:r>
          </w:p>
          <w:p w14:paraId="30831EDD" w14:textId="612FE391" w:rsidR="0057300F" w:rsidRDefault="00E41C45" w:rsidP="00BE19C1">
            <w:pPr>
              <w:ind w:right="-110"/>
              <w:rPr>
                <w:rFonts w:eastAsia="Times New Roman"/>
                <w:bCs/>
                <w:szCs w:val="24"/>
                <w:lang w:eastAsia="ru-RU"/>
              </w:rPr>
            </w:pPr>
            <w:r w:rsidRPr="00E41C45">
              <w:rPr>
                <w:rFonts w:eastAsia="Times New Roman"/>
                <w:szCs w:val="24"/>
                <w:lang w:eastAsia="ru-RU"/>
              </w:rPr>
              <w:t xml:space="preserve">Proiectul </w:t>
            </w:r>
            <w:r w:rsidR="00BE19C1" w:rsidRPr="00E41C45">
              <w:rPr>
                <w:rFonts w:eastAsia="Times New Roman"/>
                <w:szCs w:val="24"/>
                <w:lang w:eastAsia="ru-RU"/>
              </w:rPr>
              <w:t>Hotărârii</w:t>
            </w:r>
            <w:r w:rsidRPr="00E41C45">
              <w:rPr>
                <w:rFonts w:eastAsia="Times New Roman"/>
                <w:szCs w:val="24"/>
                <w:lang w:eastAsia="ru-RU"/>
              </w:rPr>
              <w:t xml:space="preserve"> Guvernului cu privire la aprobarea limitelor de capacitate, cotelor maxime și categoriilor de capacitate în domeniul energiei electrice din surse regenerabile </w:t>
            </w:r>
            <w:r w:rsidR="00F7589B" w:rsidRPr="00E41C45">
              <w:rPr>
                <w:rFonts w:eastAsia="Times New Roman"/>
                <w:szCs w:val="24"/>
                <w:lang w:eastAsia="ru-RU"/>
              </w:rPr>
              <w:t>până</w:t>
            </w:r>
            <w:r w:rsidRPr="00E41C45">
              <w:rPr>
                <w:rFonts w:eastAsia="Times New Roman"/>
                <w:szCs w:val="24"/>
                <w:lang w:eastAsia="ru-RU"/>
              </w:rPr>
              <w:t xml:space="preserve"> în anul 202</w:t>
            </w:r>
            <w:r w:rsidR="006E66D5">
              <w:rPr>
                <w:rFonts w:eastAsia="Times New Roman"/>
                <w:szCs w:val="24"/>
                <w:lang w:eastAsia="ru-RU"/>
              </w:rPr>
              <w:t>5</w:t>
            </w:r>
            <w:r w:rsidRPr="00E41C45">
              <w:rPr>
                <w:rFonts w:eastAsia="Times New Roman"/>
                <w:szCs w:val="24"/>
                <w:lang w:eastAsia="ru-RU"/>
              </w:rPr>
              <w:t>, este elaborat de către Ministerul Infrastructurii</w:t>
            </w:r>
            <w:r w:rsidR="00690FE9">
              <w:rPr>
                <w:rFonts w:eastAsia="Times New Roman"/>
                <w:szCs w:val="24"/>
                <w:lang w:eastAsia="ru-RU"/>
              </w:rPr>
              <w:t xml:space="preserve"> și Dezvoltării Regionale</w:t>
            </w:r>
            <w:r w:rsidR="002F7885">
              <w:rPr>
                <w:rFonts w:eastAsia="Times New Roman"/>
                <w:szCs w:val="24"/>
                <w:lang w:eastAsia="ru-RU"/>
              </w:rPr>
              <w:t xml:space="preserve"> (</w:t>
            </w:r>
            <w:r w:rsidR="00690FE9" w:rsidRPr="00942B8D">
              <w:rPr>
                <w:rFonts w:eastAsia="Times New Roman"/>
                <w:i/>
                <w:iCs/>
                <w:szCs w:val="24"/>
                <w:lang w:eastAsia="ru-RU"/>
              </w:rPr>
              <w:t>în continuare - MIDR</w:t>
            </w:r>
            <w:r w:rsidR="002F7885">
              <w:rPr>
                <w:rFonts w:eastAsia="Times New Roman"/>
                <w:szCs w:val="24"/>
                <w:lang w:eastAsia="ru-RU"/>
              </w:rPr>
              <w:t>)</w:t>
            </w:r>
            <w:r w:rsidRPr="00E41C45">
              <w:rPr>
                <w:rFonts w:eastAsia="Times New Roman"/>
                <w:szCs w:val="24"/>
                <w:lang w:eastAsia="ru-RU"/>
              </w:rPr>
              <w:t>, î</w:t>
            </w:r>
            <w:r w:rsidRPr="00E41C45">
              <w:rPr>
                <w:rFonts w:eastAsia="Times New Roman"/>
                <w:bCs/>
                <w:szCs w:val="24"/>
                <w:lang w:eastAsia="ru-RU"/>
              </w:rPr>
              <w:t xml:space="preserve">n </w:t>
            </w:r>
            <w:r w:rsidR="00F7589B">
              <w:rPr>
                <w:rFonts w:eastAsia="Times New Roman"/>
                <w:bCs/>
                <w:szCs w:val="24"/>
                <w:lang w:eastAsia="ru-RU"/>
              </w:rPr>
              <w:t xml:space="preserve">contextul </w:t>
            </w:r>
            <w:r w:rsidRPr="00E41C45">
              <w:rPr>
                <w:rFonts w:eastAsia="Times New Roman"/>
                <w:bCs/>
                <w:szCs w:val="24"/>
                <w:lang w:eastAsia="ru-RU"/>
              </w:rPr>
              <w:t xml:space="preserve"> implementării prevederilor art.10 lit. e) </w:t>
            </w:r>
            <w:r w:rsidR="008031B3">
              <w:rPr>
                <w:rFonts w:eastAsia="Times New Roman"/>
                <w:bCs/>
                <w:szCs w:val="24"/>
                <w:lang w:eastAsia="ru-RU"/>
              </w:rPr>
              <w:t xml:space="preserve">din </w:t>
            </w:r>
            <w:r w:rsidRPr="00E41C45">
              <w:rPr>
                <w:rFonts w:eastAsia="Times New Roman"/>
                <w:bCs/>
                <w:szCs w:val="24"/>
                <w:lang w:eastAsia="ru-RU"/>
              </w:rPr>
              <w:t>Leg</w:t>
            </w:r>
            <w:r w:rsidR="008031B3">
              <w:rPr>
                <w:rFonts w:eastAsia="Times New Roman"/>
                <w:bCs/>
                <w:szCs w:val="24"/>
                <w:lang w:eastAsia="ru-RU"/>
              </w:rPr>
              <w:t>ea</w:t>
            </w:r>
            <w:r w:rsidRPr="00E41C45">
              <w:rPr>
                <w:rFonts w:eastAsia="Times New Roman"/>
                <w:bCs/>
                <w:szCs w:val="24"/>
                <w:lang w:eastAsia="ru-RU"/>
              </w:rPr>
              <w:t xml:space="preserve"> </w:t>
            </w:r>
            <w:r w:rsidR="008031B3">
              <w:rPr>
                <w:rFonts w:eastAsia="Times New Roman"/>
                <w:bCs/>
                <w:szCs w:val="24"/>
                <w:lang w:eastAsia="ru-RU"/>
              </w:rPr>
              <w:t>n</w:t>
            </w:r>
            <w:r w:rsidRPr="00E41C45">
              <w:rPr>
                <w:rFonts w:eastAsia="Times New Roman"/>
                <w:bCs/>
                <w:szCs w:val="24"/>
                <w:lang w:eastAsia="ru-RU"/>
              </w:rPr>
              <w:t>r. 10</w:t>
            </w:r>
            <w:r w:rsidR="006E66D5">
              <w:rPr>
                <w:rFonts w:eastAsia="Times New Roman"/>
                <w:bCs/>
                <w:szCs w:val="24"/>
                <w:lang w:eastAsia="ru-RU"/>
              </w:rPr>
              <w:t>/</w:t>
            </w:r>
            <w:r w:rsidRPr="00E41C45">
              <w:rPr>
                <w:rFonts w:eastAsia="Times New Roman"/>
                <w:bCs/>
                <w:szCs w:val="24"/>
                <w:lang w:eastAsia="ru-RU"/>
              </w:rPr>
              <w:t>2016 privind promovarea utilizării energiei din surse regenerabile.</w:t>
            </w:r>
          </w:p>
          <w:p w14:paraId="4DE2B48E" w14:textId="1F5FB28D" w:rsidR="00F7589B" w:rsidRPr="007F53F8" w:rsidRDefault="00FF0931" w:rsidP="00394BC1">
            <w:pPr>
              <w:ind w:right="-110"/>
              <w:rPr>
                <w:rFonts w:eastAsia="Times New Roman"/>
                <w:bCs/>
                <w:szCs w:val="24"/>
                <w:lang w:eastAsia="ru-RU"/>
              </w:rPr>
            </w:pPr>
            <w:r>
              <w:rPr>
                <w:rFonts w:eastAsia="Times New Roman"/>
                <w:bCs/>
                <w:szCs w:val="24"/>
                <w:lang w:eastAsia="ru-RU"/>
              </w:rPr>
              <w:t>S</w:t>
            </w:r>
            <w:r w:rsidR="006E66D5">
              <w:rPr>
                <w:rFonts w:eastAsia="Times New Roman"/>
                <w:bCs/>
                <w:szCs w:val="24"/>
                <w:lang w:eastAsia="ru-RU"/>
              </w:rPr>
              <w:t xml:space="preserve">tabilirea și aprobarea </w:t>
            </w:r>
            <w:r w:rsidR="00693183">
              <w:rPr>
                <w:rFonts w:eastAsia="Times New Roman"/>
                <w:bCs/>
                <w:szCs w:val="24"/>
                <w:lang w:eastAsia="ru-RU"/>
              </w:rPr>
              <w:t>cote</w:t>
            </w:r>
            <w:r w:rsidR="006E66D5">
              <w:rPr>
                <w:rFonts w:eastAsia="Times New Roman"/>
                <w:bCs/>
                <w:szCs w:val="24"/>
                <w:lang w:eastAsia="ru-RU"/>
              </w:rPr>
              <w:t>lor</w:t>
            </w:r>
            <w:r w:rsidR="00693183">
              <w:rPr>
                <w:rFonts w:eastAsia="Times New Roman"/>
                <w:bCs/>
                <w:szCs w:val="24"/>
                <w:lang w:eastAsia="ru-RU"/>
              </w:rPr>
              <w:t xml:space="preserve"> maxime de capacități a instalațiilor de generare a energiei electrice din surse regenerabile către anul 2025, conform intenției curente a </w:t>
            </w:r>
            <w:r w:rsidR="00690FE9">
              <w:rPr>
                <w:rFonts w:eastAsia="Times New Roman"/>
                <w:bCs/>
                <w:szCs w:val="24"/>
                <w:lang w:eastAsia="ru-RU"/>
              </w:rPr>
              <w:t>MIDR</w:t>
            </w:r>
            <w:r w:rsidR="00693183">
              <w:rPr>
                <w:rFonts w:eastAsia="Times New Roman"/>
                <w:bCs/>
                <w:szCs w:val="24"/>
                <w:lang w:eastAsia="ru-RU"/>
              </w:rPr>
              <w:t xml:space="preserve">, a presupus modelarea sistemului electroenergetic național într-un simulator/ instrument </w:t>
            </w:r>
            <w:r w:rsidR="00394BC1">
              <w:rPr>
                <w:rFonts w:eastAsia="Times New Roman"/>
                <w:bCs/>
                <w:szCs w:val="24"/>
                <w:lang w:eastAsia="ru-RU"/>
              </w:rPr>
              <w:t xml:space="preserve">software </w:t>
            </w:r>
            <w:r w:rsidR="00693183">
              <w:rPr>
                <w:rFonts w:eastAsia="Times New Roman"/>
                <w:bCs/>
                <w:szCs w:val="24"/>
                <w:lang w:eastAsia="ru-RU"/>
              </w:rPr>
              <w:t>specializat numit ANTARES</w:t>
            </w:r>
            <w:r w:rsidR="00694019">
              <w:rPr>
                <w:rFonts w:eastAsia="Times New Roman"/>
                <w:bCs/>
                <w:szCs w:val="24"/>
                <w:lang w:eastAsia="ru-RU"/>
              </w:rPr>
              <w:t xml:space="preserve"> (ultima versiune a raportului este prezentat în anexă la această notă </w:t>
            </w:r>
            <w:r w:rsidR="00B13D54">
              <w:rPr>
                <w:rFonts w:eastAsia="Times New Roman"/>
                <w:bCs/>
                <w:szCs w:val="24"/>
                <w:lang w:eastAsia="ru-RU"/>
              </w:rPr>
              <w:t>informativă</w:t>
            </w:r>
            <w:r w:rsidR="00694019">
              <w:rPr>
                <w:rFonts w:eastAsia="Times New Roman"/>
                <w:bCs/>
                <w:szCs w:val="24"/>
                <w:lang w:eastAsia="ru-RU"/>
              </w:rPr>
              <w:t>)</w:t>
            </w:r>
            <w:r w:rsidR="00693183">
              <w:rPr>
                <w:rFonts w:eastAsia="Times New Roman"/>
                <w:bCs/>
                <w:szCs w:val="24"/>
                <w:lang w:eastAsia="ru-RU"/>
              </w:rPr>
              <w:t>. Ace</w:t>
            </w:r>
            <w:r w:rsidR="00394BC1">
              <w:rPr>
                <w:rFonts w:eastAsia="Times New Roman"/>
                <w:bCs/>
                <w:szCs w:val="24"/>
                <w:lang w:eastAsia="ru-RU"/>
              </w:rPr>
              <w:t xml:space="preserve">astă acțiune a fost realizată cu suportul unei consultanțe internaționale, în cadrul </w:t>
            </w:r>
            <w:r w:rsidR="00693183">
              <w:rPr>
                <w:rFonts w:eastAsia="Times New Roman"/>
                <w:bCs/>
                <w:szCs w:val="24"/>
                <w:lang w:eastAsia="ru-RU"/>
              </w:rPr>
              <w:t xml:space="preserve">proiectului de asistență tehnică STARS, finanțat de Uniunea Europeană.  </w:t>
            </w:r>
            <w:bookmarkEnd w:id="1"/>
          </w:p>
        </w:tc>
      </w:tr>
      <w:tr w:rsidR="0057300F" w:rsidRPr="00844CBB" w14:paraId="1FC6F3B7" w14:textId="77777777" w:rsidTr="001051EF">
        <w:tc>
          <w:tcPr>
            <w:tcW w:w="10211" w:type="dxa"/>
          </w:tcPr>
          <w:p w14:paraId="586C425B" w14:textId="14369D1D" w:rsidR="0057300F" w:rsidRPr="007F53F8" w:rsidRDefault="00CD4C3B" w:rsidP="00BE19C1">
            <w:pPr>
              <w:rPr>
                <w:b/>
                <w:szCs w:val="24"/>
              </w:rPr>
            </w:pPr>
            <w:bookmarkStart w:id="2" w:name="_Hlk52202176"/>
            <w:r w:rsidRPr="002F7885">
              <w:rPr>
                <w:rFonts w:eastAsiaTheme="minorHAnsi" w:cstheme="minorBidi"/>
              </w:rPr>
              <w:br w:type="page"/>
            </w:r>
            <w:r w:rsidR="0057300F" w:rsidRPr="007F53F8">
              <w:rPr>
                <w:b/>
                <w:szCs w:val="24"/>
              </w:rPr>
              <w:t>2. Condițiile ce au impus elaborarea proiectului actului normativ și finalitățile urmărite</w:t>
            </w:r>
          </w:p>
          <w:p w14:paraId="4EEEAC20" w14:textId="27CB8EB4" w:rsidR="006E50A2" w:rsidRPr="00DE3351" w:rsidRDefault="00694019" w:rsidP="00BE19C1">
            <w:pPr>
              <w:rPr>
                <w:rFonts w:eastAsia="Times New Roman"/>
                <w:bCs/>
                <w:szCs w:val="24"/>
                <w:lang w:eastAsia="ru-RU"/>
              </w:rPr>
            </w:pPr>
            <w:r>
              <w:rPr>
                <w:rFonts w:eastAsia="Times New Roman"/>
                <w:bCs/>
                <w:szCs w:val="24"/>
                <w:lang w:eastAsia="ru-RU"/>
              </w:rPr>
              <w:t xml:space="preserve">Proiectul </w:t>
            </w:r>
            <w:r w:rsidR="00075437" w:rsidRPr="00075437">
              <w:rPr>
                <w:rFonts w:eastAsia="Times New Roman"/>
                <w:bCs/>
                <w:szCs w:val="24"/>
                <w:lang w:eastAsia="ru-RU"/>
              </w:rPr>
              <w:t>Hotărâr</w:t>
            </w:r>
            <w:r>
              <w:rPr>
                <w:rFonts w:eastAsia="Times New Roman"/>
                <w:bCs/>
                <w:szCs w:val="24"/>
                <w:lang w:eastAsia="ru-RU"/>
              </w:rPr>
              <w:t>ii</w:t>
            </w:r>
            <w:r w:rsidR="00075437" w:rsidRPr="00075437">
              <w:rPr>
                <w:rFonts w:eastAsia="Times New Roman"/>
                <w:bCs/>
                <w:szCs w:val="24"/>
                <w:lang w:eastAsia="ru-RU"/>
              </w:rPr>
              <w:t xml:space="preserve"> Guvernului este elaborat întru </w:t>
            </w:r>
            <w:r w:rsidR="00075437">
              <w:rPr>
                <w:rFonts w:eastAsia="Times New Roman"/>
                <w:bCs/>
                <w:szCs w:val="24"/>
                <w:lang w:eastAsia="ru-RU"/>
              </w:rPr>
              <w:t xml:space="preserve">ajustarea la condițiile actuale a </w:t>
            </w:r>
            <w:r w:rsidR="00075437" w:rsidRPr="00075437">
              <w:rPr>
                <w:rFonts w:eastAsia="Times New Roman"/>
                <w:bCs/>
                <w:szCs w:val="24"/>
                <w:lang w:eastAsia="ru-RU"/>
              </w:rPr>
              <w:t xml:space="preserve">cadrului juridic </w:t>
            </w:r>
            <w:r w:rsidR="00075437">
              <w:rPr>
                <w:rFonts w:eastAsia="Times New Roman"/>
                <w:bCs/>
                <w:szCs w:val="24"/>
                <w:lang w:eastAsia="ru-RU"/>
              </w:rPr>
              <w:t xml:space="preserve">de </w:t>
            </w:r>
            <w:r w:rsidR="00075437" w:rsidRPr="00075437">
              <w:rPr>
                <w:rFonts w:eastAsia="Times New Roman"/>
                <w:bCs/>
                <w:szCs w:val="24"/>
                <w:lang w:eastAsia="ru-RU"/>
              </w:rPr>
              <w:t>aplic</w:t>
            </w:r>
            <w:r w:rsidR="00075437">
              <w:rPr>
                <w:rFonts w:eastAsia="Times New Roman"/>
                <w:bCs/>
                <w:szCs w:val="24"/>
                <w:lang w:eastAsia="ru-RU"/>
              </w:rPr>
              <w:t>are</w:t>
            </w:r>
            <w:r w:rsidR="00075437" w:rsidRPr="00075437">
              <w:rPr>
                <w:rFonts w:eastAsia="Times New Roman"/>
                <w:bCs/>
                <w:szCs w:val="24"/>
                <w:lang w:eastAsia="ru-RU"/>
              </w:rPr>
              <w:t>/ implement</w:t>
            </w:r>
            <w:r w:rsidR="00075437">
              <w:rPr>
                <w:rFonts w:eastAsia="Times New Roman"/>
                <w:bCs/>
                <w:szCs w:val="24"/>
                <w:lang w:eastAsia="ru-RU"/>
              </w:rPr>
              <w:t xml:space="preserve">are a </w:t>
            </w:r>
            <w:r w:rsidR="00075437" w:rsidRPr="00075437">
              <w:rPr>
                <w:rFonts w:eastAsia="Times New Roman"/>
                <w:bCs/>
                <w:szCs w:val="24"/>
                <w:lang w:eastAsia="ru-RU"/>
              </w:rPr>
              <w:t xml:space="preserve">schemelor de suport prevăzute la art. 34 al Legii nr.10/2016 privind promovarea utilizării energiei din surse regenerabile, și anume </w:t>
            </w:r>
            <w:r w:rsidR="00075437" w:rsidRPr="00075437">
              <w:rPr>
                <w:rFonts w:eastAsia="Times New Roman"/>
                <w:bCs/>
                <w:i/>
                <w:iCs/>
                <w:szCs w:val="24"/>
                <w:lang w:eastAsia="ru-RU"/>
              </w:rPr>
              <w:t>preț fix</w:t>
            </w:r>
            <w:r w:rsidR="00075437" w:rsidRPr="00075437">
              <w:rPr>
                <w:rFonts w:eastAsia="Times New Roman"/>
                <w:bCs/>
                <w:szCs w:val="24"/>
                <w:lang w:eastAsia="ru-RU"/>
              </w:rPr>
              <w:t>, stabilit în cadrul licitației, pentru producătorii eligibili care dețin sau urmează să dețină centrale electrice cu o putere cumulată mai mare decât limita de capacitate stabilită de Guvern</w:t>
            </w:r>
            <w:r w:rsidR="00117C6D">
              <w:rPr>
                <w:rFonts w:eastAsia="Times New Roman"/>
                <w:bCs/>
                <w:szCs w:val="24"/>
                <w:lang w:eastAsia="ru-RU"/>
              </w:rPr>
              <w:t>,</w:t>
            </w:r>
            <w:r w:rsidR="00075437" w:rsidRPr="00075437">
              <w:rPr>
                <w:rFonts w:eastAsia="Times New Roman"/>
                <w:bCs/>
                <w:szCs w:val="24"/>
                <w:lang w:eastAsia="ru-RU"/>
              </w:rPr>
              <w:t xml:space="preserve"> și </w:t>
            </w:r>
            <w:r w:rsidR="00075437" w:rsidRPr="00075437">
              <w:rPr>
                <w:rFonts w:eastAsia="Times New Roman"/>
                <w:bCs/>
                <w:i/>
                <w:iCs/>
                <w:szCs w:val="24"/>
                <w:lang w:eastAsia="ru-RU"/>
              </w:rPr>
              <w:t>tarif fix</w:t>
            </w:r>
            <w:r w:rsidR="00075437" w:rsidRPr="00075437">
              <w:rPr>
                <w:rFonts w:eastAsia="Times New Roman"/>
                <w:bCs/>
                <w:szCs w:val="24"/>
                <w:lang w:eastAsia="ru-RU"/>
              </w:rPr>
              <w:t xml:space="preserve">, stabilit și aprobat de ANRE pentru producătorii eligibili care dețin sau urmează să dețină centrale electrice cu o putere cumulată ce nu </w:t>
            </w:r>
            <w:r w:rsidR="00075437" w:rsidRPr="00DE3351">
              <w:rPr>
                <w:rFonts w:eastAsia="Times New Roman"/>
                <w:bCs/>
                <w:szCs w:val="24"/>
                <w:lang w:eastAsia="ru-RU"/>
              </w:rPr>
              <w:t>depășește limita de capacitate stabilită de Guvern, dar care nu trebuie să fie mai mică de 10 kW.</w:t>
            </w:r>
          </w:p>
          <w:p w14:paraId="6068198C" w14:textId="217E3301" w:rsidR="008573ED" w:rsidRPr="00DE3351" w:rsidRDefault="008031B3" w:rsidP="002E687C">
            <w:pPr>
              <w:rPr>
                <w:bCs/>
                <w:szCs w:val="24"/>
              </w:rPr>
            </w:pPr>
            <w:r w:rsidRPr="00DE3351">
              <w:rPr>
                <w:rFonts w:eastAsia="Times New Roman"/>
                <w:bCs/>
                <w:szCs w:val="24"/>
                <w:lang w:eastAsia="ru-RU"/>
              </w:rPr>
              <w:t xml:space="preserve">Hotărârea </w:t>
            </w:r>
            <w:r w:rsidR="006E50A2" w:rsidRPr="00DE3351">
              <w:rPr>
                <w:rFonts w:eastAsia="Times New Roman"/>
                <w:bCs/>
                <w:szCs w:val="24"/>
                <w:lang w:eastAsia="ru-RU"/>
              </w:rPr>
              <w:t>G</w:t>
            </w:r>
            <w:r w:rsidRPr="00DE3351">
              <w:rPr>
                <w:rFonts w:eastAsia="Times New Roman"/>
                <w:bCs/>
                <w:szCs w:val="24"/>
                <w:lang w:eastAsia="ru-RU"/>
              </w:rPr>
              <w:t xml:space="preserve">uvernului </w:t>
            </w:r>
            <w:r w:rsidR="00963407" w:rsidRPr="00DE3351">
              <w:rPr>
                <w:rFonts w:eastAsia="Times New Roman"/>
                <w:bCs/>
                <w:szCs w:val="24"/>
                <w:lang w:eastAsia="ru-RU"/>
              </w:rPr>
              <w:t>precedentă</w:t>
            </w:r>
            <w:r w:rsidR="00117C6D" w:rsidRPr="00DE3351">
              <w:rPr>
                <w:rFonts w:eastAsia="Times New Roman"/>
                <w:bCs/>
                <w:szCs w:val="24"/>
                <w:lang w:eastAsia="ru-RU"/>
              </w:rPr>
              <w:t>,</w:t>
            </w:r>
            <w:r w:rsidR="00963407" w:rsidRPr="00DE3351">
              <w:rPr>
                <w:rFonts w:eastAsia="Times New Roman"/>
                <w:bCs/>
                <w:szCs w:val="24"/>
                <w:lang w:eastAsia="ru-RU"/>
              </w:rPr>
              <w:t xml:space="preserve"> </w:t>
            </w:r>
            <w:r w:rsidR="00117C6D" w:rsidRPr="00DE3351">
              <w:rPr>
                <w:rFonts w:eastAsia="Times New Roman"/>
                <w:bCs/>
                <w:szCs w:val="24"/>
                <w:lang w:eastAsia="ru-RU"/>
              </w:rPr>
              <w:t>nr.689/2018</w:t>
            </w:r>
            <w:r w:rsidR="00DE3351" w:rsidRPr="00DE3351">
              <w:rPr>
                <w:rFonts w:eastAsia="Times New Roman"/>
                <w:bCs/>
                <w:szCs w:val="24"/>
                <w:lang w:eastAsia="ru-RU"/>
              </w:rPr>
              <w:t xml:space="preserve"> (</w:t>
            </w:r>
            <w:r w:rsidR="00DE3351" w:rsidRPr="00942B8D">
              <w:rPr>
                <w:rFonts w:eastAsia="Times New Roman"/>
                <w:bCs/>
                <w:i/>
                <w:iCs/>
                <w:szCs w:val="24"/>
                <w:lang w:eastAsia="ru-RU"/>
              </w:rPr>
              <w:t>care a avut un rol similar</w:t>
            </w:r>
            <w:r w:rsidR="00DE3351" w:rsidRPr="00DE3351">
              <w:rPr>
                <w:rFonts w:eastAsia="Times New Roman"/>
                <w:bCs/>
                <w:szCs w:val="24"/>
                <w:lang w:eastAsia="ru-RU"/>
              </w:rPr>
              <w:t>)</w:t>
            </w:r>
            <w:r w:rsidR="00963407" w:rsidRPr="00DE3351">
              <w:rPr>
                <w:rFonts w:eastAsia="Times New Roman"/>
                <w:bCs/>
                <w:szCs w:val="24"/>
                <w:lang w:eastAsia="ru-RU"/>
              </w:rPr>
              <w:t xml:space="preserve">, </w:t>
            </w:r>
            <w:r w:rsidR="007D5A99" w:rsidRPr="00DE3351">
              <w:rPr>
                <w:rFonts w:eastAsia="Times New Roman"/>
                <w:bCs/>
                <w:szCs w:val="24"/>
                <w:lang w:eastAsia="ru-RU"/>
              </w:rPr>
              <w:t>a avut ca și termen de implementare perioada 2018 - 2020</w:t>
            </w:r>
            <w:r w:rsidR="006E50A2" w:rsidRPr="00DE3351">
              <w:rPr>
                <w:rFonts w:eastAsia="Times New Roman"/>
                <w:bCs/>
                <w:szCs w:val="24"/>
                <w:lang w:eastAsia="ru-RU"/>
              </w:rPr>
              <w:t xml:space="preserve"> </w:t>
            </w:r>
            <w:r w:rsidR="0098584A" w:rsidRPr="00DE3351">
              <w:rPr>
                <w:rFonts w:eastAsia="Times New Roman"/>
                <w:bCs/>
                <w:szCs w:val="24"/>
                <w:lang w:eastAsia="ru-RU"/>
              </w:rPr>
              <w:t>(</w:t>
            </w:r>
            <w:r w:rsidR="0098584A" w:rsidRPr="00DE3351">
              <w:rPr>
                <w:rFonts w:eastAsia="Times New Roman"/>
                <w:bCs/>
                <w:i/>
                <w:iCs/>
                <w:szCs w:val="24"/>
                <w:lang w:eastAsia="ru-RU"/>
              </w:rPr>
              <w:t>31 decembrie</w:t>
            </w:r>
            <w:r w:rsidR="0098584A" w:rsidRPr="00DE3351">
              <w:rPr>
                <w:rFonts w:eastAsia="Times New Roman"/>
                <w:bCs/>
                <w:szCs w:val="24"/>
                <w:lang w:eastAsia="ru-RU"/>
              </w:rPr>
              <w:t xml:space="preserve">), </w:t>
            </w:r>
            <w:r w:rsidR="00963407" w:rsidRPr="00DE3351">
              <w:rPr>
                <w:rFonts w:eastAsia="Times New Roman"/>
                <w:bCs/>
                <w:szCs w:val="24"/>
                <w:lang w:eastAsia="ru-RU"/>
              </w:rPr>
              <w:t xml:space="preserve">și în prezent </w:t>
            </w:r>
            <w:r w:rsidR="0098584A" w:rsidRPr="00DE3351">
              <w:rPr>
                <w:rFonts w:eastAsia="Times New Roman"/>
                <w:bCs/>
                <w:szCs w:val="24"/>
                <w:lang w:eastAsia="ru-RU"/>
              </w:rPr>
              <w:t>se pune problema extinderii</w:t>
            </w:r>
            <w:r w:rsidR="006E50A2" w:rsidRPr="00DE3351">
              <w:rPr>
                <w:rFonts w:eastAsia="Times New Roman"/>
                <w:bCs/>
                <w:szCs w:val="24"/>
                <w:lang w:eastAsia="ru-RU"/>
              </w:rPr>
              <w:t xml:space="preserve"> </w:t>
            </w:r>
            <w:r w:rsidR="0098584A" w:rsidRPr="00DE3351">
              <w:rPr>
                <w:rFonts w:eastAsia="Times New Roman"/>
                <w:bCs/>
                <w:szCs w:val="24"/>
                <w:lang w:eastAsia="ru-RU"/>
              </w:rPr>
              <w:t xml:space="preserve">respectivei perioade cu un termen rezonabil, care ar oferi comunității investitorilor </w:t>
            </w:r>
            <w:r w:rsidR="00D22125" w:rsidRPr="00DE3351">
              <w:rPr>
                <w:rFonts w:eastAsia="Times New Roman"/>
                <w:bCs/>
                <w:szCs w:val="24"/>
                <w:lang w:eastAsia="ru-RU"/>
              </w:rPr>
              <w:t xml:space="preserve">predictibilitatea așteptată din partea acțiunilor Executivului și actelor sale normative. </w:t>
            </w:r>
            <w:r w:rsidR="00075437" w:rsidRPr="00DE3351">
              <w:rPr>
                <w:bCs/>
                <w:szCs w:val="24"/>
              </w:rPr>
              <w:t>Astfel, la baza limitelor, cotelor maxime și categoriilor de capacitate în domeniul regenerabile</w:t>
            </w:r>
            <w:r w:rsidR="00BE19C1" w:rsidRPr="00DE3351">
              <w:rPr>
                <w:bCs/>
                <w:szCs w:val="24"/>
              </w:rPr>
              <w:t>lor</w:t>
            </w:r>
            <w:r w:rsidR="00075437" w:rsidRPr="00DE3351">
              <w:rPr>
                <w:bCs/>
                <w:szCs w:val="24"/>
              </w:rPr>
              <w:t xml:space="preserve"> propuse</w:t>
            </w:r>
            <w:r w:rsidR="00D22125" w:rsidRPr="00DE3351">
              <w:rPr>
                <w:bCs/>
                <w:szCs w:val="24"/>
              </w:rPr>
              <w:t xml:space="preserve"> spre revizuire</w:t>
            </w:r>
            <w:r w:rsidR="00075437" w:rsidRPr="00DE3351">
              <w:rPr>
                <w:bCs/>
                <w:szCs w:val="24"/>
              </w:rPr>
              <w:t xml:space="preserve">, stau o serie de principii și </w:t>
            </w:r>
            <w:r w:rsidR="00D22125" w:rsidRPr="00DE3351">
              <w:rPr>
                <w:bCs/>
                <w:szCs w:val="24"/>
              </w:rPr>
              <w:t>factori, după cum sunt descriși mai jos.</w:t>
            </w:r>
          </w:p>
          <w:p w14:paraId="4EEF367A" w14:textId="1962C014" w:rsidR="00237BF9" w:rsidRPr="00DE3351" w:rsidRDefault="00075437" w:rsidP="002E687C">
            <w:pPr>
              <w:rPr>
                <w:bCs/>
                <w:szCs w:val="24"/>
              </w:rPr>
            </w:pPr>
            <w:r w:rsidRPr="007C1773">
              <w:rPr>
                <w:bCs/>
                <w:szCs w:val="24"/>
              </w:rPr>
              <w:t>Conform ultimelor date statistice disponibile la moment (</w:t>
            </w:r>
            <w:r w:rsidR="00D22125" w:rsidRPr="007C1773">
              <w:rPr>
                <w:bCs/>
                <w:szCs w:val="24"/>
              </w:rPr>
              <w:t xml:space="preserve">anul </w:t>
            </w:r>
            <w:r w:rsidRPr="007C1773">
              <w:rPr>
                <w:bCs/>
                <w:szCs w:val="24"/>
              </w:rPr>
              <w:t>201</w:t>
            </w:r>
            <w:r w:rsidR="007D5A99" w:rsidRPr="007C1773">
              <w:rPr>
                <w:bCs/>
                <w:szCs w:val="24"/>
              </w:rPr>
              <w:t>9</w:t>
            </w:r>
            <w:r w:rsidRPr="007C1773">
              <w:rPr>
                <w:bCs/>
                <w:szCs w:val="24"/>
              </w:rPr>
              <w:t xml:space="preserve">), Republica Moldova </w:t>
            </w:r>
            <w:r w:rsidR="00D22125" w:rsidRPr="007C1773">
              <w:rPr>
                <w:bCs/>
                <w:szCs w:val="24"/>
              </w:rPr>
              <w:t xml:space="preserve">deja </w:t>
            </w:r>
            <w:r w:rsidRPr="007C1773">
              <w:rPr>
                <w:bCs/>
                <w:szCs w:val="24"/>
              </w:rPr>
              <w:t>a depășit obiectivul global stabilit pentru anul 2020</w:t>
            </w:r>
            <w:r w:rsidR="00D22125" w:rsidRPr="007C1773">
              <w:rPr>
                <w:bCs/>
                <w:szCs w:val="24"/>
              </w:rPr>
              <w:t xml:space="preserve"> în domeniul energiei regenerabile</w:t>
            </w:r>
            <w:r w:rsidRPr="007C1773">
              <w:rPr>
                <w:bCs/>
                <w:szCs w:val="24"/>
              </w:rPr>
              <w:t>, sumând o pondere a energie din surse regenerabile în consumul final brut de energie de peste 2</w:t>
            </w:r>
            <w:r w:rsidR="007D5A99" w:rsidRPr="007C1773">
              <w:rPr>
                <w:bCs/>
                <w:szCs w:val="24"/>
              </w:rPr>
              <w:t>3,8</w:t>
            </w:r>
            <w:r w:rsidRPr="007C1773">
              <w:rPr>
                <w:bCs/>
                <w:szCs w:val="24"/>
              </w:rPr>
              <w:t>%, față de ținta globală de 17%. Însă, la capitolul ponderii consumului final de energie electrică din surse regenerabile în consumul final brut de energie electrică (CFB</w:t>
            </w:r>
            <w:r w:rsidR="00D22125" w:rsidRPr="007C1773">
              <w:rPr>
                <w:bCs/>
                <w:szCs w:val="24"/>
              </w:rPr>
              <w:t>-</w:t>
            </w:r>
            <w:r w:rsidRPr="007C1773">
              <w:rPr>
                <w:bCs/>
                <w:szCs w:val="24"/>
              </w:rPr>
              <w:t xml:space="preserve">EE) se atestă realizări mai modeste, unde sunt atinse, conform graficelor prezentate mai jos, doar </w:t>
            </w:r>
            <w:r w:rsidR="007D5A99" w:rsidRPr="007C1773">
              <w:rPr>
                <w:bCs/>
                <w:szCs w:val="24"/>
              </w:rPr>
              <w:t>3</w:t>
            </w:r>
            <w:r w:rsidRPr="007C1773">
              <w:rPr>
                <w:bCs/>
                <w:szCs w:val="24"/>
              </w:rPr>
              <w:t>,</w:t>
            </w:r>
            <w:r w:rsidR="007D5A99" w:rsidRPr="007C1773">
              <w:rPr>
                <w:bCs/>
                <w:szCs w:val="24"/>
              </w:rPr>
              <w:t>0</w:t>
            </w:r>
            <w:r w:rsidRPr="007C1773">
              <w:rPr>
                <w:bCs/>
                <w:szCs w:val="24"/>
              </w:rPr>
              <w:t xml:space="preserve">% dintr-un minim de 10%, </w:t>
            </w:r>
            <w:r w:rsidR="00D22125" w:rsidRPr="007C1773">
              <w:rPr>
                <w:bCs/>
                <w:szCs w:val="24"/>
              </w:rPr>
              <w:t xml:space="preserve">stabilit ca și obiectiv </w:t>
            </w:r>
            <w:r w:rsidR="00320749" w:rsidRPr="007C1773">
              <w:rPr>
                <w:bCs/>
                <w:szCs w:val="24"/>
              </w:rPr>
              <w:t xml:space="preserve">neobligatoriu </w:t>
            </w:r>
            <w:r w:rsidR="00D22125" w:rsidRPr="007C1773">
              <w:rPr>
                <w:bCs/>
                <w:szCs w:val="24"/>
              </w:rPr>
              <w:t xml:space="preserve">pentru anul </w:t>
            </w:r>
            <w:r w:rsidR="007D5A99" w:rsidRPr="007C1773">
              <w:rPr>
                <w:bCs/>
                <w:szCs w:val="24"/>
              </w:rPr>
              <w:t>2020</w:t>
            </w:r>
            <w:r w:rsidR="00D22125" w:rsidRPr="007C1773">
              <w:rPr>
                <w:bCs/>
                <w:szCs w:val="24"/>
              </w:rPr>
              <w:t>.</w:t>
            </w:r>
            <w:r w:rsidR="00D22125" w:rsidRPr="00DE3351">
              <w:rPr>
                <w:bCs/>
                <w:szCs w:val="24"/>
              </w:rPr>
              <w:t xml:space="preserve"> </w:t>
            </w:r>
          </w:p>
          <w:p w14:paraId="21AAD77B" w14:textId="2E566A6C" w:rsidR="00DE3351" w:rsidRDefault="00DE3351" w:rsidP="00DE3351">
            <w:pPr>
              <w:spacing w:after="240"/>
              <w:rPr>
                <w:szCs w:val="24"/>
              </w:rPr>
            </w:pPr>
            <w:r>
              <w:rPr>
                <w:szCs w:val="24"/>
              </w:rPr>
              <w:t>Întru prezentarea situației la zi în domeniu, sub aspectul capacităților de valorificare a potențialului de energie regenerabilă,  mai jos este prezentată o diagramă care reflectă evoluția procesului de investiții în astfel de proiecte. De precizat că graficul include proiectele care beneficiază de schema de suport oferită de către stat - cea instituită prin intermediul Legii energiei regenerabile nr. 160/2007 (</w:t>
            </w:r>
            <w:r w:rsidRPr="002F7885">
              <w:rPr>
                <w:i/>
                <w:iCs/>
                <w:szCs w:val="24"/>
              </w:rPr>
              <w:t>abrogată</w:t>
            </w:r>
            <w:r>
              <w:rPr>
                <w:szCs w:val="24"/>
              </w:rPr>
              <w:t>), cât și a Legii nr. 10/2016 cu privire la promovarea utilizării energiei din surse regenerabile. Mai mult decât atât, cca</w:t>
            </w:r>
            <w:r w:rsidRPr="006C63D4">
              <w:rPr>
                <w:szCs w:val="24"/>
              </w:rPr>
              <w:t xml:space="preserve">. </w:t>
            </w:r>
            <w:r w:rsidRPr="002F7885">
              <w:rPr>
                <w:szCs w:val="24"/>
              </w:rPr>
              <w:t>5,8 MW</w:t>
            </w:r>
            <w:r>
              <w:rPr>
                <w:szCs w:val="24"/>
              </w:rPr>
              <w:t xml:space="preserve"> de instalații eoliene, în special, generează și livrează energia electrică în condiții de piață, nesolicitând sau nefiind eligibile pentru schema de suport instituită de autorități.</w:t>
            </w:r>
          </w:p>
          <w:p w14:paraId="443D7F76" w14:textId="0E78A3DD" w:rsidR="00DE3351" w:rsidRDefault="00153A29" w:rsidP="00DE3351">
            <w:pPr>
              <w:spacing w:after="240"/>
              <w:rPr>
                <w:szCs w:val="24"/>
              </w:rPr>
            </w:pPr>
            <w:r w:rsidRPr="009C0011">
              <w:rPr>
                <w:noProof/>
                <w:szCs w:val="24"/>
                <w:lang w:val="en-US"/>
              </w:rPr>
              <w:lastRenderedPageBreak/>
              <mc:AlternateContent>
                <mc:Choice Requires="wps">
                  <w:drawing>
                    <wp:anchor distT="0" distB="0" distL="114300" distR="114300" simplePos="0" relativeHeight="251668992" behindDoc="0" locked="0" layoutInCell="1" allowOverlap="1" wp14:anchorId="5ED3FF43" wp14:editId="54766C6A">
                      <wp:simplePos x="0" y="0"/>
                      <wp:positionH relativeFrom="column">
                        <wp:posOffset>3409315</wp:posOffset>
                      </wp:positionH>
                      <wp:positionV relativeFrom="paragraph">
                        <wp:posOffset>2241854</wp:posOffset>
                      </wp:positionV>
                      <wp:extent cx="2669540" cy="532738"/>
                      <wp:effectExtent l="0" t="0" r="0" b="0"/>
                      <wp:wrapNone/>
                      <wp:docPr id="6" name="Dreptunghi 2"/>
                      <wp:cNvGraphicFramePr/>
                      <a:graphic xmlns:a="http://schemas.openxmlformats.org/drawingml/2006/main">
                        <a:graphicData uri="http://schemas.microsoft.com/office/word/2010/wordprocessingShape">
                          <wps:wsp>
                            <wps:cNvSpPr/>
                            <wps:spPr>
                              <a:xfrm>
                                <a:off x="0" y="0"/>
                                <a:ext cx="2669540" cy="532738"/>
                              </a:xfrm>
                              <a:prstGeom prst="rect">
                                <a:avLst/>
                              </a:prstGeom>
                            </wps:spPr>
                            <wps:txbx>
                              <w:txbxContent>
                                <w:p w14:paraId="6D4E49A3" w14:textId="5C7A54EE" w:rsidR="00DE3351" w:rsidRPr="00153A29" w:rsidRDefault="00DE3351" w:rsidP="00DE3351">
                                  <w:pPr>
                                    <w:spacing w:before="0" w:after="0"/>
                                    <w:jc w:val="center"/>
                                    <w:rPr>
                                      <w:rFonts w:cs="Times New Roman"/>
                                      <w:sz w:val="20"/>
                                      <w:szCs w:val="16"/>
                                      <w:lang w:val="it-IT"/>
                                    </w:rPr>
                                  </w:pPr>
                                  <w:r w:rsidRPr="00153A29">
                                    <w:rPr>
                                      <w:rFonts w:cs="Times New Roman"/>
                                      <w:color w:val="002060"/>
                                      <w:kern w:val="24"/>
                                      <w:szCs w:val="20"/>
                                      <w:lang w:val="it-IT"/>
                                    </w:rPr>
                                    <w:t>Dinamica dezvoltării capacităț</w:t>
                                  </w:r>
                                  <w:r w:rsidR="002016E3" w:rsidRPr="00153A29">
                                    <w:rPr>
                                      <w:rFonts w:cs="Times New Roman"/>
                                      <w:color w:val="002060"/>
                                      <w:kern w:val="24"/>
                                      <w:szCs w:val="20"/>
                                      <w:lang w:val="it-IT"/>
                                    </w:rPr>
                                    <w:t>ilor</w:t>
                                  </w:r>
                                  <w:r w:rsidR="002016E3" w:rsidRPr="00153A29">
                                    <w:rPr>
                                      <w:rFonts w:cs="Times New Roman"/>
                                      <w:color w:val="002060"/>
                                      <w:kern w:val="24"/>
                                      <w:szCs w:val="20"/>
                                      <w:lang w:val="it-IT"/>
                                    </w:rPr>
                                    <w:br/>
                                    <w:t xml:space="preserve"> SER în perioada 2010-2020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D3FF43" id="Dreptunghi 2" o:spid="_x0000_s1026" style="position:absolute;left:0;text-align:left;margin-left:268.45pt;margin-top:176.5pt;width:210.2pt;height:4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" filled="f" stroked="f">
                      <v:textbox>
                        <w:txbxContent>
                          <w:p w14:paraId="6D4E49A3" w14:textId="5C7A54EE" w:rsidR="00DE3351" w:rsidRPr="00153A29" w:rsidRDefault="00DE3351" w:rsidP="00DE3351">
                            <w:pPr>
                              <w:spacing w:before="0" w:after="0"/>
                              <w:jc w:val="center"/>
                              <w:rPr>
                                <w:rFonts w:cs="Times New Roman"/>
                                <w:sz w:val="20"/>
                                <w:szCs w:val="16"/>
                                <w:lang w:val="it-IT"/>
                              </w:rPr>
                            </w:pPr>
                            <w:r w:rsidRPr="00153A29">
                              <w:rPr>
                                <w:rFonts w:cs="Times New Roman"/>
                                <w:color w:val="002060"/>
                                <w:kern w:val="24"/>
                                <w:szCs w:val="20"/>
                                <w:lang w:val="it-IT"/>
                              </w:rPr>
                              <w:t>Dinamica dezvoltării capacităț</w:t>
                            </w:r>
                            <w:r w:rsidR="002016E3" w:rsidRPr="00153A29">
                              <w:rPr>
                                <w:rFonts w:cs="Times New Roman"/>
                                <w:color w:val="002060"/>
                                <w:kern w:val="24"/>
                                <w:szCs w:val="20"/>
                                <w:lang w:val="it-IT"/>
                              </w:rPr>
                              <w:t>ilor</w:t>
                            </w:r>
                            <w:r w:rsidR="002016E3" w:rsidRPr="00153A29">
                              <w:rPr>
                                <w:rFonts w:cs="Times New Roman"/>
                                <w:color w:val="002060"/>
                                <w:kern w:val="24"/>
                                <w:szCs w:val="20"/>
                                <w:lang w:val="it-IT"/>
                              </w:rPr>
                              <w:br/>
                              <w:t xml:space="preserve"> SER în perioada 2010-2020</w:t>
                            </w:r>
                          </w:p>
                        </w:txbxContent>
                      </v:textbox>
                    </v:rect>
                  </w:pict>
                </mc:Fallback>
              </mc:AlternateContent>
            </w:r>
            <w:r w:rsidRPr="009C0011">
              <w:rPr>
                <w:noProof/>
                <w:szCs w:val="24"/>
                <w:lang w:val="en-US"/>
              </w:rPr>
              <mc:AlternateContent>
                <mc:Choice Requires="wps">
                  <w:drawing>
                    <wp:anchor distT="0" distB="0" distL="114300" distR="114300" simplePos="0" relativeHeight="251651584" behindDoc="0" locked="0" layoutInCell="1" allowOverlap="1" wp14:anchorId="12E6EAE2" wp14:editId="45331D37">
                      <wp:simplePos x="0" y="0"/>
                      <wp:positionH relativeFrom="column">
                        <wp:posOffset>-1905</wp:posOffset>
                      </wp:positionH>
                      <wp:positionV relativeFrom="paragraph">
                        <wp:posOffset>2240280</wp:posOffset>
                      </wp:positionV>
                      <wp:extent cx="3123565" cy="584200"/>
                      <wp:effectExtent l="0" t="0" r="0" b="0"/>
                      <wp:wrapNone/>
                      <wp:docPr id="5" name="Dreptunghi 1"/>
                      <wp:cNvGraphicFramePr/>
                      <a:graphic xmlns:a="http://schemas.openxmlformats.org/drawingml/2006/main">
                        <a:graphicData uri="http://schemas.microsoft.com/office/word/2010/wordprocessingShape">
                          <wps:wsp>
                            <wps:cNvSpPr/>
                            <wps:spPr>
                              <a:xfrm>
                                <a:off x="0" y="0"/>
                                <a:ext cx="3123565" cy="584200"/>
                              </a:xfrm>
                              <a:prstGeom prst="rect">
                                <a:avLst/>
                              </a:prstGeom>
                            </wps:spPr>
                            <wps:txbx>
                              <w:txbxContent>
                                <w:p w14:paraId="6F6BF57D" w14:textId="144A0A1A" w:rsidR="00DE3351" w:rsidRPr="00153A29" w:rsidRDefault="00DE3351" w:rsidP="00DE3351">
                                  <w:pPr>
                                    <w:spacing w:before="0" w:after="0"/>
                                    <w:jc w:val="center"/>
                                    <w:rPr>
                                      <w:rFonts w:cs="Times New Roman"/>
                                      <w:lang w:val="it-IT"/>
                                    </w:rPr>
                                  </w:pPr>
                                  <w:r w:rsidRPr="00153A29">
                                    <w:rPr>
                                      <w:rFonts w:cs="Times New Roman"/>
                                      <w:color w:val="002060"/>
                                      <w:kern w:val="24"/>
                                      <w:lang w:val="it-IT"/>
                                    </w:rPr>
                                    <w:t xml:space="preserve">Capacități </w:t>
                                  </w:r>
                                  <w:r w:rsidRPr="00153A29">
                                    <w:rPr>
                                      <w:rFonts w:cs="Times New Roman"/>
                                      <w:color w:val="002060"/>
                                      <w:kern w:val="24"/>
                                      <w:lang w:val="it-IT"/>
                                    </w:rPr>
                                    <w:t xml:space="preserve">de generare a energiei electrice, </w:t>
                                  </w:r>
                                  <w:r w:rsidRPr="00153A29">
                                    <w:rPr>
                                      <w:rFonts w:cs="Times New Roman"/>
                                      <w:color w:val="002060"/>
                                      <w:kern w:val="24"/>
                                      <w:lang w:val="it-IT"/>
                                    </w:rPr>
                                    <w:br/>
                                    <w:t>pe tipuri de sursă</w:t>
                                  </w:r>
                                  <w:r w:rsidR="0048069D" w:rsidRPr="00153A29">
                                    <w:rPr>
                                      <w:rFonts w:cs="Times New Roman"/>
                                      <w:color w:val="002060"/>
                                      <w:kern w:val="24"/>
                                      <w:lang w:val="it-IT"/>
                                    </w:rPr>
                                    <w:t xml:space="preserve"> (</w:t>
                                  </w:r>
                                  <w:r w:rsidR="002016E3" w:rsidRPr="00153A29">
                                    <w:rPr>
                                      <w:rFonts w:cs="Times New Roman"/>
                                      <w:color w:val="002060"/>
                                      <w:kern w:val="24"/>
                                      <w:lang w:val="it-IT"/>
                                    </w:rPr>
                                    <w:t>decembrie 2020</w:t>
                                  </w:r>
                                  <w:r w:rsidRPr="00153A29">
                                    <w:rPr>
                                      <w:rFonts w:cs="Times New Roman"/>
                                      <w:color w:val="002060"/>
                                      <w:kern w:val="24"/>
                                      <w:lang w:val="it-IT"/>
                                    </w:rPr>
                                    <w:t>)</w:t>
                                  </w:r>
                                </w:p>
                              </w:txbxContent>
                            </wps:txbx>
                            <wps:bodyPr wrap="square">
                              <a:spAutoFit/>
                            </wps:bodyPr>
                          </wps:wsp>
                        </a:graphicData>
                      </a:graphic>
                      <wp14:sizeRelH relativeFrom="margin">
                        <wp14:pctWidth>0</wp14:pctWidth>
                      </wp14:sizeRelH>
                    </wp:anchor>
                  </w:drawing>
                </mc:Choice>
                <mc:Fallback>
                  <w:pict>
                    <v:rect w14:anchorId="12E6EAE2" id="Dreptunghi 1" o:spid="_x0000_s1027" style="position:absolute;left:0;text-align:left;margin-left:-.15pt;margin-top:176.4pt;width:245.95pt;height:46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" filled="f" stroked="f">
                      <v:textbox style="mso-fit-shape-to-text:t">
                        <w:txbxContent>
                          <w:p w14:paraId="6F6BF57D" w14:textId="144A0A1A" w:rsidR="00DE3351" w:rsidRPr="00153A29" w:rsidRDefault="00DE3351" w:rsidP="00DE3351">
                            <w:pPr>
                              <w:spacing w:before="0" w:after="0"/>
                              <w:jc w:val="center"/>
                              <w:rPr>
                                <w:rFonts w:cs="Times New Roman"/>
                                <w:lang w:val="it-IT"/>
                              </w:rPr>
                            </w:pPr>
                            <w:r w:rsidRPr="00153A29">
                              <w:rPr>
                                <w:rFonts w:cs="Times New Roman"/>
                                <w:color w:val="002060"/>
                                <w:kern w:val="24"/>
                                <w:lang w:val="it-IT"/>
                              </w:rPr>
                              <w:t xml:space="preserve">Capacități </w:t>
                            </w:r>
                            <w:r w:rsidRPr="00153A29">
                              <w:rPr>
                                <w:rFonts w:cs="Times New Roman"/>
                                <w:color w:val="002060"/>
                                <w:kern w:val="24"/>
                                <w:lang w:val="it-IT"/>
                              </w:rPr>
                              <w:t xml:space="preserve">de generare a energiei electrice, </w:t>
                            </w:r>
                            <w:r w:rsidRPr="00153A29">
                              <w:rPr>
                                <w:rFonts w:cs="Times New Roman"/>
                                <w:color w:val="002060"/>
                                <w:kern w:val="24"/>
                                <w:lang w:val="it-IT"/>
                              </w:rPr>
                              <w:br/>
                              <w:t>pe tipuri de sursă</w:t>
                            </w:r>
                            <w:r w:rsidR="0048069D" w:rsidRPr="00153A29">
                              <w:rPr>
                                <w:rFonts w:cs="Times New Roman"/>
                                <w:color w:val="002060"/>
                                <w:kern w:val="24"/>
                                <w:lang w:val="it-IT"/>
                              </w:rPr>
                              <w:t xml:space="preserve"> (</w:t>
                            </w:r>
                            <w:r w:rsidR="002016E3" w:rsidRPr="00153A29">
                              <w:rPr>
                                <w:rFonts w:cs="Times New Roman"/>
                                <w:color w:val="002060"/>
                                <w:kern w:val="24"/>
                                <w:lang w:val="it-IT"/>
                              </w:rPr>
                              <w:t>decembrie 2020</w:t>
                            </w:r>
                            <w:r w:rsidRPr="00153A29">
                              <w:rPr>
                                <w:rFonts w:cs="Times New Roman"/>
                                <w:color w:val="002060"/>
                                <w:kern w:val="24"/>
                                <w:lang w:val="it-IT"/>
                              </w:rPr>
                              <w:t>)</w:t>
                            </w:r>
                          </w:p>
                        </w:txbxContent>
                      </v:textbox>
                    </v:rect>
                  </w:pict>
                </mc:Fallback>
              </mc:AlternateContent>
            </w:r>
            <w:r w:rsidR="001051EF">
              <w:rPr>
                <w:noProof/>
                <w:lang w:val="en-US"/>
              </w:rPr>
              <w:drawing>
                <wp:inline distT="0" distB="0" distL="0" distR="0" wp14:anchorId="2DFA80D6" wp14:editId="4270C2EE">
                  <wp:extent cx="3180522" cy="218630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051EF" w:rsidRPr="007C1773">
              <w:rPr>
                <w:noProof/>
              </w:rPr>
              <w:t xml:space="preserve"> </w:t>
            </w:r>
            <w:r w:rsidR="001051EF">
              <w:rPr>
                <w:noProof/>
                <w:lang w:val="en-US"/>
              </w:rPr>
              <w:drawing>
                <wp:inline distT="0" distB="0" distL="0" distR="0" wp14:anchorId="3B29D8AE" wp14:editId="14978EFD">
                  <wp:extent cx="3007277" cy="2242516"/>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DFA769" w14:textId="7465B5FD" w:rsidR="00DE3351" w:rsidRDefault="00DE3351" w:rsidP="00DE3351">
            <w:pPr>
              <w:rPr>
                <w:szCs w:val="24"/>
              </w:rPr>
            </w:pPr>
          </w:p>
          <w:p w14:paraId="532650A5" w14:textId="64CD7B8C" w:rsidR="00DE3351" w:rsidRDefault="00694019" w:rsidP="00DE3351">
            <w:pPr>
              <w:rPr>
                <w:szCs w:val="24"/>
              </w:rPr>
            </w:pPr>
            <w:r>
              <w:rPr>
                <w:noProof/>
                <w:lang w:val="en-US"/>
              </w:rPr>
              <mc:AlternateContent>
                <mc:Choice Requires="wps">
                  <w:drawing>
                    <wp:anchor distT="0" distB="0" distL="114300" distR="114300" simplePos="0" relativeHeight="251677184" behindDoc="0" locked="0" layoutInCell="1" allowOverlap="1" wp14:anchorId="4E5852C8" wp14:editId="1AF56C94">
                      <wp:simplePos x="0" y="0"/>
                      <wp:positionH relativeFrom="column">
                        <wp:posOffset>295275</wp:posOffset>
                      </wp:positionH>
                      <wp:positionV relativeFrom="paragraph">
                        <wp:posOffset>95412</wp:posOffset>
                      </wp:positionV>
                      <wp:extent cx="5939155" cy="207645"/>
                      <wp:effectExtent l="0" t="0" r="4445" b="1905"/>
                      <wp:wrapNone/>
                      <wp:docPr id="9" name="Casetă text 9"/>
                      <wp:cNvGraphicFramePr/>
                      <a:graphic xmlns:a="http://schemas.openxmlformats.org/drawingml/2006/main">
                        <a:graphicData uri="http://schemas.microsoft.com/office/word/2010/wordprocessingShape">
                          <wps:wsp>
                            <wps:cNvSpPr txBox="1"/>
                            <wps:spPr>
                              <a:xfrm>
                                <a:off x="0" y="0"/>
                                <a:ext cx="5939155" cy="207645"/>
                              </a:xfrm>
                              <a:prstGeom prst="rect">
                                <a:avLst/>
                              </a:prstGeom>
                              <a:solidFill>
                                <a:prstClr val="white"/>
                              </a:solidFill>
                              <a:ln>
                                <a:noFill/>
                              </a:ln>
                            </wps:spPr>
                            <wps:txbx>
                              <w:txbxContent>
                                <w:p w14:paraId="1BB59F3E" w14:textId="7B515261" w:rsidR="00DE3351" w:rsidRPr="004C7969" w:rsidRDefault="00DE3351" w:rsidP="00DE3351">
                                  <w:pPr>
                                    <w:pStyle w:val="Caption"/>
                                    <w:spacing w:after="0"/>
                                    <w:jc w:val="center"/>
                                    <w:rPr>
                                      <w:rFonts w:eastAsia="Calibri" w:cs="Times New Roman"/>
                                      <w:color w:val="000000" w:themeColor="text1"/>
                                      <w:sz w:val="32"/>
                                      <w:szCs w:val="32"/>
                                      <w:lang w:val="it-IT"/>
                                    </w:rPr>
                                  </w:pPr>
                                  <w:r w:rsidRPr="004C7969">
                                    <w:rPr>
                                      <w:rFonts w:cs="Times New Roman"/>
                                      <w:b/>
                                      <w:bCs/>
                                      <w:color w:val="000000" w:themeColor="text1"/>
                                      <w:sz w:val="22"/>
                                      <w:szCs w:val="22"/>
                                      <w:lang w:val="it-IT"/>
                                    </w:rPr>
                                    <w:t xml:space="preserve">Figura </w:t>
                                  </w:r>
                                  <w:r w:rsidR="00F575A4" w:rsidRPr="004C7969">
                                    <w:rPr>
                                      <w:rFonts w:cs="Times New Roman"/>
                                      <w:b/>
                                      <w:bCs/>
                                      <w:color w:val="000000" w:themeColor="text1"/>
                                      <w:sz w:val="22"/>
                                      <w:szCs w:val="22"/>
                                      <w:lang w:val="it-IT"/>
                                    </w:rPr>
                                    <w:t>1</w:t>
                                  </w:r>
                                  <w:r w:rsidRPr="004C7969">
                                    <w:rPr>
                                      <w:rFonts w:cs="Times New Roman"/>
                                      <w:b/>
                                      <w:bCs/>
                                      <w:color w:val="000000" w:themeColor="text1"/>
                                      <w:sz w:val="22"/>
                                      <w:szCs w:val="22"/>
                                      <w:lang w:val="it-IT"/>
                                    </w:rPr>
                                    <w:t>.</w:t>
                                  </w:r>
                                  <w:r w:rsidRPr="004C7969">
                                    <w:rPr>
                                      <w:rFonts w:cs="Times New Roman"/>
                                      <w:color w:val="000000" w:themeColor="text1"/>
                                      <w:sz w:val="22"/>
                                      <w:szCs w:val="22"/>
                                      <w:lang w:val="it-IT"/>
                                    </w:rPr>
                                    <w:t xml:space="preserve"> </w:t>
                                  </w:r>
                                  <w:r w:rsidRPr="004C7969">
                                    <w:rPr>
                                      <w:rFonts w:cs="Times New Roman"/>
                                      <w:i w:val="0"/>
                                      <w:iCs w:val="0"/>
                                      <w:color w:val="000000" w:themeColor="text1"/>
                                      <w:sz w:val="22"/>
                                      <w:szCs w:val="22"/>
                                      <w:lang w:val="it-IT"/>
                                    </w:rPr>
                                    <w:t>Dezvoltarea la zi a sectorului energiei regenerabile în Republica Moldova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852C8" id="_x0000_t202" coordsize="21600,21600" o:spt="202" path="m,l,21600r21600,l21600,xe">
                      <v:stroke joinstyle="miter"/>
                      <v:path gradientshapeok="t" o:connecttype="rect"/>
                    </v:shapetype>
                    <v:shape id="Casetă text 9" o:spid="_x0000_s1028" type="#_x0000_t202" style="position:absolute;left:0;text-align:left;margin-left:23.25pt;margin-top:7.5pt;width:467.65pt;height:16.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" stroked="f">
                      <v:textbox inset="0,0,0,0">
                        <w:txbxContent>
                          <w:p w14:paraId="1BB59F3E" w14:textId="7B515261" w:rsidR="00DE3351" w:rsidRPr="004C7969" w:rsidRDefault="00DE3351" w:rsidP="00DE3351">
                            <w:pPr>
                              <w:pStyle w:val="Caption"/>
                              <w:spacing w:after="0"/>
                              <w:jc w:val="center"/>
                              <w:rPr>
                                <w:rFonts w:eastAsia="Calibri" w:cs="Times New Roman"/>
                                <w:color w:val="000000" w:themeColor="text1"/>
                                <w:sz w:val="32"/>
                                <w:szCs w:val="32"/>
                                <w:lang w:val="it-IT"/>
                              </w:rPr>
                            </w:pPr>
                            <w:r w:rsidRPr="004C7969">
                              <w:rPr>
                                <w:rFonts w:cs="Times New Roman"/>
                                <w:b/>
                                <w:bCs/>
                                <w:color w:val="000000" w:themeColor="text1"/>
                                <w:sz w:val="22"/>
                                <w:szCs w:val="22"/>
                                <w:lang w:val="it-IT"/>
                              </w:rPr>
                              <w:t xml:space="preserve">Figura </w:t>
                            </w:r>
                            <w:r w:rsidR="00F575A4" w:rsidRPr="004C7969">
                              <w:rPr>
                                <w:rFonts w:cs="Times New Roman"/>
                                <w:b/>
                                <w:bCs/>
                                <w:color w:val="000000" w:themeColor="text1"/>
                                <w:sz w:val="22"/>
                                <w:szCs w:val="22"/>
                                <w:lang w:val="it-IT"/>
                              </w:rPr>
                              <w:t>1</w:t>
                            </w:r>
                            <w:r w:rsidRPr="004C7969">
                              <w:rPr>
                                <w:rFonts w:cs="Times New Roman"/>
                                <w:b/>
                                <w:bCs/>
                                <w:color w:val="000000" w:themeColor="text1"/>
                                <w:sz w:val="22"/>
                                <w:szCs w:val="22"/>
                                <w:lang w:val="it-IT"/>
                              </w:rPr>
                              <w:t>.</w:t>
                            </w:r>
                            <w:r w:rsidRPr="004C7969">
                              <w:rPr>
                                <w:rFonts w:cs="Times New Roman"/>
                                <w:color w:val="000000" w:themeColor="text1"/>
                                <w:sz w:val="22"/>
                                <w:szCs w:val="22"/>
                                <w:lang w:val="it-IT"/>
                              </w:rPr>
                              <w:t xml:space="preserve"> </w:t>
                            </w:r>
                            <w:r w:rsidRPr="004C7969">
                              <w:rPr>
                                <w:rFonts w:cs="Times New Roman"/>
                                <w:i w:val="0"/>
                                <w:iCs w:val="0"/>
                                <w:color w:val="000000" w:themeColor="text1"/>
                                <w:sz w:val="22"/>
                                <w:szCs w:val="22"/>
                                <w:lang w:val="it-IT"/>
                              </w:rPr>
                              <w:t>Dezvoltarea la zi a sectorului energiei regenerabile în Republica Moldova</w:t>
                            </w:r>
                          </w:p>
                        </w:txbxContent>
                      </v:textbox>
                    </v:shape>
                  </w:pict>
                </mc:Fallback>
              </mc:AlternateContent>
            </w:r>
          </w:p>
          <w:p w14:paraId="604047CA" w14:textId="0DA30E9E" w:rsidR="00B15041" w:rsidRPr="007C1773" w:rsidRDefault="00DE3351" w:rsidP="007C1773">
            <w:pPr>
              <w:spacing w:before="360"/>
              <w:rPr>
                <w:bCs/>
                <w:szCs w:val="24"/>
              </w:rPr>
            </w:pPr>
            <w:r>
              <w:t xml:space="preserve">Cifrele de mai sus vin să confirme faptul că Republica Moldova are un potențial sporit în domeniul energiei eoliene și celei solare, după cum au confirmat multiple cercetări, rapoarte și articole științifice la subiectul în </w:t>
            </w:r>
            <w:r w:rsidRPr="00F07692">
              <w:t xml:space="preserve">cauză. </w:t>
            </w:r>
            <w:r>
              <w:t>Valorificarea acestor surse cu funcționare intermitentă este însă limitată de posibilitățile reale ale sistemului electroenergetic de a asigura echilibrarea sistemului, respectiv de a compensa prin alte capacități de producere a energiei electrice energia neprodusă din surse regenerabile în perioade lipsite de vânt sau noaptea</w:t>
            </w:r>
            <w:r w:rsidR="00694019">
              <w:t>.</w:t>
            </w:r>
            <w:r w:rsidR="007C1773">
              <w:t xml:space="preserve"> </w:t>
            </w:r>
            <w:r w:rsidR="002578BB" w:rsidRPr="00DE3351">
              <w:rPr>
                <w:bCs/>
                <w:szCs w:val="24"/>
              </w:rPr>
              <w:t>Ulterior aprobării</w:t>
            </w:r>
            <w:r w:rsidR="00B1184D" w:rsidRPr="00DE3351">
              <w:rPr>
                <w:bCs/>
                <w:szCs w:val="24"/>
              </w:rPr>
              <w:t xml:space="preserve"> de către ANRE, la sfârșitul lunii februarie, </w:t>
            </w:r>
            <w:r w:rsidR="007D5A99" w:rsidRPr="00DE3351">
              <w:rPr>
                <w:bCs/>
                <w:szCs w:val="24"/>
              </w:rPr>
              <w:t>2020</w:t>
            </w:r>
            <w:r w:rsidR="00B1184D" w:rsidRPr="00DE3351">
              <w:rPr>
                <w:bCs/>
                <w:szCs w:val="24"/>
              </w:rPr>
              <w:t xml:space="preserve">, a Hotărârii </w:t>
            </w:r>
            <w:r w:rsidR="002F7885" w:rsidRPr="00DE3351">
              <w:rPr>
                <w:bCs/>
                <w:szCs w:val="24"/>
              </w:rPr>
              <w:t>nr.</w:t>
            </w:r>
            <w:r w:rsidR="00B1184D" w:rsidRPr="00DE3351">
              <w:rPr>
                <w:bCs/>
                <w:szCs w:val="24"/>
              </w:rPr>
              <w:t>54/2020 privind tarifele fixe și prețurile plafon la energia electrică produsă din surse regenerabile de energie</w:t>
            </w:r>
            <w:r w:rsidR="002578BB" w:rsidRPr="00DE3351">
              <w:rPr>
                <w:bCs/>
                <w:szCs w:val="24"/>
              </w:rPr>
              <w:t xml:space="preserve">, o serie de investitori au solicitat ANRE și obținut statutul de </w:t>
            </w:r>
            <w:r w:rsidR="00B1184D" w:rsidRPr="00DE3351">
              <w:rPr>
                <w:bCs/>
                <w:szCs w:val="24"/>
              </w:rPr>
              <w:t xml:space="preserve"> </w:t>
            </w:r>
            <w:r w:rsidR="002578BB" w:rsidRPr="00DE3351">
              <w:rPr>
                <w:bCs/>
                <w:szCs w:val="24"/>
              </w:rPr>
              <w:t>producător eligibil</w:t>
            </w:r>
            <w:r>
              <w:rPr>
                <w:bCs/>
                <w:szCs w:val="24"/>
              </w:rPr>
              <w:t>,</w:t>
            </w:r>
            <w:r w:rsidR="002578BB" w:rsidRPr="00DE3351">
              <w:rPr>
                <w:bCs/>
                <w:szCs w:val="24"/>
              </w:rPr>
              <w:t xml:space="preserve"> fiind alocate în cursul anului 2020 întreaga capacitate disponibilă conform HG nr.689/2018 la categoriile energie eoliană (20MW) și solar fotovoltaic (15 MW).</w:t>
            </w:r>
            <w:r w:rsidR="007C1773">
              <w:rPr>
                <w:bCs/>
                <w:szCs w:val="24"/>
              </w:rPr>
              <w:t xml:space="preserve"> </w:t>
            </w:r>
            <w:r w:rsidR="00B15041">
              <w:rPr>
                <w:bCs/>
                <w:sz w:val="25"/>
                <w:szCs w:val="25"/>
              </w:rPr>
              <w:t xml:space="preserve">La </w:t>
            </w:r>
            <w:r w:rsidR="002578BB" w:rsidRPr="00DE3351">
              <w:rPr>
                <w:bCs/>
                <w:szCs w:val="24"/>
              </w:rPr>
              <w:t xml:space="preserve">data </w:t>
            </w:r>
            <w:r w:rsidR="00B15041">
              <w:rPr>
                <w:bCs/>
                <w:sz w:val="25"/>
                <w:szCs w:val="25"/>
              </w:rPr>
              <w:t xml:space="preserve">de 1 </w:t>
            </w:r>
            <w:r w:rsidR="007D5A99">
              <w:rPr>
                <w:bCs/>
                <w:sz w:val="25"/>
                <w:szCs w:val="25"/>
              </w:rPr>
              <w:t>ianuarie</w:t>
            </w:r>
            <w:r w:rsidR="00B15041">
              <w:rPr>
                <w:bCs/>
                <w:sz w:val="25"/>
                <w:szCs w:val="25"/>
              </w:rPr>
              <w:t xml:space="preserve"> 202</w:t>
            </w:r>
            <w:r w:rsidR="007D5A99">
              <w:rPr>
                <w:bCs/>
                <w:sz w:val="25"/>
                <w:szCs w:val="25"/>
              </w:rPr>
              <w:t>1</w:t>
            </w:r>
            <w:r w:rsidR="00B15041">
              <w:rPr>
                <w:rStyle w:val="FootnoteReference"/>
                <w:bCs/>
                <w:sz w:val="25"/>
                <w:szCs w:val="25"/>
              </w:rPr>
              <w:footnoteReference w:id="1"/>
            </w:r>
            <w:r w:rsidR="00B15041">
              <w:rPr>
                <w:bCs/>
                <w:sz w:val="25"/>
                <w:szCs w:val="25"/>
              </w:rPr>
              <w:t xml:space="preserve">, </w:t>
            </w:r>
            <w:r w:rsidR="0061781E">
              <w:rPr>
                <w:bCs/>
                <w:sz w:val="25"/>
                <w:szCs w:val="25"/>
              </w:rPr>
              <w:t>„</w:t>
            </w:r>
            <w:r w:rsidR="00B15041">
              <w:rPr>
                <w:bCs/>
                <w:sz w:val="25"/>
                <w:szCs w:val="25"/>
              </w:rPr>
              <w:t xml:space="preserve">preferințele </w:t>
            </w:r>
            <w:r w:rsidR="0061781E">
              <w:rPr>
                <w:bCs/>
                <w:sz w:val="25"/>
                <w:szCs w:val="25"/>
              </w:rPr>
              <w:t xml:space="preserve">tehnologice” </w:t>
            </w:r>
            <w:r w:rsidR="002F7885">
              <w:rPr>
                <w:bCs/>
                <w:sz w:val="25"/>
                <w:szCs w:val="25"/>
              </w:rPr>
              <w:t xml:space="preserve">a </w:t>
            </w:r>
            <w:r w:rsidR="00B15041">
              <w:rPr>
                <w:bCs/>
                <w:sz w:val="25"/>
                <w:szCs w:val="25"/>
              </w:rPr>
              <w:t>investitorilor au fost următoarele:</w:t>
            </w:r>
          </w:p>
          <w:tbl>
            <w:tblPr>
              <w:tblStyle w:val="TableGrid"/>
              <w:tblW w:w="0" w:type="auto"/>
              <w:tblInd w:w="997"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3407"/>
              <w:gridCol w:w="1275"/>
              <w:gridCol w:w="1361"/>
            </w:tblGrid>
            <w:tr w:rsidR="0061781E" w:rsidRPr="00844CBB" w14:paraId="293522F7" w14:textId="7F638387" w:rsidTr="0061781E">
              <w:tc>
                <w:tcPr>
                  <w:tcW w:w="3407" w:type="dxa"/>
                </w:tcPr>
                <w:p w14:paraId="0F110EF4" w14:textId="5B00925D" w:rsidR="0061781E" w:rsidRPr="004C7969" w:rsidRDefault="0061781E" w:rsidP="00BE19C1">
                  <w:pPr>
                    <w:spacing w:before="0" w:after="0"/>
                    <w:jc w:val="right"/>
                    <w:rPr>
                      <w:bCs/>
                      <w:sz w:val="22"/>
                      <w:lang w:val="it-IT"/>
                    </w:rPr>
                  </w:pPr>
                  <w:r w:rsidRPr="004C7969">
                    <w:rPr>
                      <w:bCs/>
                      <w:sz w:val="22"/>
                      <w:lang w:val="it-IT"/>
                    </w:rPr>
                    <w:t>instalații de cogenerare pe biogaz</w:t>
                  </w:r>
                </w:p>
              </w:tc>
              <w:tc>
                <w:tcPr>
                  <w:tcW w:w="1275" w:type="dxa"/>
                  <w:vAlign w:val="center"/>
                </w:tcPr>
                <w:p w14:paraId="1C775DDE" w14:textId="088E9989" w:rsidR="0061781E" w:rsidRPr="004C7969" w:rsidRDefault="0061781E" w:rsidP="00BE19C1">
                  <w:pPr>
                    <w:spacing w:before="0" w:after="0"/>
                    <w:jc w:val="center"/>
                    <w:rPr>
                      <w:bCs/>
                      <w:sz w:val="22"/>
                      <w:lang w:val="it-IT"/>
                    </w:rPr>
                  </w:pPr>
                  <w:r w:rsidRPr="004C7969">
                    <w:rPr>
                      <w:bCs/>
                      <w:sz w:val="22"/>
                      <w:lang w:val="it-IT"/>
                    </w:rPr>
                    <w:t>1 dosar</w:t>
                  </w:r>
                </w:p>
              </w:tc>
              <w:tc>
                <w:tcPr>
                  <w:tcW w:w="1361" w:type="dxa"/>
                  <w:vAlign w:val="center"/>
                </w:tcPr>
                <w:p w14:paraId="2A58BC1B" w14:textId="7478C763" w:rsidR="0061781E" w:rsidRPr="004C7969" w:rsidRDefault="0061781E" w:rsidP="00BE19C1">
                  <w:pPr>
                    <w:spacing w:before="0" w:after="0"/>
                    <w:jc w:val="left"/>
                    <w:rPr>
                      <w:bCs/>
                      <w:sz w:val="22"/>
                      <w:lang w:val="it-IT"/>
                    </w:rPr>
                  </w:pPr>
                  <w:r w:rsidRPr="004C7969">
                    <w:rPr>
                      <w:bCs/>
                      <w:sz w:val="22"/>
                      <w:lang w:val="it-IT"/>
                    </w:rPr>
                    <w:t>0,637 MW</w:t>
                  </w:r>
                </w:p>
              </w:tc>
            </w:tr>
            <w:tr w:rsidR="0061781E" w:rsidRPr="00844CBB" w14:paraId="30599CC5" w14:textId="1BFAACB5" w:rsidTr="0061781E">
              <w:tc>
                <w:tcPr>
                  <w:tcW w:w="3407" w:type="dxa"/>
                </w:tcPr>
                <w:p w14:paraId="768B1852" w14:textId="3C5402E4" w:rsidR="0061781E" w:rsidRPr="004C7969" w:rsidRDefault="0061781E" w:rsidP="00BE19C1">
                  <w:pPr>
                    <w:spacing w:before="0" w:after="0"/>
                    <w:jc w:val="right"/>
                    <w:rPr>
                      <w:bCs/>
                      <w:sz w:val="22"/>
                      <w:lang w:val="it-IT"/>
                    </w:rPr>
                  </w:pPr>
                  <w:r w:rsidRPr="004C7969">
                    <w:rPr>
                      <w:bCs/>
                      <w:sz w:val="22"/>
                      <w:lang w:val="it-IT"/>
                    </w:rPr>
                    <w:t>instalații eoliene</w:t>
                  </w:r>
                </w:p>
              </w:tc>
              <w:tc>
                <w:tcPr>
                  <w:tcW w:w="1275" w:type="dxa"/>
                  <w:vAlign w:val="center"/>
                </w:tcPr>
                <w:p w14:paraId="513103A4" w14:textId="42D4D6ED" w:rsidR="0061781E" w:rsidRPr="004C7969" w:rsidRDefault="007D5A99" w:rsidP="00BE19C1">
                  <w:pPr>
                    <w:spacing w:before="0" w:after="0"/>
                    <w:jc w:val="center"/>
                    <w:rPr>
                      <w:bCs/>
                      <w:sz w:val="22"/>
                      <w:lang w:val="it-IT"/>
                    </w:rPr>
                  </w:pPr>
                  <w:r w:rsidRPr="004C7969">
                    <w:rPr>
                      <w:bCs/>
                      <w:sz w:val="22"/>
                      <w:lang w:val="it-IT"/>
                    </w:rPr>
                    <w:t>6</w:t>
                  </w:r>
                  <w:r w:rsidR="0061781E" w:rsidRPr="004C7969">
                    <w:rPr>
                      <w:bCs/>
                      <w:sz w:val="22"/>
                      <w:lang w:val="it-IT"/>
                    </w:rPr>
                    <w:t xml:space="preserve"> dosare</w:t>
                  </w:r>
                </w:p>
              </w:tc>
              <w:tc>
                <w:tcPr>
                  <w:tcW w:w="1361" w:type="dxa"/>
                  <w:vAlign w:val="center"/>
                </w:tcPr>
                <w:p w14:paraId="60657C2C" w14:textId="6CC14174" w:rsidR="0061781E" w:rsidRPr="004C7969" w:rsidRDefault="007D5A99" w:rsidP="00BE19C1">
                  <w:pPr>
                    <w:spacing w:before="0" w:after="0"/>
                    <w:jc w:val="left"/>
                    <w:rPr>
                      <w:bCs/>
                      <w:sz w:val="22"/>
                      <w:lang w:val="it-IT"/>
                    </w:rPr>
                  </w:pPr>
                  <w:r w:rsidRPr="004C7969">
                    <w:rPr>
                      <w:bCs/>
                      <w:sz w:val="22"/>
                      <w:lang w:val="it-IT"/>
                    </w:rPr>
                    <w:t>20</w:t>
                  </w:r>
                  <w:r w:rsidR="00EA3718" w:rsidRPr="004C7969">
                    <w:rPr>
                      <w:bCs/>
                      <w:sz w:val="22"/>
                      <w:lang w:val="it-IT"/>
                    </w:rPr>
                    <w:t>,00</w:t>
                  </w:r>
                  <w:r w:rsidR="0061781E" w:rsidRPr="004C7969">
                    <w:rPr>
                      <w:bCs/>
                      <w:sz w:val="22"/>
                      <w:lang w:val="it-IT"/>
                    </w:rPr>
                    <w:t xml:space="preserve"> MW</w:t>
                  </w:r>
                </w:p>
              </w:tc>
            </w:tr>
            <w:tr w:rsidR="0061781E" w:rsidRPr="00844CBB" w14:paraId="38652019" w14:textId="4355466F" w:rsidTr="0061781E">
              <w:tc>
                <w:tcPr>
                  <w:tcW w:w="3407" w:type="dxa"/>
                </w:tcPr>
                <w:p w14:paraId="78E003E9" w14:textId="7C8E7B5E" w:rsidR="0061781E" w:rsidRPr="004C7969" w:rsidRDefault="0061781E" w:rsidP="00BE19C1">
                  <w:pPr>
                    <w:spacing w:before="0" w:after="0"/>
                    <w:jc w:val="right"/>
                    <w:rPr>
                      <w:bCs/>
                      <w:sz w:val="22"/>
                      <w:lang w:val="it-IT"/>
                    </w:rPr>
                  </w:pPr>
                  <w:r w:rsidRPr="004C7969">
                    <w:rPr>
                      <w:bCs/>
                      <w:sz w:val="22"/>
                      <w:lang w:val="it-IT"/>
                    </w:rPr>
                    <w:t>instalații solare fotovoltaice</w:t>
                  </w:r>
                </w:p>
              </w:tc>
              <w:tc>
                <w:tcPr>
                  <w:tcW w:w="1275" w:type="dxa"/>
                  <w:vAlign w:val="center"/>
                </w:tcPr>
                <w:p w14:paraId="4502F363" w14:textId="2217CE53" w:rsidR="0061781E" w:rsidRPr="004C7969" w:rsidRDefault="007D5A99" w:rsidP="00BE19C1">
                  <w:pPr>
                    <w:spacing w:before="0" w:after="0"/>
                    <w:jc w:val="center"/>
                    <w:rPr>
                      <w:bCs/>
                      <w:sz w:val="22"/>
                      <w:lang w:val="it-IT"/>
                    </w:rPr>
                  </w:pPr>
                  <w:r w:rsidRPr="004C7969">
                    <w:rPr>
                      <w:bCs/>
                      <w:sz w:val="22"/>
                      <w:lang w:val="it-IT"/>
                    </w:rPr>
                    <w:t>20</w:t>
                  </w:r>
                  <w:r w:rsidR="0061781E" w:rsidRPr="004C7969">
                    <w:rPr>
                      <w:bCs/>
                      <w:sz w:val="22"/>
                      <w:lang w:val="it-IT"/>
                    </w:rPr>
                    <w:t xml:space="preserve"> dosare</w:t>
                  </w:r>
                </w:p>
              </w:tc>
              <w:tc>
                <w:tcPr>
                  <w:tcW w:w="1361" w:type="dxa"/>
                  <w:vAlign w:val="center"/>
                </w:tcPr>
                <w:p w14:paraId="1D3FEC9E" w14:textId="02AA2215" w:rsidR="0061781E" w:rsidRPr="004C7969" w:rsidRDefault="0061781E" w:rsidP="00BE19C1">
                  <w:pPr>
                    <w:spacing w:before="0" w:after="0"/>
                    <w:jc w:val="left"/>
                    <w:rPr>
                      <w:bCs/>
                      <w:sz w:val="22"/>
                      <w:lang w:val="it-IT"/>
                    </w:rPr>
                  </w:pPr>
                  <w:r w:rsidRPr="004C7969">
                    <w:rPr>
                      <w:bCs/>
                      <w:sz w:val="22"/>
                      <w:lang w:val="it-IT"/>
                    </w:rPr>
                    <w:t>1</w:t>
                  </w:r>
                  <w:r w:rsidR="007D5A99" w:rsidRPr="004C7969">
                    <w:rPr>
                      <w:bCs/>
                      <w:sz w:val="22"/>
                      <w:lang w:val="it-IT"/>
                    </w:rPr>
                    <w:t>9</w:t>
                  </w:r>
                  <w:r w:rsidRPr="004C7969">
                    <w:rPr>
                      <w:bCs/>
                      <w:sz w:val="22"/>
                      <w:lang w:val="it-IT"/>
                    </w:rPr>
                    <w:t>,</w:t>
                  </w:r>
                  <w:r w:rsidR="007D5A99" w:rsidRPr="004C7969">
                    <w:rPr>
                      <w:bCs/>
                      <w:sz w:val="22"/>
                      <w:lang w:val="it-IT"/>
                    </w:rPr>
                    <w:t>99</w:t>
                  </w:r>
                  <w:r w:rsidRPr="004C7969">
                    <w:rPr>
                      <w:bCs/>
                      <w:sz w:val="22"/>
                      <w:lang w:val="it-IT"/>
                    </w:rPr>
                    <w:t>4 MW</w:t>
                  </w:r>
                </w:p>
              </w:tc>
            </w:tr>
          </w:tbl>
          <w:p w14:paraId="24207817" w14:textId="3F31C9EA" w:rsidR="00F07692" w:rsidRDefault="00DE3351" w:rsidP="00F575A4">
            <w:pPr>
              <w:spacing w:after="0"/>
              <w:rPr>
                <w:bCs/>
                <w:sz w:val="25"/>
                <w:szCs w:val="25"/>
              </w:rPr>
            </w:pPr>
            <w:r w:rsidRPr="00DE3351">
              <w:rPr>
                <w:noProof/>
                <w:sz w:val="22"/>
                <w:szCs w:val="20"/>
                <w:lang w:val="en-US"/>
              </w:rPr>
              <w:drawing>
                <wp:anchor distT="0" distB="0" distL="114300" distR="114300" simplePos="0" relativeHeight="251639296" behindDoc="0" locked="0" layoutInCell="1" allowOverlap="1" wp14:anchorId="2CC48A4A" wp14:editId="60562FED">
                  <wp:simplePos x="0" y="0"/>
                  <wp:positionH relativeFrom="column">
                    <wp:posOffset>65811</wp:posOffset>
                  </wp:positionH>
                  <wp:positionV relativeFrom="paragraph">
                    <wp:posOffset>974446</wp:posOffset>
                  </wp:positionV>
                  <wp:extent cx="3869690" cy="2245766"/>
                  <wp:effectExtent l="0" t="0" r="0" b="0"/>
                  <wp:wrapNone/>
                  <wp:docPr id="4" name="Chart 1" descr="Descriere: Ponderea energiei regenerabile în mixul de resurse energetic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1781E" w:rsidRPr="00DE3351">
              <w:rPr>
                <w:bCs/>
                <w:szCs w:val="24"/>
              </w:rPr>
              <w:t>În acceptarea ipotezei că, adițional capacităților de generare a energiei existente</w:t>
            </w:r>
            <w:r w:rsidR="007D5A99" w:rsidRPr="00DE3351">
              <w:rPr>
                <w:bCs/>
                <w:szCs w:val="24"/>
              </w:rPr>
              <w:t xml:space="preserve"> </w:t>
            </w:r>
            <w:r w:rsidR="0061781E" w:rsidRPr="00DE3351">
              <w:rPr>
                <w:bCs/>
                <w:szCs w:val="24"/>
              </w:rPr>
              <w:t xml:space="preserve">– </w:t>
            </w:r>
            <w:r w:rsidR="007C1773">
              <w:rPr>
                <w:bCs/>
                <w:szCs w:val="24"/>
              </w:rPr>
              <w:t>72</w:t>
            </w:r>
            <w:r w:rsidR="0061781E" w:rsidRPr="00DE3351">
              <w:rPr>
                <w:bCs/>
                <w:szCs w:val="24"/>
              </w:rPr>
              <w:t>,</w:t>
            </w:r>
            <w:r w:rsidR="007C1773">
              <w:rPr>
                <w:bCs/>
                <w:szCs w:val="24"/>
              </w:rPr>
              <w:t>9</w:t>
            </w:r>
            <w:r w:rsidR="0061781E" w:rsidRPr="00DE3351">
              <w:rPr>
                <w:bCs/>
                <w:szCs w:val="24"/>
              </w:rPr>
              <w:t xml:space="preserve"> MW (conform informației deținute de </w:t>
            </w:r>
            <w:r w:rsidR="00690FE9">
              <w:rPr>
                <w:bCs/>
                <w:szCs w:val="24"/>
              </w:rPr>
              <w:t>MIDR</w:t>
            </w:r>
            <w:r w:rsidR="0061781E" w:rsidRPr="00DE3351">
              <w:rPr>
                <w:bCs/>
                <w:szCs w:val="24"/>
              </w:rPr>
              <w:t xml:space="preserve"> </w:t>
            </w:r>
            <w:r w:rsidR="006C63D4" w:rsidRPr="00DE3351">
              <w:rPr>
                <w:bCs/>
                <w:szCs w:val="24"/>
              </w:rPr>
              <w:t>pentru</w:t>
            </w:r>
            <w:r w:rsidR="0061781E" w:rsidRPr="00DE3351">
              <w:rPr>
                <w:bCs/>
                <w:szCs w:val="24"/>
              </w:rPr>
              <w:t xml:space="preserve"> ziua de 1 </w:t>
            </w:r>
            <w:r w:rsidR="007C1773">
              <w:rPr>
                <w:bCs/>
                <w:szCs w:val="24"/>
              </w:rPr>
              <w:t>decembrie</w:t>
            </w:r>
            <w:r w:rsidR="006C63D4" w:rsidRPr="00DE3351">
              <w:rPr>
                <w:bCs/>
                <w:szCs w:val="24"/>
              </w:rPr>
              <w:t xml:space="preserve">, </w:t>
            </w:r>
            <w:r w:rsidR="007D5A99" w:rsidRPr="00DE3351">
              <w:rPr>
                <w:bCs/>
                <w:szCs w:val="24"/>
              </w:rPr>
              <w:t>2020</w:t>
            </w:r>
            <w:r w:rsidR="0061781E" w:rsidRPr="00DE3351">
              <w:rPr>
                <w:bCs/>
                <w:szCs w:val="24"/>
              </w:rPr>
              <w:t>)</w:t>
            </w:r>
            <w:r w:rsidR="00EA3718" w:rsidRPr="00DE3351">
              <w:rPr>
                <w:bCs/>
                <w:szCs w:val="24"/>
              </w:rPr>
              <w:t xml:space="preserve">, </w:t>
            </w:r>
            <w:r w:rsidR="007D5A99" w:rsidRPr="00DE3351">
              <w:rPr>
                <w:bCs/>
                <w:szCs w:val="24"/>
              </w:rPr>
              <w:t xml:space="preserve">în termeni rezonabili </w:t>
            </w:r>
            <w:r w:rsidR="00EA3718" w:rsidRPr="00DE3351">
              <w:rPr>
                <w:bCs/>
                <w:szCs w:val="24"/>
              </w:rPr>
              <w:t>vor fi instalate capacitățile prezentate în tabelul de mai sus, estimăm generarea unei cantități cumulative de cca.</w:t>
            </w:r>
            <w:r w:rsidR="00F575A4">
              <w:rPr>
                <w:bCs/>
                <w:szCs w:val="24"/>
              </w:rPr>
              <w:t xml:space="preserve"> </w:t>
            </w:r>
            <w:r w:rsidR="00F575A4">
              <w:rPr>
                <w:bCs/>
                <w:szCs w:val="24"/>
              </w:rPr>
              <w:br/>
            </w:r>
            <w:r w:rsidR="00EA3718" w:rsidRPr="00DE3351">
              <w:rPr>
                <w:bCs/>
                <w:szCs w:val="24"/>
              </w:rPr>
              <w:t>2</w:t>
            </w:r>
            <w:r w:rsidR="00F07692" w:rsidRPr="00DE3351">
              <w:rPr>
                <w:bCs/>
                <w:szCs w:val="24"/>
              </w:rPr>
              <w:t>44,5</w:t>
            </w:r>
            <w:r w:rsidR="00EA3718" w:rsidRPr="00DE3351">
              <w:rPr>
                <w:bCs/>
                <w:szCs w:val="24"/>
              </w:rPr>
              <w:t xml:space="preserve"> GWh. Noile capacități de generare a energiei electrice vor contribui la creșterea ponderii energiei electrice verzi în consumul final brut de energie electrică, după cum este prezentat în Fig</w:t>
            </w:r>
            <w:r w:rsidRPr="00DE3351">
              <w:rPr>
                <w:bCs/>
                <w:szCs w:val="24"/>
              </w:rPr>
              <w:t>ura</w:t>
            </w:r>
            <w:r w:rsidR="00EA3718" w:rsidRPr="00DE3351">
              <w:rPr>
                <w:bCs/>
                <w:szCs w:val="24"/>
              </w:rPr>
              <w:t xml:space="preserve"> </w:t>
            </w:r>
            <w:r w:rsidR="00F575A4">
              <w:rPr>
                <w:bCs/>
                <w:szCs w:val="24"/>
              </w:rPr>
              <w:t>2</w:t>
            </w:r>
            <w:r w:rsidR="00EA3718">
              <w:rPr>
                <w:bCs/>
                <w:sz w:val="25"/>
                <w:szCs w:val="25"/>
              </w:rPr>
              <w:t>.</w:t>
            </w:r>
          </w:p>
          <w:p w14:paraId="74EF619D" w14:textId="68E3DD9F" w:rsidR="00237BF9" w:rsidRDefault="00F07692" w:rsidP="00F07692">
            <w:pPr>
              <w:spacing w:after="360"/>
              <w:rPr>
                <w:bCs/>
                <w:sz w:val="25"/>
                <w:szCs w:val="25"/>
              </w:rPr>
            </w:pPr>
            <w:r>
              <w:rPr>
                <w:noProof/>
                <w:lang w:val="en-US"/>
              </w:rPr>
              <w:drawing>
                <wp:anchor distT="0" distB="0" distL="114300" distR="114300" simplePos="0" relativeHeight="251654656" behindDoc="0" locked="0" layoutInCell="1" allowOverlap="1" wp14:anchorId="4AD7B17B" wp14:editId="1554C1FA">
                  <wp:simplePos x="0" y="0"/>
                  <wp:positionH relativeFrom="column">
                    <wp:posOffset>3121025</wp:posOffset>
                  </wp:positionH>
                  <wp:positionV relativeFrom="paragraph">
                    <wp:posOffset>74031</wp:posOffset>
                  </wp:positionV>
                  <wp:extent cx="3488690" cy="2464435"/>
                  <wp:effectExtent l="0" t="0" r="0" b="0"/>
                  <wp:wrapNone/>
                  <wp:docPr id="2" name="Chart 2" descr="Descriere: Ponderea energiei regenerabile în mixul de resurse energetic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00EA3718">
              <w:rPr>
                <w:bCs/>
                <w:sz w:val="25"/>
                <w:szCs w:val="25"/>
              </w:rPr>
              <w:t xml:space="preserve"> </w:t>
            </w:r>
          </w:p>
          <w:p w14:paraId="33D2244A" w14:textId="2FAF24D7" w:rsidR="00D22125" w:rsidRPr="007F53F8" w:rsidRDefault="00D22125" w:rsidP="00BE19C1">
            <w:pPr>
              <w:rPr>
                <w:rFonts w:eastAsia="Times New Roman"/>
                <w:bCs/>
                <w:szCs w:val="24"/>
                <w:lang w:eastAsia="ru-RU"/>
              </w:rPr>
            </w:pPr>
          </w:p>
        </w:tc>
      </w:tr>
      <w:tr w:rsidR="0057300F" w:rsidRPr="00844CBB" w14:paraId="5D72FEDF" w14:textId="77777777" w:rsidTr="07DD546D">
        <w:tc>
          <w:tcPr>
            <w:tcW w:w="10211" w:type="dxa"/>
          </w:tcPr>
          <w:p w14:paraId="732268FE" w14:textId="6216F8DF" w:rsidR="0062628B" w:rsidRDefault="0062628B" w:rsidP="00BE19C1">
            <w:pPr>
              <w:contextualSpacing/>
              <w:rPr>
                <w:szCs w:val="24"/>
              </w:rPr>
            </w:pPr>
          </w:p>
          <w:p w14:paraId="26566FF6" w14:textId="5D11E7E3" w:rsidR="00CD4C3B" w:rsidRDefault="00CD4C3B" w:rsidP="00BE19C1">
            <w:pPr>
              <w:contextualSpacing/>
              <w:rPr>
                <w:szCs w:val="24"/>
              </w:rPr>
            </w:pPr>
          </w:p>
          <w:p w14:paraId="12F9E029" w14:textId="17193F91" w:rsidR="00CD4C3B" w:rsidRDefault="00CD4C3B" w:rsidP="00BE19C1">
            <w:pPr>
              <w:contextualSpacing/>
              <w:rPr>
                <w:szCs w:val="24"/>
              </w:rPr>
            </w:pPr>
          </w:p>
          <w:p w14:paraId="3EA859C5" w14:textId="5B88A7F7" w:rsidR="00CD4C3B" w:rsidRDefault="00CD4C3B" w:rsidP="00BE19C1">
            <w:pPr>
              <w:contextualSpacing/>
              <w:rPr>
                <w:szCs w:val="24"/>
              </w:rPr>
            </w:pPr>
          </w:p>
          <w:p w14:paraId="24A0A0EC" w14:textId="6EA6B0D3" w:rsidR="00CD4C3B" w:rsidRDefault="00CD4C3B" w:rsidP="00BE19C1">
            <w:pPr>
              <w:contextualSpacing/>
              <w:rPr>
                <w:szCs w:val="24"/>
              </w:rPr>
            </w:pPr>
          </w:p>
          <w:p w14:paraId="0BDA7ADA" w14:textId="57A7BBC2" w:rsidR="00B1184D" w:rsidRDefault="00B1184D" w:rsidP="00BE19C1">
            <w:pPr>
              <w:contextualSpacing/>
              <w:rPr>
                <w:szCs w:val="24"/>
              </w:rPr>
            </w:pPr>
          </w:p>
          <w:p w14:paraId="58DAF504" w14:textId="47ECBE07" w:rsidR="00B1184D" w:rsidRDefault="00F575A4" w:rsidP="00BE19C1">
            <w:pPr>
              <w:contextualSpacing/>
              <w:rPr>
                <w:szCs w:val="24"/>
              </w:rPr>
            </w:pPr>
            <w:r>
              <w:rPr>
                <w:noProof/>
                <w:lang w:val="en-US"/>
              </w:rPr>
              <mc:AlternateContent>
                <mc:Choice Requires="wps">
                  <w:drawing>
                    <wp:anchor distT="0" distB="0" distL="114300" distR="114300" simplePos="0" relativeHeight="251653632" behindDoc="0" locked="0" layoutInCell="1" allowOverlap="1" wp14:anchorId="481DBE63" wp14:editId="17009238">
                      <wp:simplePos x="0" y="0"/>
                      <wp:positionH relativeFrom="column">
                        <wp:posOffset>308610</wp:posOffset>
                      </wp:positionH>
                      <wp:positionV relativeFrom="paragraph">
                        <wp:posOffset>176692</wp:posOffset>
                      </wp:positionV>
                      <wp:extent cx="5937885" cy="635"/>
                      <wp:effectExtent l="0" t="0" r="5715" b="12700"/>
                      <wp:wrapNone/>
                      <wp:docPr id="3" name="Casetă text 3"/>
                      <wp:cNvGraphicFramePr/>
                      <a:graphic xmlns:a="http://schemas.openxmlformats.org/drawingml/2006/main">
                        <a:graphicData uri="http://schemas.microsoft.com/office/word/2010/wordprocessingShape">
                          <wps:wsp>
                            <wps:cNvSpPr txBox="1"/>
                            <wps:spPr>
                              <a:xfrm>
                                <a:off x="0" y="0"/>
                                <a:ext cx="5937885" cy="635"/>
                              </a:xfrm>
                              <a:prstGeom prst="rect">
                                <a:avLst/>
                              </a:prstGeom>
                              <a:noFill/>
                              <a:ln>
                                <a:noFill/>
                              </a:ln>
                            </wps:spPr>
                            <wps:txbx>
                              <w:txbxContent>
                                <w:p w14:paraId="2DEFA026" w14:textId="6EFACF1E" w:rsidR="00373CBC" w:rsidRPr="004C7969" w:rsidRDefault="00373CBC" w:rsidP="00373CBC">
                                  <w:pPr>
                                    <w:pStyle w:val="Caption"/>
                                    <w:jc w:val="center"/>
                                    <w:rPr>
                                      <w:rFonts w:eastAsia="Calibri" w:cs="Times New Roman"/>
                                      <w:bCs/>
                                      <w:i w:val="0"/>
                                      <w:iCs w:val="0"/>
                                      <w:noProof/>
                                      <w:color w:val="000000" w:themeColor="text1"/>
                                      <w:sz w:val="28"/>
                                      <w:szCs w:val="28"/>
                                      <w:lang w:val="it-IT"/>
                                    </w:rPr>
                                  </w:pPr>
                                  <w:r w:rsidRPr="004C7969">
                                    <w:rPr>
                                      <w:b/>
                                      <w:bCs/>
                                      <w:i w:val="0"/>
                                      <w:iCs w:val="0"/>
                                      <w:color w:val="000000" w:themeColor="text1"/>
                                      <w:sz w:val="20"/>
                                      <w:szCs w:val="20"/>
                                      <w:lang w:val="it-IT"/>
                                    </w:rPr>
                                    <w:t>Figur</w:t>
                                  </w:r>
                                  <w:r w:rsidR="00EA3718" w:rsidRPr="004C7969">
                                    <w:rPr>
                                      <w:b/>
                                      <w:bCs/>
                                      <w:i w:val="0"/>
                                      <w:iCs w:val="0"/>
                                      <w:color w:val="000000" w:themeColor="text1"/>
                                      <w:sz w:val="20"/>
                                      <w:szCs w:val="20"/>
                                      <w:lang w:val="it-IT"/>
                                    </w:rPr>
                                    <w:t>a</w:t>
                                  </w:r>
                                  <w:r w:rsidRPr="004C7969">
                                    <w:rPr>
                                      <w:b/>
                                      <w:bCs/>
                                      <w:i w:val="0"/>
                                      <w:iCs w:val="0"/>
                                      <w:color w:val="000000" w:themeColor="text1"/>
                                      <w:sz w:val="20"/>
                                      <w:szCs w:val="20"/>
                                      <w:lang w:val="it-IT"/>
                                    </w:rPr>
                                    <w:t xml:space="preserve"> </w:t>
                                  </w:r>
                                  <w:r w:rsidR="00F575A4" w:rsidRPr="004C7969">
                                    <w:rPr>
                                      <w:b/>
                                      <w:bCs/>
                                      <w:i w:val="0"/>
                                      <w:iCs w:val="0"/>
                                      <w:color w:val="000000" w:themeColor="text1"/>
                                      <w:sz w:val="20"/>
                                      <w:szCs w:val="20"/>
                                      <w:lang w:val="it-IT"/>
                                    </w:rPr>
                                    <w:t>2</w:t>
                                  </w:r>
                                  <w:r w:rsidRPr="004C7969">
                                    <w:rPr>
                                      <w:b/>
                                      <w:bCs/>
                                      <w:i w:val="0"/>
                                      <w:iCs w:val="0"/>
                                      <w:color w:val="000000" w:themeColor="text1"/>
                                      <w:sz w:val="20"/>
                                      <w:szCs w:val="20"/>
                                      <w:lang w:val="it-IT"/>
                                    </w:rPr>
                                    <w:t>.</w:t>
                                  </w:r>
                                  <w:r w:rsidRPr="004C7969">
                                    <w:rPr>
                                      <w:i w:val="0"/>
                                      <w:iCs w:val="0"/>
                                      <w:color w:val="000000" w:themeColor="text1"/>
                                      <w:sz w:val="20"/>
                                      <w:szCs w:val="20"/>
                                      <w:lang w:val="it-IT"/>
                                    </w:rPr>
                                    <w:t xml:space="preserve"> Evoluția ponderii energiei regenerabile în consumul final brut de energie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1DBE63" id="Casetă text 3" o:spid="_x0000_s1029" type="#_x0000_t202" style="position:absolute;left:0;text-align:left;margin-left:24.3pt;margin-top:13.9pt;width:467.55pt;height:.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" filled="f" stroked="f">
                      <v:textbox style="mso-fit-shape-to-text:t" inset="0,0,0,0">
                        <w:txbxContent>
                          <w:p w14:paraId="2DEFA026" w14:textId="6EFACF1E" w:rsidR="00373CBC" w:rsidRPr="004C7969" w:rsidRDefault="00373CBC" w:rsidP="00373CBC">
                            <w:pPr>
                              <w:pStyle w:val="Caption"/>
                              <w:jc w:val="center"/>
                              <w:rPr>
                                <w:rFonts w:eastAsia="Calibri" w:cs="Times New Roman"/>
                                <w:bCs/>
                                <w:i w:val="0"/>
                                <w:iCs w:val="0"/>
                                <w:noProof/>
                                <w:color w:val="000000" w:themeColor="text1"/>
                                <w:sz w:val="28"/>
                                <w:szCs w:val="28"/>
                                <w:lang w:val="it-IT"/>
                              </w:rPr>
                            </w:pPr>
                            <w:r w:rsidRPr="004C7969">
                              <w:rPr>
                                <w:b/>
                                <w:bCs/>
                                <w:i w:val="0"/>
                                <w:iCs w:val="0"/>
                                <w:color w:val="000000" w:themeColor="text1"/>
                                <w:sz w:val="20"/>
                                <w:szCs w:val="20"/>
                                <w:lang w:val="it-IT"/>
                              </w:rPr>
                              <w:t>Figur</w:t>
                            </w:r>
                            <w:r w:rsidR="00EA3718" w:rsidRPr="004C7969">
                              <w:rPr>
                                <w:b/>
                                <w:bCs/>
                                <w:i w:val="0"/>
                                <w:iCs w:val="0"/>
                                <w:color w:val="000000" w:themeColor="text1"/>
                                <w:sz w:val="20"/>
                                <w:szCs w:val="20"/>
                                <w:lang w:val="it-IT"/>
                              </w:rPr>
                              <w:t>a</w:t>
                            </w:r>
                            <w:r w:rsidRPr="004C7969">
                              <w:rPr>
                                <w:b/>
                                <w:bCs/>
                                <w:i w:val="0"/>
                                <w:iCs w:val="0"/>
                                <w:color w:val="000000" w:themeColor="text1"/>
                                <w:sz w:val="20"/>
                                <w:szCs w:val="20"/>
                                <w:lang w:val="it-IT"/>
                              </w:rPr>
                              <w:t xml:space="preserve"> </w:t>
                            </w:r>
                            <w:r w:rsidR="00F575A4" w:rsidRPr="004C7969">
                              <w:rPr>
                                <w:b/>
                                <w:bCs/>
                                <w:i w:val="0"/>
                                <w:iCs w:val="0"/>
                                <w:color w:val="000000" w:themeColor="text1"/>
                                <w:sz w:val="20"/>
                                <w:szCs w:val="20"/>
                                <w:lang w:val="it-IT"/>
                              </w:rPr>
                              <w:t>2</w:t>
                            </w:r>
                            <w:r w:rsidRPr="004C7969">
                              <w:rPr>
                                <w:b/>
                                <w:bCs/>
                                <w:i w:val="0"/>
                                <w:iCs w:val="0"/>
                                <w:color w:val="000000" w:themeColor="text1"/>
                                <w:sz w:val="20"/>
                                <w:szCs w:val="20"/>
                                <w:lang w:val="it-IT"/>
                              </w:rPr>
                              <w:t>.</w:t>
                            </w:r>
                            <w:r w:rsidRPr="004C7969">
                              <w:rPr>
                                <w:i w:val="0"/>
                                <w:iCs w:val="0"/>
                                <w:color w:val="000000" w:themeColor="text1"/>
                                <w:sz w:val="20"/>
                                <w:szCs w:val="20"/>
                                <w:lang w:val="it-IT"/>
                              </w:rPr>
                              <w:t xml:space="preserve"> Evoluția ponderii energiei regenerabile în consumul final brut de energie</w:t>
                            </w:r>
                          </w:p>
                        </w:txbxContent>
                      </v:textbox>
                    </v:shape>
                  </w:pict>
                </mc:Fallback>
              </mc:AlternateContent>
            </w:r>
          </w:p>
          <w:p w14:paraId="2979EF3D" w14:textId="5100886D" w:rsidR="002F7885" w:rsidRDefault="07DD546D" w:rsidP="00BE19C1">
            <w:pPr>
              <w:spacing w:before="240"/>
            </w:pPr>
            <w:r w:rsidRPr="00F07692">
              <w:lastRenderedPageBreak/>
              <w:t>Totodată, numărul de adresări parvenite la Ministerul Infrastructurii</w:t>
            </w:r>
            <w:r w:rsidR="00BB0C0C">
              <w:t xml:space="preserve"> și Dezvoltării Regionale</w:t>
            </w:r>
            <w:r w:rsidRPr="00F07692">
              <w:t xml:space="preserve">, confirmă interesul comunității investitorilor din țară, cât și din afara acesteia, pentru tehnologiile </w:t>
            </w:r>
            <w:r w:rsidR="00F07692" w:rsidRPr="00F07692">
              <w:t>non-</w:t>
            </w:r>
            <w:r w:rsidRPr="00F07692">
              <w:t>intermitente, în special cele de producere a biogazului, cu ulterioara conversie a acestei resurse în energie electrică și termică.</w:t>
            </w:r>
            <w:r>
              <w:t xml:space="preserve"> Aspectul din urmă a fost luat în considerare de </w:t>
            </w:r>
            <w:r w:rsidR="00690FE9">
              <w:t>MIDR</w:t>
            </w:r>
            <w:r>
              <w:t xml:space="preserve"> la elaborarea proiectului de hotărâre</w:t>
            </w:r>
            <w:r w:rsidR="00F07692">
              <w:t xml:space="preserve"> actual</w:t>
            </w:r>
            <w:r>
              <w:t xml:space="preserve">. </w:t>
            </w:r>
          </w:p>
          <w:p w14:paraId="5BA516FE" w14:textId="71287E8E" w:rsidR="005C06A8" w:rsidRDefault="002F7885" w:rsidP="00BE19C1">
            <w:pPr>
              <w:rPr>
                <w:szCs w:val="24"/>
              </w:rPr>
            </w:pPr>
            <w:r>
              <w:rPr>
                <w:szCs w:val="24"/>
              </w:rPr>
              <w:t>L</w:t>
            </w:r>
            <w:r w:rsidR="00BC3729">
              <w:rPr>
                <w:szCs w:val="24"/>
              </w:rPr>
              <w:t>a elaborarea proiectului au fost luate în calcul</w:t>
            </w:r>
            <w:r w:rsidR="00F07692">
              <w:rPr>
                <w:szCs w:val="24"/>
              </w:rPr>
              <w:t>,</w:t>
            </w:r>
            <w:r w:rsidR="00625237">
              <w:rPr>
                <w:szCs w:val="24"/>
              </w:rPr>
              <w:t xml:space="preserve"> </w:t>
            </w:r>
            <w:r w:rsidR="00BC3729">
              <w:rPr>
                <w:szCs w:val="24"/>
              </w:rPr>
              <w:t>totodată</w:t>
            </w:r>
            <w:r w:rsidR="00625237">
              <w:rPr>
                <w:szCs w:val="24"/>
              </w:rPr>
              <w:t xml:space="preserve">, </w:t>
            </w:r>
            <w:r w:rsidR="00811FCD">
              <w:rPr>
                <w:szCs w:val="24"/>
              </w:rPr>
              <w:t>numeroasele documente de politici și angajamente în domeniul energetic sau conexe, precum ar fi schimbările climatice,</w:t>
            </w:r>
            <w:r w:rsidR="00BC3729">
              <w:rPr>
                <w:szCs w:val="24"/>
              </w:rPr>
              <w:t xml:space="preserve"> de mediu,</w:t>
            </w:r>
            <w:r w:rsidR="00313949">
              <w:rPr>
                <w:szCs w:val="24"/>
              </w:rPr>
              <w:t xml:space="preserve"> dezvoltarea </w:t>
            </w:r>
            <w:r w:rsidR="00BC3729">
              <w:rPr>
                <w:szCs w:val="24"/>
              </w:rPr>
              <w:t xml:space="preserve">durabilă a economiei naționale. Conform acestora, </w:t>
            </w:r>
            <w:r w:rsidR="00811FCD">
              <w:rPr>
                <w:szCs w:val="24"/>
              </w:rPr>
              <w:t xml:space="preserve">Republica Moldova ar urma să întreprindă acțiuni în vederea confirmării </w:t>
            </w:r>
            <w:r w:rsidR="00BC3729">
              <w:rPr>
                <w:szCs w:val="24"/>
              </w:rPr>
              <w:t xml:space="preserve">în fapt a </w:t>
            </w:r>
            <w:r w:rsidR="00811FCD">
              <w:rPr>
                <w:szCs w:val="24"/>
              </w:rPr>
              <w:t xml:space="preserve">conștientizării importanței reducerii emisiilor de gaze cu efect de seră, a reducerii impactului sectorului energetic asupra mediului, a angajamentelor asumate față de cetățeni pentru asigurarea unei dezvoltări durabile a </w:t>
            </w:r>
            <w:r w:rsidR="00BC3729">
              <w:rPr>
                <w:szCs w:val="24"/>
              </w:rPr>
              <w:t xml:space="preserve">celor trei elemente din spatele conceptului de dezvoltare durabilă – </w:t>
            </w:r>
            <w:r w:rsidR="00BC3729" w:rsidRPr="00BC3729">
              <w:rPr>
                <w:i/>
                <w:iCs/>
                <w:szCs w:val="24"/>
              </w:rPr>
              <w:t>i)</w:t>
            </w:r>
            <w:r w:rsidR="00BC3729">
              <w:rPr>
                <w:szCs w:val="24"/>
              </w:rPr>
              <w:t xml:space="preserve"> </w:t>
            </w:r>
            <w:r w:rsidR="00BC3729" w:rsidRPr="00BC3729">
              <w:rPr>
                <w:szCs w:val="24"/>
              </w:rPr>
              <w:t>mediul înco</w:t>
            </w:r>
            <w:r w:rsidR="00BC3729">
              <w:rPr>
                <w:szCs w:val="24"/>
              </w:rPr>
              <w:t>n</w:t>
            </w:r>
            <w:r w:rsidR="00BC3729" w:rsidRPr="00BC3729">
              <w:rPr>
                <w:szCs w:val="24"/>
              </w:rPr>
              <w:t xml:space="preserve">jurător, </w:t>
            </w:r>
            <w:r w:rsidR="00BC3729" w:rsidRPr="00BC3729">
              <w:rPr>
                <w:i/>
                <w:iCs/>
                <w:szCs w:val="24"/>
              </w:rPr>
              <w:t>ii)</w:t>
            </w:r>
            <w:r w:rsidR="00BC3729">
              <w:rPr>
                <w:szCs w:val="24"/>
              </w:rPr>
              <w:t xml:space="preserve"> </w:t>
            </w:r>
            <w:r w:rsidR="00BC3729" w:rsidRPr="00BC3729">
              <w:rPr>
                <w:szCs w:val="24"/>
              </w:rPr>
              <w:t xml:space="preserve">societatea </w:t>
            </w:r>
            <w:proofErr w:type="spellStart"/>
            <w:r w:rsidR="00BC3729" w:rsidRPr="00BC3729">
              <w:rPr>
                <w:szCs w:val="24"/>
              </w:rPr>
              <w:t>şi</w:t>
            </w:r>
            <w:proofErr w:type="spellEnd"/>
            <w:r w:rsidR="00BC3729" w:rsidRPr="00BC3729">
              <w:rPr>
                <w:szCs w:val="24"/>
              </w:rPr>
              <w:t xml:space="preserve"> </w:t>
            </w:r>
            <w:r w:rsidR="00BC3729" w:rsidRPr="00BC3729">
              <w:rPr>
                <w:i/>
                <w:iCs/>
                <w:szCs w:val="24"/>
              </w:rPr>
              <w:t>iii)</w:t>
            </w:r>
            <w:r w:rsidR="00BC3729">
              <w:rPr>
                <w:szCs w:val="24"/>
              </w:rPr>
              <w:t xml:space="preserve"> </w:t>
            </w:r>
            <w:r w:rsidR="00BC3729" w:rsidRPr="00BC3729">
              <w:rPr>
                <w:szCs w:val="24"/>
              </w:rPr>
              <w:t>economia</w:t>
            </w:r>
            <w:r w:rsidR="00BC3729">
              <w:rPr>
                <w:szCs w:val="24"/>
              </w:rPr>
              <w:t>. Respectivele d</w:t>
            </w:r>
            <w:r w:rsidR="005C06A8">
              <w:rPr>
                <w:szCs w:val="24"/>
              </w:rPr>
              <w:t>ocumente de politici</w:t>
            </w:r>
            <w:r w:rsidR="00BC3729">
              <w:rPr>
                <w:szCs w:val="24"/>
              </w:rPr>
              <w:t>,</w:t>
            </w:r>
            <w:r w:rsidR="005C06A8">
              <w:rPr>
                <w:szCs w:val="24"/>
              </w:rPr>
              <w:t xml:space="preserve"> în vigoare </w:t>
            </w:r>
            <w:r w:rsidR="00BC3729">
              <w:rPr>
                <w:szCs w:val="24"/>
              </w:rPr>
              <w:t xml:space="preserve">și </w:t>
            </w:r>
            <w:r w:rsidR="005C06A8">
              <w:rPr>
                <w:szCs w:val="24"/>
              </w:rPr>
              <w:t>care stabilesc ținte relevante contextului de mai sus, ori vin să exprime angajamentul autorităților naționale/ statului de a promova dezvoltarea durabilă, sunt listate mai jos:</w:t>
            </w:r>
          </w:p>
          <w:p w14:paraId="79634954" w14:textId="55BABB98" w:rsidR="004945B4" w:rsidRDefault="005C06A8" w:rsidP="00BE19C1">
            <w:pPr>
              <w:pStyle w:val="ListParagraph"/>
              <w:numPr>
                <w:ilvl w:val="0"/>
                <w:numId w:val="4"/>
              </w:numPr>
              <w:ind w:left="0"/>
              <w:contextualSpacing w:val="0"/>
              <w:rPr>
                <w:szCs w:val="24"/>
              </w:rPr>
            </w:pPr>
            <w:r w:rsidRPr="004945B4">
              <w:rPr>
                <w:i/>
                <w:iCs/>
                <w:szCs w:val="24"/>
              </w:rPr>
              <w:t>Contribuția Națională Determinată Actualizată a Republicii Moldova</w:t>
            </w:r>
            <w:r w:rsidR="00431A20">
              <w:rPr>
                <w:rStyle w:val="FootnoteReference"/>
                <w:szCs w:val="24"/>
              </w:rPr>
              <w:footnoteReference w:id="2"/>
            </w:r>
            <w:r w:rsidRPr="004945B4">
              <w:rPr>
                <w:szCs w:val="24"/>
              </w:rPr>
              <w:t xml:space="preserve"> - </w:t>
            </w:r>
            <w:r w:rsidR="009638F2" w:rsidRPr="004945B4">
              <w:rPr>
                <w:szCs w:val="24"/>
              </w:rPr>
              <w:t xml:space="preserve">document care stabilește eficiența energetica și energia regenerabilă drept unii din principalii piloni din instrumentarul </w:t>
            </w:r>
            <w:r w:rsidR="00BC3729">
              <w:rPr>
                <w:szCs w:val="24"/>
              </w:rPr>
              <w:t>Guver</w:t>
            </w:r>
            <w:r w:rsidR="000B78FB">
              <w:rPr>
                <w:szCs w:val="24"/>
              </w:rPr>
              <w:t>n</w:t>
            </w:r>
            <w:r w:rsidR="00BC3729">
              <w:rPr>
                <w:szCs w:val="24"/>
              </w:rPr>
              <w:t>ului</w:t>
            </w:r>
            <w:r w:rsidR="009638F2" w:rsidRPr="004945B4">
              <w:rPr>
                <w:szCs w:val="24"/>
              </w:rPr>
              <w:t xml:space="preserve"> în lupta cu schimbările climatice, și care ar putea sprijini statul în atingerea țintelor în care s-a asumat în contextul Acordului de la Paris</w:t>
            </w:r>
            <w:r w:rsidR="004945B4" w:rsidRPr="004945B4">
              <w:rPr>
                <w:szCs w:val="24"/>
              </w:rPr>
              <w:t xml:space="preserve">. </w:t>
            </w:r>
          </w:p>
          <w:p w14:paraId="14F7E910" w14:textId="18C93CED" w:rsidR="004945B4" w:rsidRDefault="004945B4" w:rsidP="00BE19C1">
            <w:pPr>
              <w:pStyle w:val="ListParagraph"/>
              <w:ind w:left="0"/>
              <w:rPr>
                <w:szCs w:val="24"/>
              </w:rPr>
            </w:pPr>
            <w:r>
              <w:rPr>
                <w:szCs w:val="24"/>
              </w:rPr>
              <w:t>Conform documentului, î</w:t>
            </w:r>
            <w:r w:rsidRPr="004945B4">
              <w:rPr>
                <w:szCs w:val="24"/>
              </w:rPr>
              <w:t xml:space="preserve">n cea de-a </w:t>
            </w:r>
            <w:r>
              <w:rPr>
                <w:szCs w:val="24"/>
              </w:rPr>
              <w:t>d</w:t>
            </w:r>
            <w:r w:rsidRPr="004945B4">
              <w:rPr>
                <w:szCs w:val="24"/>
              </w:rPr>
              <w:t>oua CND, Republica Moldova intenționează să atingă obiective mai</w:t>
            </w:r>
            <w:r>
              <w:rPr>
                <w:szCs w:val="24"/>
              </w:rPr>
              <w:t xml:space="preserve"> </w:t>
            </w:r>
            <w:r w:rsidRPr="004945B4">
              <w:rPr>
                <w:szCs w:val="24"/>
              </w:rPr>
              <w:t>ambițioase decât în prima CND. Obiectivul nou, necondiționat, care cuprinde întreaga</w:t>
            </w:r>
            <w:r w:rsidR="00FC52B6">
              <w:rPr>
                <w:szCs w:val="24"/>
              </w:rPr>
              <w:t xml:space="preserve"> </w:t>
            </w:r>
            <w:r w:rsidRPr="004945B4">
              <w:rPr>
                <w:szCs w:val="24"/>
              </w:rPr>
              <w:t xml:space="preserve">economie a țării, prevede reducerea emisiilor de gaze cu efect de seră cu 70% în anul 2030 </w:t>
            </w:r>
            <w:proofErr w:type="spellStart"/>
            <w:r w:rsidRPr="004945B4">
              <w:rPr>
                <w:szCs w:val="24"/>
              </w:rPr>
              <w:t>faţă</w:t>
            </w:r>
            <w:proofErr w:type="spellEnd"/>
            <w:r>
              <w:rPr>
                <w:szCs w:val="24"/>
              </w:rPr>
              <w:t xml:space="preserve"> </w:t>
            </w:r>
            <w:r w:rsidRPr="004945B4">
              <w:rPr>
                <w:szCs w:val="24"/>
              </w:rPr>
              <w:t>de anul 1990, în loc de 64-67% asumate în CND1.</w:t>
            </w:r>
          </w:p>
          <w:p w14:paraId="3E606C1A" w14:textId="7B331E05" w:rsidR="005C06A8" w:rsidRPr="004945B4" w:rsidRDefault="004945B4" w:rsidP="00FC52B6">
            <w:pPr>
              <w:pStyle w:val="ListParagraph"/>
              <w:spacing w:before="240"/>
              <w:ind w:left="0"/>
              <w:contextualSpacing w:val="0"/>
              <w:rPr>
                <w:szCs w:val="24"/>
              </w:rPr>
            </w:pPr>
            <w:r>
              <w:rPr>
                <w:szCs w:val="24"/>
              </w:rPr>
              <w:t>Î</w:t>
            </w:r>
            <w:r w:rsidRPr="004945B4">
              <w:rPr>
                <w:szCs w:val="24"/>
              </w:rPr>
              <w:t>n ceea ce privește obiectivul condiționat, în loc de 78%, asumate în CND1, angajamentul de reducere exprimat mai sus ar putea fi sporit până la 88% sub nivelul 1990, cu condiția încheierii unui acord global, care ar aborda probleme importante, inclusiv privind resursele financiare la costuri reduse, transferul de tehnologii și cooperare tehnică, accesibilă tuturor, la o scară proporțională cu provocarea cauzată de schimbările climatice globale</w:t>
            </w:r>
            <w:r w:rsidR="00FC52B6">
              <w:rPr>
                <w:szCs w:val="24"/>
              </w:rPr>
              <w:t>.</w:t>
            </w:r>
          </w:p>
          <w:p w14:paraId="275CB348" w14:textId="1A6863C7" w:rsidR="009638F2" w:rsidRDefault="009638F2" w:rsidP="00BE19C1">
            <w:pPr>
              <w:pStyle w:val="ListParagraph"/>
              <w:numPr>
                <w:ilvl w:val="0"/>
                <w:numId w:val="4"/>
              </w:numPr>
              <w:spacing w:before="240"/>
              <w:ind w:left="0"/>
              <w:rPr>
                <w:szCs w:val="24"/>
              </w:rPr>
            </w:pPr>
            <w:r w:rsidRPr="009638F2">
              <w:rPr>
                <w:i/>
                <w:iCs/>
                <w:szCs w:val="24"/>
              </w:rPr>
              <w:t xml:space="preserve">Strategia de Dezvoltare cu Emisii Reduse </w:t>
            </w:r>
            <w:r w:rsidR="00CB4267">
              <w:rPr>
                <w:i/>
                <w:iCs/>
                <w:szCs w:val="24"/>
              </w:rPr>
              <w:t>a Republicii Mo</w:t>
            </w:r>
            <w:r w:rsidR="000B78FB">
              <w:rPr>
                <w:i/>
                <w:iCs/>
                <w:szCs w:val="24"/>
              </w:rPr>
              <w:t>l</w:t>
            </w:r>
            <w:r w:rsidR="00CB4267">
              <w:rPr>
                <w:i/>
                <w:iCs/>
                <w:szCs w:val="24"/>
              </w:rPr>
              <w:t xml:space="preserve">dova </w:t>
            </w:r>
            <w:r w:rsidRPr="009638F2">
              <w:rPr>
                <w:i/>
                <w:iCs/>
                <w:szCs w:val="24"/>
              </w:rPr>
              <w:t>până în anul 2030</w:t>
            </w:r>
            <w:r w:rsidR="00CB4267">
              <w:rPr>
                <w:rStyle w:val="FootnoteReference"/>
                <w:i/>
                <w:iCs/>
                <w:szCs w:val="24"/>
              </w:rPr>
              <w:footnoteReference w:id="3"/>
            </w:r>
            <w:r>
              <w:rPr>
                <w:szCs w:val="24"/>
              </w:rPr>
              <w:t xml:space="preserve"> (în proces de revizuire</w:t>
            </w:r>
            <w:r w:rsidR="00792D4C">
              <w:rPr>
                <w:szCs w:val="24"/>
              </w:rPr>
              <w:t xml:space="preserve"> și ajustare la CND2</w:t>
            </w:r>
            <w:r>
              <w:rPr>
                <w:szCs w:val="24"/>
              </w:rPr>
              <w:t xml:space="preserve">) </w:t>
            </w:r>
            <w:r w:rsidR="00CB4267">
              <w:rPr>
                <w:szCs w:val="24"/>
              </w:rPr>
              <w:t>–</w:t>
            </w:r>
            <w:r>
              <w:rPr>
                <w:szCs w:val="24"/>
              </w:rPr>
              <w:t xml:space="preserve"> </w:t>
            </w:r>
            <w:r w:rsidR="00CB4267">
              <w:rPr>
                <w:szCs w:val="24"/>
              </w:rPr>
              <w:t xml:space="preserve">document de politici elaborat întru </w:t>
            </w:r>
            <w:r w:rsidR="00CB4267" w:rsidRPr="00CB4267">
              <w:rPr>
                <w:szCs w:val="24"/>
              </w:rPr>
              <w:t xml:space="preserve">asigurarea implementării prevederilor </w:t>
            </w:r>
            <w:proofErr w:type="spellStart"/>
            <w:r w:rsidR="00CB4267" w:rsidRPr="00CB4267">
              <w:rPr>
                <w:szCs w:val="24"/>
              </w:rPr>
              <w:t>Convenţiei</w:t>
            </w:r>
            <w:proofErr w:type="spellEnd"/>
            <w:r w:rsidR="00CB4267" w:rsidRPr="00CB4267">
              <w:rPr>
                <w:szCs w:val="24"/>
              </w:rPr>
              <w:t xml:space="preserve">-cadru a </w:t>
            </w:r>
            <w:proofErr w:type="spellStart"/>
            <w:r w:rsidR="00CB4267" w:rsidRPr="00CB4267">
              <w:rPr>
                <w:szCs w:val="24"/>
              </w:rPr>
              <w:t>Organizaţiei</w:t>
            </w:r>
            <w:proofErr w:type="spellEnd"/>
            <w:r w:rsidR="00CB4267" w:rsidRPr="00CB4267">
              <w:rPr>
                <w:szCs w:val="24"/>
              </w:rPr>
              <w:t xml:space="preserve"> </w:t>
            </w:r>
            <w:proofErr w:type="spellStart"/>
            <w:r w:rsidR="00CB4267" w:rsidRPr="00CB4267">
              <w:rPr>
                <w:szCs w:val="24"/>
              </w:rPr>
              <w:t>Naţiunilor</w:t>
            </w:r>
            <w:proofErr w:type="spellEnd"/>
            <w:r w:rsidR="00CB4267" w:rsidRPr="00CB4267">
              <w:rPr>
                <w:szCs w:val="24"/>
              </w:rPr>
              <w:t xml:space="preserve"> Unite cu privire la schimbarea cli</w:t>
            </w:r>
            <w:r w:rsidR="00BB0C0C">
              <w:rPr>
                <w:szCs w:val="24"/>
              </w:rPr>
              <w:t>mei</w:t>
            </w:r>
            <w:r w:rsidR="00CB4267">
              <w:rPr>
                <w:szCs w:val="24"/>
              </w:rPr>
              <w:t xml:space="preserve"> (</w:t>
            </w:r>
            <w:r w:rsidR="00CB4267" w:rsidRPr="00CB4267">
              <w:rPr>
                <w:szCs w:val="24"/>
              </w:rPr>
              <w:t xml:space="preserve">ratificate prin </w:t>
            </w:r>
            <w:proofErr w:type="spellStart"/>
            <w:r w:rsidR="00CB4267" w:rsidRPr="00CB4267">
              <w:rPr>
                <w:szCs w:val="24"/>
              </w:rPr>
              <w:t>Hotărîrea</w:t>
            </w:r>
            <w:proofErr w:type="spellEnd"/>
            <w:r w:rsidR="00CB4267" w:rsidRPr="00CB4267">
              <w:rPr>
                <w:szCs w:val="24"/>
              </w:rPr>
              <w:t xml:space="preserve"> Parlamentului nr. 404</w:t>
            </w:r>
            <w:r w:rsidR="00CB4267">
              <w:rPr>
                <w:szCs w:val="24"/>
              </w:rPr>
              <w:t xml:space="preserve">/ </w:t>
            </w:r>
            <w:r w:rsidR="00CB4267" w:rsidRPr="00CB4267">
              <w:rPr>
                <w:szCs w:val="24"/>
              </w:rPr>
              <w:t>1995</w:t>
            </w:r>
            <w:r w:rsidR="00CB4267">
              <w:rPr>
                <w:szCs w:val="24"/>
              </w:rPr>
              <w:t>)</w:t>
            </w:r>
            <w:r w:rsidR="00CB4267" w:rsidRPr="00CB4267">
              <w:rPr>
                <w:szCs w:val="24"/>
              </w:rPr>
              <w:t xml:space="preserve">, a mecanismelor </w:t>
            </w:r>
            <w:proofErr w:type="spellStart"/>
            <w:r w:rsidR="00CB4267" w:rsidRPr="00CB4267">
              <w:rPr>
                <w:szCs w:val="24"/>
              </w:rPr>
              <w:t>şi</w:t>
            </w:r>
            <w:proofErr w:type="spellEnd"/>
            <w:r w:rsidR="00CB4267" w:rsidRPr="00CB4267">
              <w:rPr>
                <w:szCs w:val="24"/>
              </w:rPr>
              <w:t xml:space="preserve"> prevederilor Protocolului de la Kyoto la </w:t>
            </w:r>
            <w:proofErr w:type="spellStart"/>
            <w:r w:rsidR="00CB4267" w:rsidRPr="00CB4267">
              <w:rPr>
                <w:szCs w:val="24"/>
              </w:rPr>
              <w:t>Convenţia</w:t>
            </w:r>
            <w:proofErr w:type="spellEnd"/>
            <w:r w:rsidR="00CB4267" w:rsidRPr="00CB4267">
              <w:rPr>
                <w:szCs w:val="24"/>
              </w:rPr>
              <w:t>-cadru a O</w:t>
            </w:r>
            <w:r w:rsidR="00CB4267">
              <w:rPr>
                <w:szCs w:val="24"/>
              </w:rPr>
              <w:t xml:space="preserve">NU </w:t>
            </w:r>
            <w:r w:rsidR="00CB4267" w:rsidRPr="00CB4267">
              <w:rPr>
                <w:szCs w:val="24"/>
              </w:rPr>
              <w:t>cu privire la schimbarea cli</w:t>
            </w:r>
            <w:r w:rsidR="007C1773">
              <w:rPr>
                <w:szCs w:val="24"/>
              </w:rPr>
              <w:t>mei</w:t>
            </w:r>
            <w:r w:rsidR="00CB4267">
              <w:rPr>
                <w:szCs w:val="24"/>
              </w:rPr>
              <w:t xml:space="preserve"> (</w:t>
            </w:r>
            <w:r w:rsidR="00CB4267" w:rsidRPr="00CB4267">
              <w:rPr>
                <w:szCs w:val="24"/>
              </w:rPr>
              <w:t>la care Republica Moldova a aderat prin Legea nr. 29</w:t>
            </w:r>
            <w:r w:rsidR="00CB4267">
              <w:rPr>
                <w:szCs w:val="24"/>
              </w:rPr>
              <w:t xml:space="preserve">/ </w:t>
            </w:r>
            <w:r w:rsidR="00CB4267" w:rsidRPr="00CB4267">
              <w:rPr>
                <w:szCs w:val="24"/>
              </w:rPr>
              <w:t>2003</w:t>
            </w:r>
            <w:r w:rsidR="00CB4267">
              <w:rPr>
                <w:szCs w:val="24"/>
              </w:rPr>
              <w:t xml:space="preserve">) </w:t>
            </w:r>
            <w:r w:rsidR="00CB4267" w:rsidRPr="00CB4267">
              <w:rPr>
                <w:szCs w:val="24"/>
              </w:rPr>
              <w:t xml:space="preserve">precum </w:t>
            </w:r>
            <w:proofErr w:type="spellStart"/>
            <w:r w:rsidR="00CB4267" w:rsidRPr="00CB4267">
              <w:rPr>
                <w:szCs w:val="24"/>
              </w:rPr>
              <w:t>şi</w:t>
            </w:r>
            <w:proofErr w:type="spellEnd"/>
            <w:r w:rsidR="00CB4267" w:rsidRPr="00CB4267">
              <w:rPr>
                <w:szCs w:val="24"/>
              </w:rPr>
              <w:t xml:space="preserve"> Acordului de Asociere între Republica Moldova, pe de o parte, </w:t>
            </w:r>
            <w:proofErr w:type="spellStart"/>
            <w:r w:rsidR="00CB4267" w:rsidRPr="00CB4267">
              <w:rPr>
                <w:szCs w:val="24"/>
              </w:rPr>
              <w:t>şi</w:t>
            </w:r>
            <w:proofErr w:type="spellEnd"/>
            <w:r w:rsidR="00CB4267" w:rsidRPr="00CB4267">
              <w:rPr>
                <w:szCs w:val="24"/>
              </w:rPr>
              <w:t xml:space="preserve"> Uniunea Europeană </w:t>
            </w:r>
            <w:proofErr w:type="spellStart"/>
            <w:r w:rsidR="00CB4267" w:rsidRPr="00CB4267">
              <w:rPr>
                <w:szCs w:val="24"/>
              </w:rPr>
              <w:t>şi</w:t>
            </w:r>
            <w:proofErr w:type="spellEnd"/>
            <w:r w:rsidR="00CB4267" w:rsidRPr="00CB4267">
              <w:rPr>
                <w:szCs w:val="24"/>
              </w:rPr>
              <w:t xml:space="preserve"> Comunitatea Europeană a Energiei Atomice </w:t>
            </w:r>
            <w:proofErr w:type="spellStart"/>
            <w:r w:rsidR="00CB4267" w:rsidRPr="00CB4267">
              <w:rPr>
                <w:szCs w:val="24"/>
              </w:rPr>
              <w:t>şi</w:t>
            </w:r>
            <w:proofErr w:type="spellEnd"/>
            <w:r w:rsidR="00CB4267" w:rsidRPr="00CB4267">
              <w:rPr>
                <w:szCs w:val="24"/>
              </w:rPr>
              <w:t xml:space="preserve"> statele membre ale acestora, pe de altă parte</w:t>
            </w:r>
            <w:r w:rsidR="00CB4267">
              <w:rPr>
                <w:szCs w:val="24"/>
              </w:rPr>
              <w:t xml:space="preserve"> (</w:t>
            </w:r>
            <w:r w:rsidR="00CB4267" w:rsidRPr="00CB4267">
              <w:rPr>
                <w:szCs w:val="24"/>
              </w:rPr>
              <w:t>adoptat prin Legea nr. 112</w:t>
            </w:r>
            <w:r w:rsidR="00CB4267">
              <w:rPr>
                <w:szCs w:val="24"/>
              </w:rPr>
              <w:t>/</w:t>
            </w:r>
            <w:r w:rsidR="00CB4267" w:rsidRPr="00CB4267">
              <w:rPr>
                <w:szCs w:val="24"/>
              </w:rPr>
              <w:t>2014</w:t>
            </w:r>
            <w:r w:rsidR="00CB4267">
              <w:rPr>
                <w:szCs w:val="24"/>
              </w:rPr>
              <w:t xml:space="preserve">). </w:t>
            </w:r>
          </w:p>
          <w:p w14:paraId="0B556DEE" w14:textId="3768703F" w:rsidR="00CB4267" w:rsidRDefault="07DD546D" w:rsidP="00BE19C1">
            <w:pPr>
              <w:pStyle w:val="ListParagraph"/>
              <w:spacing w:before="240"/>
              <w:ind w:left="0"/>
              <w:contextualSpacing w:val="0"/>
            </w:pPr>
            <w:r>
              <w:t xml:space="preserve">Planul de acțiuni la respectiva Strategie stabilește că, în vederea atingerii obiectivului necondiționat de reducere a volumului emisiilor de gaze cu efect de </w:t>
            </w:r>
            <w:r w:rsidRPr="00FC52B6">
              <w:t>seră /GES/ către orizontul de timp 2030, cca. 630 MW de capacități de generare a energiei electrice trebuie instalate (400 MW instalații eoliene, 200 MW instalații solare fotovoltaice și 25 MW instalații pe bază de biogaz).</w:t>
            </w:r>
            <w:r>
              <w:t xml:space="preserve"> De precizat că revizuirea Contribuției Naționale Determinate impune actualizarea inclusiv a respectivei Strategii și, implicit, a capacităților SER pe care se va baza Republica Moldova întru atingerea obiectivelor asumate.</w:t>
            </w:r>
          </w:p>
          <w:p w14:paraId="7600E6BB" w14:textId="0C1A25F5" w:rsidR="002A262D" w:rsidRPr="002A262D" w:rsidRDefault="00313949" w:rsidP="00BE19C1">
            <w:pPr>
              <w:pStyle w:val="ListParagraph"/>
              <w:numPr>
                <w:ilvl w:val="0"/>
                <w:numId w:val="4"/>
              </w:numPr>
              <w:ind w:left="0"/>
              <w:contextualSpacing w:val="0"/>
              <w:rPr>
                <w:i/>
                <w:iCs/>
                <w:szCs w:val="24"/>
              </w:rPr>
            </w:pPr>
            <w:r w:rsidRPr="00313949">
              <w:rPr>
                <w:i/>
                <w:iCs/>
                <w:szCs w:val="24"/>
              </w:rPr>
              <w:lastRenderedPageBreak/>
              <w:t>Strategia Energetică a Republicii Moldova până în anul 2030</w:t>
            </w:r>
            <w:r w:rsidR="004C7957">
              <w:rPr>
                <w:i/>
                <w:iCs/>
                <w:szCs w:val="24"/>
              </w:rPr>
              <w:t xml:space="preserve"> </w:t>
            </w:r>
            <w:r w:rsidR="004C7957" w:rsidRPr="004C7957">
              <w:rPr>
                <w:szCs w:val="24"/>
              </w:rPr>
              <w:t>(în proces de revizuire)</w:t>
            </w:r>
            <w:r>
              <w:rPr>
                <w:i/>
                <w:iCs/>
                <w:szCs w:val="24"/>
              </w:rPr>
              <w:t xml:space="preserve"> – </w:t>
            </w:r>
            <w:r>
              <w:rPr>
                <w:szCs w:val="24"/>
              </w:rPr>
              <w:t xml:space="preserve">document sectorial care stabilește dezvoltarea durabilă/ sustenabilă drept unul din obiectivele de bază ale politicii energetice naționale – deziderat a fi realizat </w:t>
            </w:r>
            <w:r w:rsidR="00A64A68">
              <w:rPr>
                <w:szCs w:val="24"/>
              </w:rPr>
              <w:t xml:space="preserve">prin promovarea eficienței energetice, cât și a investițiilor în energia regenerabilă. </w:t>
            </w:r>
          </w:p>
          <w:p w14:paraId="221360A1" w14:textId="287FD5DD" w:rsidR="00313949" w:rsidRDefault="00A64A68" w:rsidP="00BE19C1">
            <w:pPr>
              <w:pStyle w:val="ListParagraph"/>
              <w:ind w:left="0"/>
              <w:contextualSpacing w:val="0"/>
              <w:rPr>
                <w:szCs w:val="24"/>
              </w:rPr>
            </w:pPr>
            <w:r>
              <w:rPr>
                <w:szCs w:val="24"/>
              </w:rPr>
              <w:t xml:space="preserve">De altfel, </w:t>
            </w:r>
            <w:r w:rsidR="002A262D">
              <w:rPr>
                <w:szCs w:val="24"/>
              </w:rPr>
              <w:t xml:space="preserve">Strategia stabilește drept obiectiv sectorial </w:t>
            </w:r>
            <w:r w:rsidR="002A262D" w:rsidRPr="002A262D">
              <w:rPr>
                <w:szCs w:val="24"/>
              </w:rPr>
              <w:t>crearea</w:t>
            </w:r>
            <w:r w:rsidR="002A262D">
              <w:rPr>
                <w:szCs w:val="24"/>
              </w:rPr>
              <w:t xml:space="preserve"> unei</w:t>
            </w:r>
            <w:r w:rsidR="002A262D" w:rsidRPr="002A262D">
              <w:rPr>
                <w:szCs w:val="24"/>
              </w:rPr>
              <w:t xml:space="preserve"> platforme</w:t>
            </w:r>
            <w:r w:rsidR="002A262D">
              <w:rPr>
                <w:szCs w:val="24"/>
              </w:rPr>
              <w:t xml:space="preserve"> </w:t>
            </w:r>
            <w:r w:rsidR="002A262D" w:rsidRPr="002A262D">
              <w:rPr>
                <w:szCs w:val="24"/>
              </w:rPr>
              <w:t>moderne de generare a energiei electrice</w:t>
            </w:r>
            <w:r w:rsidR="002A262D">
              <w:rPr>
                <w:szCs w:val="24"/>
              </w:rPr>
              <w:t xml:space="preserve">, inclusiv prin promovarea regenerabilelor, astfel încât să fie asigurată o </w:t>
            </w:r>
            <w:r w:rsidR="002A262D" w:rsidRPr="002A262D">
              <w:rPr>
                <w:szCs w:val="24"/>
              </w:rPr>
              <w:t>creștere</w:t>
            </w:r>
            <w:r w:rsidR="002A262D">
              <w:rPr>
                <w:szCs w:val="24"/>
              </w:rPr>
              <w:t xml:space="preserve"> </w:t>
            </w:r>
            <w:r w:rsidR="002A262D" w:rsidRPr="002A262D">
              <w:rPr>
                <w:szCs w:val="24"/>
              </w:rPr>
              <w:t>a ponderii generării energiei electrice din surse regenerabile la peste 10% din consum</w:t>
            </w:r>
            <w:r w:rsidR="002A262D">
              <w:rPr>
                <w:szCs w:val="24"/>
              </w:rPr>
              <w:t xml:space="preserve">. În termeni </w:t>
            </w:r>
            <w:r w:rsidR="002A262D" w:rsidRPr="002A262D">
              <w:rPr>
                <w:szCs w:val="24"/>
              </w:rPr>
              <w:t xml:space="preserve">absoluți, documentul </w:t>
            </w:r>
            <w:r w:rsidR="004C7957">
              <w:rPr>
                <w:szCs w:val="24"/>
              </w:rPr>
              <w:t xml:space="preserve">planifică/ </w:t>
            </w:r>
            <w:r w:rsidR="002A262D" w:rsidRPr="002A262D">
              <w:rPr>
                <w:szCs w:val="24"/>
              </w:rPr>
              <w:t>admite mobilizarea unor investiții în capacități eoliene și solare fotovoltaice de cca. 400 MW</w:t>
            </w:r>
            <w:r w:rsidR="0014668B">
              <w:rPr>
                <w:szCs w:val="24"/>
              </w:rPr>
              <w:t>, corelat cu investiții în surse pe gaze naturale, capabile să asigure echilibrarea sistemului electroenergetic</w:t>
            </w:r>
            <w:r w:rsidR="002A262D">
              <w:rPr>
                <w:szCs w:val="24"/>
              </w:rPr>
              <w:t>.</w:t>
            </w:r>
          </w:p>
          <w:p w14:paraId="6DD378E5" w14:textId="2A744F20" w:rsidR="00792D4C" w:rsidRPr="006604CD" w:rsidRDefault="006604CD" w:rsidP="00BE19C1">
            <w:pPr>
              <w:rPr>
                <w:szCs w:val="24"/>
              </w:rPr>
            </w:pPr>
            <w:r>
              <w:rPr>
                <w:szCs w:val="24"/>
              </w:rPr>
              <w:t>U</w:t>
            </w:r>
            <w:r w:rsidRPr="00622355">
              <w:rPr>
                <w:szCs w:val="24"/>
              </w:rPr>
              <w:t>n alt document</w:t>
            </w:r>
            <w:r>
              <w:rPr>
                <w:i/>
                <w:iCs/>
                <w:szCs w:val="24"/>
              </w:rPr>
              <w:t xml:space="preserve"> </w:t>
            </w:r>
            <w:r w:rsidRPr="00622355">
              <w:rPr>
                <w:szCs w:val="24"/>
              </w:rPr>
              <w:t>sectorial aflat la etapa de elaborare</w:t>
            </w:r>
            <w:r w:rsidRPr="00622355">
              <w:rPr>
                <w:i/>
                <w:iCs/>
                <w:szCs w:val="24"/>
              </w:rPr>
              <w:t xml:space="preserve"> </w:t>
            </w:r>
            <w:r w:rsidRPr="00622355">
              <w:rPr>
                <w:szCs w:val="24"/>
              </w:rPr>
              <w:t xml:space="preserve">de </w:t>
            </w:r>
            <w:r>
              <w:rPr>
                <w:szCs w:val="24"/>
              </w:rPr>
              <w:t xml:space="preserve">echipele </w:t>
            </w:r>
            <w:r w:rsidR="00690FE9">
              <w:rPr>
                <w:szCs w:val="24"/>
              </w:rPr>
              <w:t>MIDR</w:t>
            </w:r>
            <w:r w:rsidRPr="00622355">
              <w:rPr>
                <w:szCs w:val="24"/>
              </w:rPr>
              <w:t xml:space="preserve"> și MADRM</w:t>
            </w:r>
            <w:r w:rsidRPr="002F7885">
              <w:rPr>
                <w:szCs w:val="24"/>
                <w:lang w:val="it-IT"/>
              </w:rPr>
              <w:t xml:space="preserve"> </w:t>
            </w:r>
            <w:r w:rsidRPr="006604CD">
              <w:rPr>
                <w:szCs w:val="24"/>
              </w:rPr>
              <w:t>este</w:t>
            </w:r>
            <w:r>
              <w:rPr>
                <w:i/>
                <w:iCs/>
                <w:szCs w:val="24"/>
              </w:rPr>
              <w:t xml:space="preserve"> </w:t>
            </w:r>
            <w:r w:rsidR="00792D4C" w:rsidRPr="00622355">
              <w:rPr>
                <w:i/>
                <w:iCs/>
                <w:szCs w:val="24"/>
              </w:rPr>
              <w:t>Planul național de acțiuni (integrat) în domeniul energiei și mediului până în anul 2030</w:t>
            </w:r>
            <w:r>
              <w:rPr>
                <w:i/>
                <w:iCs/>
                <w:szCs w:val="24"/>
              </w:rPr>
              <w:t xml:space="preserve"> </w:t>
            </w:r>
            <w:r w:rsidRPr="006604CD">
              <w:rPr>
                <w:szCs w:val="24"/>
              </w:rPr>
              <w:t xml:space="preserve">– acesta este relevant prin faptul că </w:t>
            </w:r>
            <w:r w:rsidR="00792D4C" w:rsidRPr="006604CD">
              <w:rPr>
                <w:szCs w:val="24"/>
              </w:rPr>
              <w:t>„impune</w:t>
            </w:r>
            <w:r w:rsidR="00792D4C" w:rsidRPr="00622355">
              <w:rPr>
                <w:szCs w:val="24"/>
              </w:rPr>
              <w:t>” elaborarea unei viziuni comune și împărtășite de dezvoltare durabilă către orizontul de timp 2030 prin corelarea politicilor de mediu și celor energetice</w:t>
            </w:r>
            <w:r>
              <w:rPr>
                <w:szCs w:val="24"/>
              </w:rPr>
              <w:t>, în special componenta ”regenerabile”.</w:t>
            </w:r>
          </w:p>
          <w:p w14:paraId="56E80197" w14:textId="73E5613F" w:rsidR="009926C8" w:rsidRDefault="006604CD" w:rsidP="00BE19C1">
            <w:pPr>
              <w:rPr>
                <w:szCs w:val="24"/>
              </w:rPr>
            </w:pPr>
            <w:r>
              <w:rPr>
                <w:szCs w:val="24"/>
              </w:rPr>
              <w:t>De precizat că, a</w:t>
            </w:r>
            <w:r w:rsidR="009926C8" w:rsidRPr="009926C8">
              <w:rPr>
                <w:szCs w:val="24"/>
              </w:rPr>
              <w:t>tât Strategia Energetică</w:t>
            </w:r>
            <w:r w:rsidR="009926C8">
              <w:rPr>
                <w:szCs w:val="24"/>
              </w:rPr>
              <w:t xml:space="preserve"> a Republicii Moldova</w:t>
            </w:r>
            <w:r w:rsidR="009926C8" w:rsidRPr="009926C8">
              <w:rPr>
                <w:szCs w:val="24"/>
              </w:rPr>
              <w:t>, cât și Planul național de acțiuni (integrat) în domeniul energiei și mediului</w:t>
            </w:r>
            <w:r w:rsidR="009926C8">
              <w:rPr>
                <w:szCs w:val="24"/>
              </w:rPr>
              <w:t>, urmează să prezinte prognozele consumului de energie pentru anul 2030, pentru scenariul de bază (</w:t>
            </w:r>
            <w:r w:rsidR="009926C8" w:rsidRPr="009926C8">
              <w:rPr>
                <w:i/>
                <w:iCs/>
                <w:szCs w:val="24"/>
              </w:rPr>
              <w:t xml:space="preserve">business as </w:t>
            </w:r>
            <w:proofErr w:type="spellStart"/>
            <w:r w:rsidR="009926C8" w:rsidRPr="009926C8">
              <w:rPr>
                <w:i/>
                <w:iCs/>
                <w:szCs w:val="24"/>
              </w:rPr>
              <w:t>usual</w:t>
            </w:r>
            <w:proofErr w:type="spellEnd"/>
            <w:r w:rsidR="009926C8">
              <w:rPr>
                <w:szCs w:val="24"/>
              </w:rPr>
              <w:t xml:space="preserve">), cât și un scenariu de dezvoltare durabilă, cu prioritate sporită acordată eficienței energetice și energiei regenerabile. Atingerea obiectivului de dezvoltare sustenabilă presupune promovarea agresivă a consumului rațional de energie și substituirea combustibililor fosili cu cei regenerabili. </w:t>
            </w:r>
          </w:p>
          <w:p w14:paraId="16CB5D75" w14:textId="2F215327" w:rsidR="00E451F5" w:rsidRPr="009926C8" w:rsidRDefault="009926C8" w:rsidP="00BE19C1">
            <w:pPr>
              <w:rPr>
                <w:szCs w:val="24"/>
              </w:rPr>
            </w:pPr>
            <w:r>
              <w:rPr>
                <w:szCs w:val="24"/>
              </w:rPr>
              <w:t xml:space="preserve">Prin urmare, atât viziunea </w:t>
            </w:r>
            <w:r w:rsidR="00690FE9">
              <w:rPr>
                <w:szCs w:val="24"/>
              </w:rPr>
              <w:t>MIDR</w:t>
            </w:r>
            <w:r>
              <w:rPr>
                <w:szCs w:val="24"/>
              </w:rPr>
              <w:t xml:space="preserve"> asupra orizontului </w:t>
            </w:r>
            <w:r w:rsidR="00E451F5">
              <w:rPr>
                <w:szCs w:val="24"/>
              </w:rPr>
              <w:t xml:space="preserve">de timp </w:t>
            </w:r>
            <w:r>
              <w:rPr>
                <w:szCs w:val="24"/>
              </w:rPr>
              <w:t>2030, cât și rezultatele preliminare ale modelărilor în TIMES și ANTARES au permis să conchidem asupra faptului că Republica Moldova poate și trebuie să sprijine dezvoltarea sectorului energiei regenerabile</w:t>
            </w:r>
            <w:r w:rsidR="00E451F5">
              <w:rPr>
                <w:szCs w:val="24"/>
              </w:rPr>
              <w:t xml:space="preserve">, aceasta urmând să vină cu o contribuție puternică la atingerea obiectivelor de dezvoltare durabilă. </w:t>
            </w:r>
          </w:p>
          <w:p w14:paraId="6F4AF26B" w14:textId="47D5BAFA" w:rsidR="00FA3AAA" w:rsidRDefault="004C7957" w:rsidP="00BE19C1">
            <w:pPr>
              <w:rPr>
                <w:szCs w:val="24"/>
              </w:rPr>
            </w:pPr>
            <w:r>
              <w:rPr>
                <w:szCs w:val="24"/>
              </w:rPr>
              <w:t xml:space="preserve">Prin urmare, în vederea confirmării intențiilor statului în asigurarea unei dezvoltări durabile a Republicii Moldova către orizontul </w:t>
            </w:r>
            <w:r w:rsidR="00E451F5">
              <w:rPr>
                <w:szCs w:val="24"/>
              </w:rPr>
              <w:t>amintit</w:t>
            </w:r>
            <w:r>
              <w:rPr>
                <w:szCs w:val="24"/>
              </w:rPr>
              <w:t xml:space="preserve">, </w:t>
            </w:r>
            <w:r w:rsidR="00995848">
              <w:rPr>
                <w:szCs w:val="24"/>
              </w:rPr>
              <w:t>în special pentru sectorul valorificării potențialului de energie regenerabilă al țării, e</w:t>
            </w:r>
            <w:r>
              <w:rPr>
                <w:szCs w:val="24"/>
              </w:rPr>
              <w:t xml:space="preserve">ste nevoie </w:t>
            </w:r>
            <w:r w:rsidR="008811C6">
              <w:rPr>
                <w:szCs w:val="24"/>
              </w:rPr>
              <w:t>ca mesaje clare cu privire la intenția Guvernului pentru susținerea acestui sector să fie transmise</w:t>
            </w:r>
            <w:r w:rsidR="00FA3AAA">
              <w:rPr>
                <w:szCs w:val="24"/>
              </w:rPr>
              <w:t xml:space="preserve">, </w:t>
            </w:r>
            <w:r w:rsidR="00995848">
              <w:rPr>
                <w:szCs w:val="24"/>
              </w:rPr>
              <w:t xml:space="preserve">cu elemente de predictibilitate sporită, pentru un minim de 5 ani. Acest lucru trebuie realizat într-o manieră de o transparență maximă, </w:t>
            </w:r>
            <w:r w:rsidR="00FA3AAA">
              <w:rPr>
                <w:szCs w:val="24"/>
              </w:rPr>
              <w:t>i</w:t>
            </w:r>
            <w:r w:rsidR="008811C6">
              <w:rPr>
                <w:szCs w:val="24"/>
              </w:rPr>
              <w:t xml:space="preserve">ar </w:t>
            </w:r>
            <w:r w:rsidR="00FC52B6">
              <w:rPr>
                <w:szCs w:val="24"/>
              </w:rPr>
              <w:t>aprobarea unei HG pe domeniu pentru o perioadă de 5 ani es</w:t>
            </w:r>
            <w:r w:rsidR="008811C6">
              <w:rPr>
                <w:szCs w:val="24"/>
              </w:rPr>
              <w:t xml:space="preserve">te tocmai instrumentul </w:t>
            </w:r>
            <w:r w:rsidR="00FA3AAA">
              <w:rPr>
                <w:szCs w:val="24"/>
              </w:rPr>
              <w:t>cel mai recomandat de utilizat</w:t>
            </w:r>
            <w:r w:rsidR="00995848">
              <w:rPr>
                <w:szCs w:val="24"/>
              </w:rPr>
              <w:t>.</w:t>
            </w:r>
          </w:p>
          <w:p w14:paraId="50553D36" w14:textId="53ECDE02" w:rsidR="00995848" w:rsidRDefault="00995848" w:rsidP="00BE19C1">
            <w:pPr>
              <w:rPr>
                <w:szCs w:val="24"/>
              </w:rPr>
            </w:pPr>
            <w:r>
              <w:rPr>
                <w:szCs w:val="24"/>
              </w:rPr>
              <w:t xml:space="preserve">Termenul de 5 ani este justificat de argumentele aduse mai sus, inclusiv de faptul că anul 2025, pe lângă indicarea mijlocului deceniului, ar urma să fie anul obținerii primelor beneficii ale proiectelor majore de infrastructură electroenergetică </w:t>
            </w:r>
            <w:r w:rsidR="00FC52B6">
              <w:rPr>
                <w:szCs w:val="24"/>
              </w:rPr>
              <w:t xml:space="preserve">inițiate/ </w:t>
            </w:r>
            <w:r>
              <w:rPr>
                <w:szCs w:val="24"/>
              </w:rPr>
              <w:t>implementate la zi de Guvern. Pe lângă realizarea/ schimbul fluxurilor de energie cu sistemul electroenergetic al României și, implicit al UE, către anul 2025, piața de energie electrică a Republicii Moldova ar urmă să prindă contur și lichiditate.</w:t>
            </w:r>
          </w:p>
          <w:p w14:paraId="59D858FD" w14:textId="34A09A67" w:rsidR="00622355" w:rsidRDefault="00995848" w:rsidP="00BE19C1">
            <w:pPr>
              <w:rPr>
                <w:szCs w:val="24"/>
              </w:rPr>
            </w:pPr>
            <w:r>
              <w:rPr>
                <w:szCs w:val="24"/>
              </w:rPr>
              <w:t xml:space="preserve">De notat că </w:t>
            </w:r>
            <w:r w:rsidR="00BA7F6F">
              <w:rPr>
                <w:szCs w:val="24"/>
              </w:rPr>
              <w:t xml:space="preserve">estimările </w:t>
            </w:r>
            <w:r w:rsidR="00690FE9">
              <w:rPr>
                <w:szCs w:val="24"/>
              </w:rPr>
              <w:t>MIDR</w:t>
            </w:r>
            <w:r w:rsidR="00C70CC7">
              <w:rPr>
                <w:szCs w:val="24"/>
              </w:rPr>
              <w:t xml:space="preserve"> </w:t>
            </w:r>
            <w:r w:rsidR="00BA7F6F">
              <w:rPr>
                <w:szCs w:val="24"/>
              </w:rPr>
              <w:t xml:space="preserve">privind evoluțiile sectorului energetic </w:t>
            </w:r>
            <w:r w:rsidR="00C70CC7">
              <w:rPr>
                <w:szCs w:val="24"/>
              </w:rPr>
              <w:t xml:space="preserve">către </w:t>
            </w:r>
            <w:r>
              <w:rPr>
                <w:szCs w:val="24"/>
              </w:rPr>
              <w:t xml:space="preserve">anul 2030, inclusiv </w:t>
            </w:r>
            <w:r w:rsidR="00C70CC7">
              <w:rPr>
                <w:szCs w:val="24"/>
              </w:rPr>
              <w:t xml:space="preserve">viziunea asupra </w:t>
            </w:r>
            <w:r w:rsidR="00BA7F6F">
              <w:rPr>
                <w:szCs w:val="24"/>
              </w:rPr>
              <w:t xml:space="preserve">obiectivelor anului </w:t>
            </w:r>
            <w:r w:rsidR="00C70CC7">
              <w:rPr>
                <w:szCs w:val="24"/>
              </w:rPr>
              <w:t xml:space="preserve">2050, ar urma să fie făcute publice </w:t>
            </w:r>
            <w:r w:rsidR="00222440">
              <w:rPr>
                <w:szCs w:val="24"/>
              </w:rPr>
              <w:t>și c</w:t>
            </w:r>
            <w:r w:rsidR="00C70CC7">
              <w:rPr>
                <w:szCs w:val="24"/>
              </w:rPr>
              <w:t>onsulta</w:t>
            </w:r>
            <w:r w:rsidR="00222440">
              <w:rPr>
                <w:szCs w:val="24"/>
              </w:rPr>
              <w:t xml:space="preserve">te </w:t>
            </w:r>
            <w:r w:rsidR="00C70CC7">
              <w:rPr>
                <w:szCs w:val="24"/>
              </w:rPr>
              <w:t>public</w:t>
            </w:r>
            <w:r w:rsidR="00222440">
              <w:rPr>
                <w:szCs w:val="24"/>
              </w:rPr>
              <w:t xml:space="preserve"> în</w:t>
            </w:r>
            <w:r w:rsidR="00622355">
              <w:rPr>
                <w:szCs w:val="24"/>
              </w:rPr>
              <w:t xml:space="preserve"> anul 202</w:t>
            </w:r>
            <w:r w:rsidR="007A60CA">
              <w:rPr>
                <w:szCs w:val="24"/>
              </w:rPr>
              <w:t>2</w:t>
            </w:r>
            <w:r w:rsidR="00622355">
              <w:rPr>
                <w:szCs w:val="24"/>
              </w:rPr>
              <w:t>.</w:t>
            </w:r>
          </w:p>
          <w:p w14:paraId="33D7943A" w14:textId="0F3B37BD" w:rsidR="00A453A8" w:rsidRDefault="00E451F5" w:rsidP="00BE19C1">
            <w:pPr>
              <w:rPr>
                <w:szCs w:val="24"/>
              </w:rPr>
            </w:pPr>
            <w:r>
              <w:rPr>
                <w:szCs w:val="24"/>
              </w:rPr>
              <w:t xml:space="preserve">Tabelul de mai jos vine cu o evaluare a </w:t>
            </w:r>
            <w:r w:rsidR="00A453A8">
              <w:rPr>
                <w:szCs w:val="24"/>
              </w:rPr>
              <w:t xml:space="preserve">aportului pe care l-ar putea aduce versiunea </w:t>
            </w:r>
            <w:r w:rsidR="00222440">
              <w:rPr>
                <w:szCs w:val="24"/>
              </w:rPr>
              <w:t xml:space="preserve">curentă a </w:t>
            </w:r>
            <w:r w:rsidR="00A453A8">
              <w:rPr>
                <w:szCs w:val="24"/>
              </w:rPr>
              <w:t xml:space="preserve">HG </w:t>
            </w:r>
            <w:r w:rsidR="00222440">
              <w:rPr>
                <w:szCs w:val="24"/>
              </w:rPr>
              <w:t>ș</w:t>
            </w:r>
            <w:r w:rsidR="00A453A8">
              <w:rPr>
                <w:szCs w:val="24"/>
              </w:rPr>
              <w:t xml:space="preserve">i, implicit, noile cote de capacități regenerabile, întru atingerea obiectivelor de dezvoltare durabilă pe care le împărtășește Republica Moldova. </w:t>
            </w:r>
          </w:p>
          <w:p w14:paraId="6DD60AE0" w14:textId="1C8DCB7E" w:rsidR="00222440" w:rsidRDefault="00222440" w:rsidP="00BE19C1">
            <w:pPr>
              <w:rPr>
                <w:szCs w:val="24"/>
              </w:rPr>
            </w:pPr>
          </w:p>
          <w:p w14:paraId="06C45DFE" w14:textId="77777777" w:rsidR="00F575A4" w:rsidRDefault="00F575A4" w:rsidP="00BE19C1">
            <w:pPr>
              <w:rPr>
                <w:szCs w:val="24"/>
              </w:rPr>
            </w:pPr>
          </w:p>
          <w:p w14:paraId="1112445E" w14:textId="79FEC705" w:rsidR="00A453A8" w:rsidRPr="002F32DD" w:rsidRDefault="00A453A8" w:rsidP="007A521D">
            <w:pPr>
              <w:spacing w:before="240"/>
              <w:rPr>
                <w:bCs/>
                <w:szCs w:val="24"/>
              </w:rPr>
            </w:pPr>
            <w:r w:rsidRPr="002F32DD">
              <w:rPr>
                <w:b/>
                <w:bCs/>
                <w:szCs w:val="24"/>
              </w:rPr>
              <w:lastRenderedPageBreak/>
              <w:t xml:space="preserve">     Tabelul 2.</w:t>
            </w:r>
            <w:r w:rsidRPr="002F32DD">
              <w:rPr>
                <w:bCs/>
                <w:szCs w:val="24"/>
              </w:rPr>
              <w:t xml:space="preserve"> Propuneri cu privire la valorile cotelor maxime de capacitate</w:t>
            </w:r>
          </w:p>
          <w:tbl>
            <w:tblPr>
              <w:tblStyle w:val="TableGrid"/>
              <w:tblW w:w="0" w:type="auto"/>
              <w:jc w:val="center"/>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3038"/>
              <w:gridCol w:w="2127"/>
              <w:gridCol w:w="1103"/>
              <w:gridCol w:w="2268"/>
            </w:tblGrid>
            <w:tr w:rsidR="00A453A8" w:rsidRPr="000857F7" w14:paraId="49B5A8FD" w14:textId="77777777" w:rsidTr="00A453A8">
              <w:trPr>
                <w:trHeight w:val="193"/>
                <w:jc w:val="center"/>
              </w:trPr>
              <w:tc>
                <w:tcPr>
                  <w:tcW w:w="3038" w:type="dxa"/>
                  <w:tcBorders>
                    <w:top w:val="single" w:sz="12" w:space="0" w:color="auto"/>
                    <w:bottom w:val="single" w:sz="12" w:space="0" w:color="auto"/>
                  </w:tcBorders>
                  <w:noWrap/>
                  <w:vAlign w:val="center"/>
                  <w:hideMark/>
                </w:tcPr>
                <w:p w14:paraId="04D587AB" w14:textId="77777777" w:rsidR="00A453A8" w:rsidRPr="00543CED" w:rsidRDefault="00A453A8" w:rsidP="00BE19C1">
                  <w:pPr>
                    <w:spacing w:before="0" w:after="0"/>
                    <w:jc w:val="center"/>
                    <w:rPr>
                      <w:b/>
                      <w:bCs/>
                      <w:sz w:val="22"/>
                      <w:lang w:val="en-US"/>
                    </w:rPr>
                  </w:pPr>
                  <w:proofErr w:type="spellStart"/>
                  <w:r w:rsidRPr="00543CED">
                    <w:rPr>
                      <w:b/>
                      <w:bCs/>
                      <w:sz w:val="22"/>
                    </w:rPr>
                    <w:t>Tehnologia</w:t>
                  </w:r>
                  <w:proofErr w:type="spellEnd"/>
                  <w:r w:rsidRPr="00543CED">
                    <w:rPr>
                      <w:b/>
                      <w:bCs/>
                      <w:sz w:val="22"/>
                    </w:rPr>
                    <w:t xml:space="preserve"> SER</w:t>
                  </w:r>
                </w:p>
              </w:tc>
              <w:tc>
                <w:tcPr>
                  <w:tcW w:w="2127" w:type="dxa"/>
                  <w:tcBorders>
                    <w:top w:val="single" w:sz="12" w:space="0" w:color="auto"/>
                    <w:bottom w:val="single" w:sz="12" w:space="0" w:color="auto"/>
                  </w:tcBorders>
                  <w:noWrap/>
                  <w:vAlign w:val="center"/>
                  <w:hideMark/>
                </w:tcPr>
                <w:p w14:paraId="0EC26378" w14:textId="77777777" w:rsidR="00A453A8" w:rsidRPr="002F7885" w:rsidRDefault="00A453A8" w:rsidP="00BE19C1">
                  <w:pPr>
                    <w:spacing w:before="0" w:after="0"/>
                    <w:jc w:val="center"/>
                    <w:rPr>
                      <w:b/>
                      <w:bCs/>
                      <w:sz w:val="22"/>
                      <w:lang w:val="it-IT"/>
                    </w:rPr>
                  </w:pPr>
                  <w:r w:rsidRPr="002F7885">
                    <w:rPr>
                      <w:b/>
                      <w:bCs/>
                      <w:sz w:val="22"/>
                      <w:lang w:val="it-IT"/>
                    </w:rPr>
                    <w:t>Durata maximă de utilizare a puterii nominale</w:t>
                  </w:r>
                </w:p>
                <w:p w14:paraId="526EBCD9" w14:textId="77777777" w:rsidR="00A453A8" w:rsidRPr="007A2FBB" w:rsidRDefault="00A453A8" w:rsidP="00BE19C1">
                  <w:pPr>
                    <w:spacing w:before="0" w:after="0"/>
                    <w:jc w:val="center"/>
                    <w:rPr>
                      <w:bCs/>
                      <w:i/>
                      <w:sz w:val="22"/>
                      <w:lang w:val="en-US"/>
                    </w:rPr>
                  </w:pPr>
                  <w:r w:rsidRPr="007A2FBB">
                    <w:rPr>
                      <w:bCs/>
                      <w:i/>
                      <w:sz w:val="18"/>
                    </w:rPr>
                    <w:t>[</w:t>
                  </w:r>
                  <w:proofErr w:type="spellStart"/>
                  <w:r w:rsidRPr="007A2FBB">
                    <w:rPr>
                      <w:bCs/>
                      <w:i/>
                      <w:sz w:val="18"/>
                    </w:rPr>
                    <w:t>ore</w:t>
                  </w:r>
                  <w:proofErr w:type="spellEnd"/>
                  <w:r w:rsidRPr="007A2FBB">
                    <w:rPr>
                      <w:bCs/>
                      <w:i/>
                      <w:sz w:val="18"/>
                    </w:rPr>
                    <w:t xml:space="preserve">/ </w:t>
                  </w:r>
                  <w:proofErr w:type="spellStart"/>
                  <w:r w:rsidRPr="007A2FBB">
                    <w:rPr>
                      <w:bCs/>
                      <w:i/>
                      <w:sz w:val="18"/>
                    </w:rPr>
                    <w:t>an</w:t>
                  </w:r>
                  <w:proofErr w:type="spellEnd"/>
                  <w:r w:rsidRPr="007A2FBB">
                    <w:rPr>
                      <w:bCs/>
                      <w:i/>
                      <w:sz w:val="18"/>
                      <w:lang w:val="en-US"/>
                    </w:rPr>
                    <w:t>]</w:t>
                  </w:r>
                </w:p>
              </w:tc>
              <w:tc>
                <w:tcPr>
                  <w:tcW w:w="1103" w:type="dxa"/>
                  <w:tcBorders>
                    <w:top w:val="single" w:sz="12" w:space="0" w:color="auto"/>
                    <w:bottom w:val="single" w:sz="12" w:space="0" w:color="auto"/>
                  </w:tcBorders>
                  <w:noWrap/>
                  <w:vAlign w:val="center"/>
                  <w:hideMark/>
                </w:tcPr>
                <w:p w14:paraId="7D4FAAE4" w14:textId="77777777" w:rsidR="00A453A8" w:rsidRPr="00543CED" w:rsidRDefault="00A453A8" w:rsidP="00BE19C1">
                  <w:pPr>
                    <w:spacing w:before="0" w:after="0"/>
                    <w:jc w:val="center"/>
                    <w:rPr>
                      <w:b/>
                      <w:bCs/>
                      <w:sz w:val="22"/>
                    </w:rPr>
                  </w:pPr>
                  <w:proofErr w:type="spellStart"/>
                  <w:r w:rsidRPr="00543CED">
                    <w:rPr>
                      <w:b/>
                      <w:bCs/>
                      <w:sz w:val="22"/>
                    </w:rPr>
                    <w:t>Puterea</w:t>
                  </w:r>
                  <w:proofErr w:type="spellEnd"/>
                  <w:r w:rsidRPr="00543CED">
                    <w:rPr>
                      <w:b/>
                      <w:bCs/>
                      <w:sz w:val="22"/>
                    </w:rPr>
                    <w:t xml:space="preserve"> </w:t>
                  </w:r>
                  <w:proofErr w:type="spellStart"/>
                  <w:r w:rsidRPr="00543CED">
                    <w:rPr>
                      <w:b/>
                      <w:bCs/>
                      <w:sz w:val="22"/>
                    </w:rPr>
                    <w:t>instalată</w:t>
                  </w:r>
                  <w:proofErr w:type="spellEnd"/>
                </w:p>
                <w:p w14:paraId="745BF9C4" w14:textId="77777777" w:rsidR="00A453A8" w:rsidRPr="007A2FBB" w:rsidRDefault="00A453A8" w:rsidP="00BE19C1">
                  <w:pPr>
                    <w:spacing w:before="0" w:after="0"/>
                    <w:jc w:val="center"/>
                    <w:rPr>
                      <w:bCs/>
                      <w:i/>
                      <w:sz w:val="22"/>
                    </w:rPr>
                  </w:pPr>
                  <w:r w:rsidRPr="007A2FBB">
                    <w:rPr>
                      <w:bCs/>
                      <w:i/>
                      <w:sz w:val="18"/>
                    </w:rPr>
                    <w:t>[MW]</w:t>
                  </w:r>
                </w:p>
              </w:tc>
              <w:tc>
                <w:tcPr>
                  <w:tcW w:w="2268" w:type="dxa"/>
                  <w:tcBorders>
                    <w:top w:val="single" w:sz="12" w:space="0" w:color="auto"/>
                    <w:bottom w:val="single" w:sz="12" w:space="0" w:color="auto"/>
                  </w:tcBorders>
                  <w:noWrap/>
                  <w:vAlign w:val="center"/>
                  <w:hideMark/>
                </w:tcPr>
                <w:p w14:paraId="0789C7AC" w14:textId="29864EF1" w:rsidR="00A453A8" w:rsidRPr="002F7885" w:rsidRDefault="00A453A8" w:rsidP="00BE19C1">
                  <w:pPr>
                    <w:spacing w:before="0" w:after="0"/>
                    <w:jc w:val="center"/>
                    <w:rPr>
                      <w:b/>
                      <w:bCs/>
                      <w:sz w:val="22"/>
                      <w:lang w:val="it-IT"/>
                    </w:rPr>
                  </w:pPr>
                  <w:r w:rsidRPr="002F7885">
                    <w:rPr>
                      <w:b/>
                      <w:bCs/>
                      <w:sz w:val="22"/>
                      <w:lang w:val="it-IT"/>
                    </w:rPr>
                    <w:t xml:space="preserve">Cantitatea </w:t>
                  </w:r>
                  <w:r w:rsidR="00BE19C1">
                    <w:rPr>
                      <w:b/>
                      <w:bCs/>
                      <w:sz w:val="22"/>
                      <w:lang w:val="it-IT"/>
                    </w:rPr>
                    <w:t xml:space="preserve">estimativă </w:t>
                  </w:r>
                  <w:r w:rsidRPr="002F7885">
                    <w:rPr>
                      <w:b/>
                      <w:bCs/>
                      <w:sz w:val="22"/>
                      <w:lang w:val="it-IT"/>
                    </w:rPr>
                    <w:t xml:space="preserve">de energie electrică </w:t>
                  </w:r>
                  <w:r w:rsidR="00BE19C1">
                    <w:rPr>
                      <w:b/>
                      <w:bCs/>
                      <w:sz w:val="22"/>
                      <w:lang w:val="it-IT"/>
                    </w:rPr>
                    <w:br/>
                    <w:t xml:space="preserve">a fi </w:t>
                  </w:r>
                  <w:r w:rsidRPr="002F7885">
                    <w:rPr>
                      <w:b/>
                      <w:bCs/>
                      <w:sz w:val="22"/>
                      <w:lang w:val="it-IT"/>
                    </w:rPr>
                    <w:t>generată</w:t>
                  </w:r>
                </w:p>
                <w:p w14:paraId="4BBDC183" w14:textId="77777777" w:rsidR="00A453A8" w:rsidRPr="002F7885" w:rsidRDefault="00A453A8" w:rsidP="00BE19C1">
                  <w:pPr>
                    <w:spacing w:before="0" w:after="0"/>
                    <w:jc w:val="center"/>
                    <w:rPr>
                      <w:bCs/>
                      <w:i/>
                      <w:sz w:val="22"/>
                      <w:lang w:val="it-IT"/>
                    </w:rPr>
                  </w:pPr>
                  <w:r w:rsidRPr="002F7885">
                    <w:rPr>
                      <w:bCs/>
                      <w:i/>
                      <w:sz w:val="18"/>
                      <w:lang w:val="it-IT"/>
                    </w:rPr>
                    <w:t>[MWh]</w:t>
                  </w:r>
                </w:p>
              </w:tc>
            </w:tr>
            <w:tr w:rsidR="00A453A8" w:rsidRPr="004E1E30" w14:paraId="7F769D29" w14:textId="77777777" w:rsidTr="00A453A8">
              <w:trPr>
                <w:trHeight w:val="567"/>
                <w:jc w:val="center"/>
              </w:trPr>
              <w:tc>
                <w:tcPr>
                  <w:tcW w:w="3038" w:type="dxa"/>
                  <w:tcBorders>
                    <w:top w:val="single" w:sz="12" w:space="0" w:color="auto"/>
                  </w:tcBorders>
                  <w:noWrap/>
                  <w:vAlign w:val="center"/>
                  <w:hideMark/>
                </w:tcPr>
                <w:p w14:paraId="5920C90D" w14:textId="77777777" w:rsidR="00A453A8" w:rsidRPr="003D1B63" w:rsidRDefault="00A453A8" w:rsidP="00BE19C1">
                  <w:pPr>
                    <w:spacing w:before="0" w:after="0"/>
                    <w:rPr>
                      <w:bCs/>
                      <w:sz w:val="22"/>
                    </w:rPr>
                  </w:pPr>
                  <w:r w:rsidRPr="003D1B63">
                    <w:rPr>
                      <w:sz w:val="22"/>
                      <w:szCs w:val="28"/>
                      <w:lang w:val="ro-RO"/>
                    </w:rPr>
                    <w:t>Instalații EOLIENE</w:t>
                  </w:r>
                </w:p>
              </w:tc>
              <w:tc>
                <w:tcPr>
                  <w:tcW w:w="2127" w:type="dxa"/>
                  <w:tcBorders>
                    <w:top w:val="single" w:sz="12" w:space="0" w:color="auto"/>
                  </w:tcBorders>
                  <w:noWrap/>
                  <w:vAlign w:val="center"/>
                  <w:hideMark/>
                </w:tcPr>
                <w:p w14:paraId="59CDDB14" w14:textId="09B9FBFB" w:rsidR="00A453A8" w:rsidRPr="004E1E30" w:rsidRDefault="00A453A8" w:rsidP="00BE19C1">
                  <w:pPr>
                    <w:spacing w:before="0" w:after="0"/>
                    <w:jc w:val="center"/>
                    <w:rPr>
                      <w:bCs/>
                      <w:sz w:val="22"/>
                    </w:rPr>
                  </w:pPr>
                  <w:r w:rsidRPr="004E1E30">
                    <w:rPr>
                      <w:bCs/>
                      <w:sz w:val="22"/>
                    </w:rPr>
                    <w:t>2</w:t>
                  </w:r>
                  <w:r w:rsidR="00BE19C1">
                    <w:rPr>
                      <w:bCs/>
                      <w:sz w:val="22"/>
                    </w:rPr>
                    <w:t>8</w:t>
                  </w:r>
                  <w:r w:rsidRPr="004E1E30">
                    <w:rPr>
                      <w:bCs/>
                      <w:sz w:val="22"/>
                    </w:rPr>
                    <w:t>00</w:t>
                  </w:r>
                </w:p>
              </w:tc>
              <w:tc>
                <w:tcPr>
                  <w:tcW w:w="1103" w:type="dxa"/>
                  <w:tcBorders>
                    <w:top w:val="single" w:sz="12" w:space="0" w:color="auto"/>
                  </w:tcBorders>
                  <w:noWrap/>
                  <w:vAlign w:val="center"/>
                  <w:hideMark/>
                </w:tcPr>
                <w:p w14:paraId="495A628F" w14:textId="371DB5DC" w:rsidR="00A453A8" w:rsidRPr="00A453A8" w:rsidRDefault="00CA4275" w:rsidP="00BE19C1">
                  <w:pPr>
                    <w:spacing w:before="0" w:after="0"/>
                    <w:jc w:val="center"/>
                    <w:rPr>
                      <w:bCs/>
                      <w:sz w:val="22"/>
                    </w:rPr>
                  </w:pPr>
                  <w:r>
                    <w:rPr>
                      <w:bCs/>
                      <w:sz w:val="22"/>
                    </w:rPr>
                    <w:t>105</w:t>
                  </w:r>
                </w:p>
              </w:tc>
              <w:tc>
                <w:tcPr>
                  <w:tcW w:w="2268" w:type="dxa"/>
                  <w:tcBorders>
                    <w:top w:val="single" w:sz="12" w:space="0" w:color="auto"/>
                  </w:tcBorders>
                  <w:noWrap/>
                  <w:vAlign w:val="center"/>
                  <w:hideMark/>
                </w:tcPr>
                <w:p w14:paraId="2B83EF0D" w14:textId="63E8C07A" w:rsidR="00A453A8" w:rsidRPr="004E1E30" w:rsidRDefault="00CA4275" w:rsidP="00BE19C1">
                  <w:pPr>
                    <w:spacing w:before="0" w:after="0"/>
                    <w:ind w:right="326"/>
                    <w:jc w:val="right"/>
                    <w:rPr>
                      <w:bCs/>
                      <w:sz w:val="22"/>
                    </w:rPr>
                  </w:pPr>
                  <w:r>
                    <w:rPr>
                      <w:bCs/>
                      <w:sz w:val="22"/>
                    </w:rPr>
                    <w:t>294</w:t>
                  </w:r>
                  <w:r w:rsidR="00A453A8">
                    <w:rPr>
                      <w:bCs/>
                      <w:sz w:val="22"/>
                    </w:rPr>
                    <w:t>.</w:t>
                  </w:r>
                  <w:r w:rsidR="00A453A8" w:rsidRPr="004E1E30">
                    <w:rPr>
                      <w:bCs/>
                      <w:sz w:val="22"/>
                    </w:rPr>
                    <w:t>000</w:t>
                  </w:r>
                </w:p>
              </w:tc>
            </w:tr>
            <w:tr w:rsidR="00A453A8" w:rsidRPr="004E1E30" w14:paraId="790BB0B7" w14:textId="77777777" w:rsidTr="00A453A8">
              <w:trPr>
                <w:trHeight w:val="168"/>
                <w:jc w:val="center"/>
              </w:trPr>
              <w:tc>
                <w:tcPr>
                  <w:tcW w:w="3038" w:type="dxa"/>
                  <w:noWrap/>
                  <w:vAlign w:val="center"/>
                  <w:hideMark/>
                </w:tcPr>
                <w:p w14:paraId="04782D20" w14:textId="77777777" w:rsidR="00A453A8" w:rsidRPr="003D1B63" w:rsidRDefault="00A453A8" w:rsidP="00222440">
                  <w:pPr>
                    <w:spacing w:before="0" w:after="0"/>
                    <w:jc w:val="left"/>
                    <w:rPr>
                      <w:bCs/>
                      <w:sz w:val="22"/>
                    </w:rPr>
                  </w:pPr>
                  <w:r w:rsidRPr="003D1B63">
                    <w:rPr>
                      <w:sz w:val="22"/>
                      <w:szCs w:val="28"/>
                      <w:lang w:val="ro-RO"/>
                    </w:rPr>
                    <w:t>Instalații SOLARE PV (fotovoltaice)</w:t>
                  </w:r>
                </w:p>
              </w:tc>
              <w:tc>
                <w:tcPr>
                  <w:tcW w:w="2127" w:type="dxa"/>
                  <w:noWrap/>
                  <w:vAlign w:val="center"/>
                  <w:hideMark/>
                </w:tcPr>
                <w:p w14:paraId="1167E897" w14:textId="77777777" w:rsidR="00A453A8" w:rsidRPr="004E1E30" w:rsidRDefault="00A453A8" w:rsidP="00BE19C1">
                  <w:pPr>
                    <w:spacing w:before="0" w:after="0"/>
                    <w:jc w:val="center"/>
                    <w:rPr>
                      <w:bCs/>
                      <w:sz w:val="22"/>
                    </w:rPr>
                  </w:pPr>
                  <w:r w:rsidRPr="004E1E30">
                    <w:rPr>
                      <w:bCs/>
                      <w:sz w:val="22"/>
                    </w:rPr>
                    <w:t>1200</w:t>
                  </w:r>
                </w:p>
              </w:tc>
              <w:tc>
                <w:tcPr>
                  <w:tcW w:w="1103" w:type="dxa"/>
                  <w:noWrap/>
                  <w:vAlign w:val="center"/>
                  <w:hideMark/>
                </w:tcPr>
                <w:p w14:paraId="5A5292AA" w14:textId="476B89B4" w:rsidR="00A453A8" w:rsidRPr="00A453A8" w:rsidRDefault="00CA4275" w:rsidP="00BE19C1">
                  <w:pPr>
                    <w:spacing w:before="0" w:after="0"/>
                    <w:jc w:val="center"/>
                    <w:rPr>
                      <w:bCs/>
                      <w:sz w:val="22"/>
                    </w:rPr>
                  </w:pPr>
                  <w:r>
                    <w:rPr>
                      <w:bCs/>
                      <w:sz w:val="22"/>
                    </w:rPr>
                    <w:t>145</w:t>
                  </w:r>
                </w:p>
              </w:tc>
              <w:tc>
                <w:tcPr>
                  <w:tcW w:w="2268" w:type="dxa"/>
                  <w:noWrap/>
                  <w:vAlign w:val="center"/>
                  <w:hideMark/>
                </w:tcPr>
                <w:p w14:paraId="2CD16B3C" w14:textId="078EB68D" w:rsidR="00A453A8" w:rsidRPr="004E1E30" w:rsidRDefault="00A453A8" w:rsidP="00BE19C1">
                  <w:pPr>
                    <w:spacing w:before="0" w:after="0"/>
                    <w:ind w:right="326"/>
                    <w:jc w:val="right"/>
                    <w:rPr>
                      <w:bCs/>
                      <w:sz w:val="22"/>
                    </w:rPr>
                  </w:pPr>
                  <w:r>
                    <w:rPr>
                      <w:bCs/>
                      <w:sz w:val="22"/>
                    </w:rPr>
                    <w:t>1</w:t>
                  </w:r>
                  <w:r w:rsidR="00CA4275">
                    <w:rPr>
                      <w:bCs/>
                      <w:sz w:val="22"/>
                    </w:rPr>
                    <w:t>74</w:t>
                  </w:r>
                  <w:r>
                    <w:rPr>
                      <w:bCs/>
                      <w:sz w:val="22"/>
                    </w:rPr>
                    <w:t>.</w:t>
                  </w:r>
                  <w:r w:rsidRPr="004E1E30">
                    <w:rPr>
                      <w:bCs/>
                      <w:sz w:val="22"/>
                    </w:rPr>
                    <w:t>000</w:t>
                  </w:r>
                </w:p>
              </w:tc>
            </w:tr>
            <w:tr w:rsidR="00A453A8" w:rsidRPr="00844CBB" w14:paraId="38E1283F" w14:textId="77777777" w:rsidTr="00A453A8">
              <w:trPr>
                <w:trHeight w:val="567"/>
                <w:jc w:val="center"/>
              </w:trPr>
              <w:tc>
                <w:tcPr>
                  <w:tcW w:w="3038" w:type="dxa"/>
                  <w:noWrap/>
                  <w:vAlign w:val="center"/>
                  <w:hideMark/>
                </w:tcPr>
                <w:p w14:paraId="5087471A" w14:textId="3CFDAEC7" w:rsidR="00A453A8" w:rsidRPr="002F7885" w:rsidRDefault="00A453A8" w:rsidP="00BE19C1">
                  <w:pPr>
                    <w:spacing w:before="0" w:after="0"/>
                    <w:rPr>
                      <w:bCs/>
                      <w:sz w:val="22"/>
                      <w:lang w:val="it-IT"/>
                    </w:rPr>
                  </w:pPr>
                  <w:r w:rsidRPr="003D1B63">
                    <w:rPr>
                      <w:sz w:val="22"/>
                      <w:szCs w:val="28"/>
                      <w:lang w:val="ro-RO"/>
                    </w:rPr>
                    <w:t xml:space="preserve">Instalații </w:t>
                  </w:r>
                  <w:r>
                    <w:rPr>
                      <w:sz w:val="22"/>
                      <w:szCs w:val="28"/>
                      <w:lang w:val="ro-RO"/>
                    </w:rPr>
                    <w:t xml:space="preserve">în COGENERARE </w:t>
                  </w:r>
                  <w:r w:rsidRPr="00A453A8">
                    <w:rPr>
                      <w:sz w:val="20"/>
                      <w:szCs w:val="24"/>
                      <w:lang w:val="ro-RO"/>
                    </w:rPr>
                    <w:t xml:space="preserve">(biogaz, </w:t>
                  </w:r>
                  <w:proofErr w:type="spellStart"/>
                  <w:r w:rsidRPr="00A453A8">
                    <w:rPr>
                      <w:sz w:val="20"/>
                      <w:szCs w:val="24"/>
                      <w:lang w:val="ro-RO"/>
                    </w:rPr>
                    <w:t>singaz</w:t>
                  </w:r>
                  <w:proofErr w:type="spellEnd"/>
                  <w:r w:rsidRPr="00A453A8">
                    <w:rPr>
                      <w:sz w:val="20"/>
                      <w:szCs w:val="24"/>
                      <w:lang w:val="ro-RO"/>
                    </w:rPr>
                    <w:t xml:space="preserve"> și ardere directă)</w:t>
                  </w:r>
                </w:p>
              </w:tc>
              <w:tc>
                <w:tcPr>
                  <w:tcW w:w="2127" w:type="dxa"/>
                  <w:noWrap/>
                  <w:vAlign w:val="center"/>
                  <w:hideMark/>
                </w:tcPr>
                <w:p w14:paraId="70BF9C90" w14:textId="4C31D60E" w:rsidR="00A453A8" w:rsidRPr="002F7885" w:rsidRDefault="00BE19C1" w:rsidP="00BE19C1">
                  <w:pPr>
                    <w:spacing w:before="0" w:after="0"/>
                    <w:jc w:val="center"/>
                    <w:rPr>
                      <w:bCs/>
                      <w:sz w:val="22"/>
                      <w:lang w:val="it-IT"/>
                    </w:rPr>
                  </w:pPr>
                  <w:r>
                    <w:rPr>
                      <w:bCs/>
                      <w:sz w:val="22"/>
                      <w:lang w:val="it-IT"/>
                    </w:rPr>
                    <w:t>4500</w:t>
                  </w:r>
                </w:p>
              </w:tc>
              <w:tc>
                <w:tcPr>
                  <w:tcW w:w="1103" w:type="dxa"/>
                  <w:noWrap/>
                  <w:vAlign w:val="center"/>
                  <w:hideMark/>
                </w:tcPr>
                <w:p w14:paraId="01E644A4" w14:textId="732B05F4" w:rsidR="00A453A8" w:rsidRPr="004C7969" w:rsidRDefault="00A453A8" w:rsidP="00BE19C1">
                  <w:pPr>
                    <w:spacing w:before="0" w:after="0"/>
                    <w:jc w:val="center"/>
                    <w:rPr>
                      <w:bCs/>
                      <w:sz w:val="22"/>
                      <w:lang w:val="it-IT"/>
                    </w:rPr>
                  </w:pPr>
                  <w:r w:rsidRPr="004C7969">
                    <w:rPr>
                      <w:bCs/>
                      <w:sz w:val="22"/>
                      <w:lang w:val="it-IT"/>
                    </w:rPr>
                    <w:t>1</w:t>
                  </w:r>
                  <w:r w:rsidR="00BB0C0C">
                    <w:rPr>
                      <w:bCs/>
                      <w:sz w:val="22"/>
                      <w:lang w:val="it-IT"/>
                    </w:rPr>
                    <w:t>4</w:t>
                  </w:r>
                  <w:r w:rsidRPr="004C7969">
                    <w:rPr>
                      <w:bCs/>
                      <w:sz w:val="22"/>
                      <w:lang w:val="it-IT"/>
                    </w:rPr>
                    <w:t>5</w:t>
                  </w:r>
                </w:p>
              </w:tc>
              <w:tc>
                <w:tcPr>
                  <w:tcW w:w="2268" w:type="dxa"/>
                  <w:noWrap/>
                  <w:vAlign w:val="center"/>
                  <w:hideMark/>
                </w:tcPr>
                <w:p w14:paraId="79E3F2A9" w14:textId="151A052F" w:rsidR="00A453A8" w:rsidRPr="002F7885" w:rsidRDefault="00BB0C0C" w:rsidP="00BE19C1">
                  <w:pPr>
                    <w:spacing w:before="0" w:after="0"/>
                    <w:ind w:right="326"/>
                    <w:jc w:val="right"/>
                    <w:rPr>
                      <w:bCs/>
                      <w:sz w:val="22"/>
                      <w:lang w:val="it-IT"/>
                    </w:rPr>
                  </w:pPr>
                  <w:r>
                    <w:rPr>
                      <w:bCs/>
                      <w:sz w:val="22"/>
                      <w:lang w:val="it-IT"/>
                    </w:rPr>
                    <w:t>652</w:t>
                  </w:r>
                  <w:r w:rsidR="00A453A8" w:rsidRPr="002F7885">
                    <w:rPr>
                      <w:bCs/>
                      <w:sz w:val="22"/>
                      <w:lang w:val="it-IT"/>
                    </w:rPr>
                    <w:t>.</w:t>
                  </w:r>
                  <w:r w:rsidR="00A453A8" w:rsidRPr="004C7969">
                    <w:rPr>
                      <w:bCs/>
                      <w:sz w:val="22"/>
                      <w:lang w:val="it-IT"/>
                    </w:rPr>
                    <w:t>5</w:t>
                  </w:r>
                  <w:r w:rsidR="00A453A8" w:rsidRPr="002F7885">
                    <w:rPr>
                      <w:bCs/>
                      <w:sz w:val="22"/>
                      <w:lang w:val="it-IT"/>
                    </w:rPr>
                    <w:t>00</w:t>
                  </w:r>
                </w:p>
              </w:tc>
            </w:tr>
            <w:tr w:rsidR="00A453A8" w:rsidRPr="00844CBB" w14:paraId="384F80DC" w14:textId="77777777" w:rsidTr="00A453A8">
              <w:trPr>
                <w:trHeight w:val="567"/>
                <w:jc w:val="center"/>
              </w:trPr>
              <w:tc>
                <w:tcPr>
                  <w:tcW w:w="3038" w:type="dxa"/>
                  <w:tcBorders>
                    <w:bottom w:val="single" w:sz="12" w:space="0" w:color="auto"/>
                  </w:tcBorders>
                  <w:noWrap/>
                  <w:vAlign w:val="center"/>
                  <w:hideMark/>
                </w:tcPr>
                <w:p w14:paraId="5BBC6EA5" w14:textId="77777777" w:rsidR="00A453A8" w:rsidRPr="002F7885" w:rsidRDefault="00A453A8" w:rsidP="00BE19C1">
                  <w:pPr>
                    <w:spacing w:before="0" w:after="0"/>
                    <w:rPr>
                      <w:bCs/>
                      <w:sz w:val="22"/>
                      <w:lang w:val="it-IT"/>
                    </w:rPr>
                  </w:pPr>
                  <w:r w:rsidRPr="003D1B63">
                    <w:rPr>
                      <w:sz w:val="22"/>
                      <w:szCs w:val="28"/>
                      <w:lang w:val="ro-RO"/>
                    </w:rPr>
                    <w:t>Instalații HIDRO</w:t>
                  </w:r>
                </w:p>
              </w:tc>
              <w:tc>
                <w:tcPr>
                  <w:tcW w:w="2127" w:type="dxa"/>
                  <w:tcBorders>
                    <w:bottom w:val="single" w:sz="12" w:space="0" w:color="auto"/>
                  </w:tcBorders>
                  <w:noWrap/>
                  <w:vAlign w:val="center"/>
                  <w:hideMark/>
                </w:tcPr>
                <w:p w14:paraId="66EDA8F3" w14:textId="72C861D0" w:rsidR="00A453A8" w:rsidRPr="002F7885" w:rsidRDefault="00A453A8" w:rsidP="00BE19C1">
                  <w:pPr>
                    <w:spacing w:before="0" w:after="0"/>
                    <w:jc w:val="center"/>
                    <w:rPr>
                      <w:bCs/>
                      <w:sz w:val="22"/>
                      <w:lang w:val="it-IT"/>
                    </w:rPr>
                  </w:pPr>
                  <w:r w:rsidRPr="002F7885">
                    <w:rPr>
                      <w:bCs/>
                      <w:sz w:val="22"/>
                      <w:lang w:val="it-IT"/>
                    </w:rPr>
                    <w:t>2</w:t>
                  </w:r>
                  <w:r w:rsidR="00BE19C1">
                    <w:rPr>
                      <w:bCs/>
                      <w:sz w:val="22"/>
                      <w:lang w:val="it-IT"/>
                    </w:rPr>
                    <w:t>5</w:t>
                  </w:r>
                  <w:r w:rsidRPr="002F7885">
                    <w:rPr>
                      <w:bCs/>
                      <w:sz w:val="22"/>
                      <w:lang w:val="it-IT"/>
                    </w:rPr>
                    <w:t>00</w:t>
                  </w:r>
                </w:p>
              </w:tc>
              <w:tc>
                <w:tcPr>
                  <w:tcW w:w="1103" w:type="dxa"/>
                  <w:tcBorders>
                    <w:bottom w:val="single" w:sz="12" w:space="0" w:color="auto"/>
                  </w:tcBorders>
                  <w:noWrap/>
                  <w:vAlign w:val="center"/>
                  <w:hideMark/>
                </w:tcPr>
                <w:p w14:paraId="46775987" w14:textId="5C55C979" w:rsidR="00A453A8" w:rsidRPr="004C7969" w:rsidRDefault="00A453A8" w:rsidP="00BE19C1">
                  <w:pPr>
                    <w:spacing w:before="0" w:after="0"/>
                    <w:jc w:val="center"/>
                    <w:rPr>
                      <w:bCs/>
                      <w:sz w:val="22"/>
                      <w:lang w:val="it-IT"/>
                    </w:rPr>
                  </w:pPr>
                  <w:r w:rsidRPr="004C7969">
                    <w:rPr>
                      <w:bCs/>
                      <w:sz w:val="22"/>
                      <w:lang w:val="it-IT"/>
                    </w:rPr>
                    <w:t>5</w:t>
                  </w:r>
                </w:p>
              </w:tc>
              <w:tc>
                <w:tcPr>
                  <w:tcW w:w="2268" w:type="dxa"/>
                  <w:noWrap/>
                  <w:vAlign w:val="center"/>
                  <w:hideMark/>
                </w:tcPr>
                <w:p w14:paraId="6BB2756B" w14:textId="42EADDA6" w:rsidR="00A453A8" w:rsidRPr="002F7885" w:rsidRDefault="00A453A8" w:rsidP="00BE19C1">
                  <w:pPr>
                    <w:spacing w:before="0" w:after="0"/>
                    <w:ind w:right="326"/>
                    <w:jc w:val="right"/>
                    <w:rPr>
                      <w:bCs/>
                      <w:sz w:val="22"/>
                      <w:lang w:val="it-IT"/>
                    </w:rPr>
                  </w:pPr>
                  <w:r w:rsidRPr="004C7969">
                    <w:rPr>
                      <w:bCs/>
                      <w:sz w:val="22"/>
                      <w:lang w:val="it-IT"/>
                    </w:rPr>
                    <w:t>12</w:t>
                  </w:r>
                  <w:r w:rsidRPr="002F7885">
                    <w:rPr>
                      <w:bCs/>
                      <w:sz w:val="22"/>
                      <w:lang w:val="it-IT"/>
                    </w:rPr>
                    <w:t>.</w:t>
                  </w:r>
                  <w:r w:rsidR="00BE19C1" w:rsidRPr="004C7969">
                    <w:rPr>
                      <w:bCs/>
                      <w:sz w:val="22"/>
                      <w:lang w:val="it-IT"/>
                    </w:rPr>
                    <w:t>5</w:t>
                  </w:r>
                  <w:r w:rsidRPr="002F7885">
                    <w:rPr>
                      <w:bCs/>
                      <w:sz w:val="22"/>
                      <w:lang w:val="it-IT"/>
                    </w:rPr>
                    <w:t>00</w:t>
                  </w:r>
                </w:p>
              </w:tc>
            </w:tr>
            <w:tr w:rsidR="00A453A8" w:rsidRPr="00844CBB" w14:paraId="7E6A32D2" w14:textId="77777777" w:rsidTr="00A453A8">
              <w:trPr>
                <w:trHeight w:val="567"/>
                <w:jc w:val="center"/>
              </w:trPr>
              <w:tc>
                <w:tcPr>
                  <w:tcW w:w="5165" w:type="dxa"/>
                  <w:gridSpan w:val="2"/>
                  <w:tcBorders>
                    <w:top w:val="single" w:sz="12" w:space="0" w:color="auto"/>
                    <w:bottom w:val="single" w:sz="12" w:space="0" w:color="auto"/>
                  </w:tcBorders>
                  <w:noWrap/>
                  <w:vAlign w:val="center"/>
                </w:tcPr>
                <w:p w14:paraId="5D0F3C7B" w14:textId="77777777" w:rsidR="00A453A8" w:rsidRPr="002F7885" w:rsidRDefault="00A453A8" w:rsidP="00BE19C1">
                  <w:pPr>
                    <w:spacing w:before="0" w:after="0"/>
                    <w:jc w:val="center"/>
                    <w:rPr>
                      <w:b/>
                      <w:bCs/>
                      <w:sz w:val="22"/>
                      <w:lang w:val="it-IT"/>
                    </w:rPr>
                  </w:pPr>
                  <w:r w:rsidRPr="002F7885">
                    <w:rPr>
                      <w:b/>
                      <w:bCs/>
                      <w:sz w:val="22"/>
                      <w:lang w:val="it-IT"/>
                    </w:rPr>
                    <w:t>TOTAL putere instalată</w:t>
                  </w:r>
                </w:p>
              </w:tc>
              <w:tc>
                <w:tcPr>
                  <w:tcW w:w="1103" w:type="dxa"/>
                  <w:tcBorders>
                    <w:top w:val="single" w:sz="12" w:space="0" w:color="auto"/>
                    <w:bottom w:val="single" w:sz="12" w:space="0" w:color="auto"/>
                  </w:tcBorders>
                  <w:noWrap/>
                  <w:vAlign w:val="center"/>
                </w:tcPr>
                <w:p w14:paraId="2C901C3E" w14:textId="634772E2" w:rsidR="00A453A8" w:rsidRPr="004C7969" w:rsidRDefault="00CA4275" w:rsidP="00BE19C1">
                  <w:pPr>
                    <w:spacing w:before="0" w:after="0"/>
                    <w:jc w:val="center"/>
                    <w:rPr>
                      <w:b/>
                      <w:bCs/>
                      <w:sz w:val="22"/>
                      <w:lang w:val="it-IT"/>
                    </w:rPr>
                  </w:pPr>
                  <w:r w:rsidRPr="004C7969">
                    <w:rPr>
                      <w:b/>
                      <w:bCs/>
                      <w:sz w:val="22"/>
                      <w:lang w:val="it-IT"/>
                    </w:rPr>
                    <w:t>4</w:t>
                  </w:r>
                  <w:r w:rsidR="00BB0C0C">
                    <w:rPr>
                      <w:b/>
                      <w:bCs/>
                      <w:sz w:val="22"/>
                      <w:lang w:val="it-IT"/>
                    </w:rPr>
                    <w:t>0</w:t>
                  </w:r>
                  <w:r w:rsidRPr="004C7969">
                    <w:rPr>
                      <w:b/>
                      <w:bCs/>
                      <w:sz w:val="22"/>
                      <w:lang w:val="it-IT"/>
                    </w:rPr>
                    <w:t>0</w:t>
                  </w:r>
                </w:p>
              </w:tc>
              <w:tc>
                <w:tcPr>
                  <w:tcW w:w="2268" w:type="dxa"/>
                  <w:tcBorders>
                    <w:top w:val="single" w:sz="12" w:space="0" w:color="auto"/>
                    <w:bottom w:val="single" w:sz="12" w:space="0" w:color="auto"/>
                  </w:tcBorders>
                  <w:noWrap/>
                  <w:vAlign w:val="center"/>
                </w:tcPr>
                <w:p w14:paraId="2F983D08" w14:textId="1671C2AC" w:rsidR="00A453A8" w:rsidRPr="002F7885" w:rsidRDefault="00A453A8" w:rsidP="00BE19C1">
                  <w:pPr>
                    <w:spacing w:before="0" w:after="0"/>
                    <w:ind w:right="326"/>
                    <w:jc w:val="right"/>
                    <w:rPr>
                      <w:b/>
                      <w:bCs/>
                      <w:sz w:val="22"/>
                      <w:lang w:val="it-IT"/>
                    </w:rPr>
                  </w:pPr>
                  <w:r w:rsidRPr="004C7969">
                    <w:rPr>
                      <w:b/>
                      <w:bCs/>
                      <w:sz w:val="22"/>
                      <w:lang w:val="it-IT"/>
                    </w:rPr>
                    <w:t>1.</w:t>
                  </w:r>
                  <w:r w:rsidR="00BB0C0C">
                    <w:rPr>
                      <w:b/>
                      <w:bCs/>
                      <w:sz w:val="22"/>
                      <w:lang w:val="it-IT"/>
                    </w:rPr>
                    <w:t>133</w:t>
                  </w:r>
                  <w:r w:rsidRPr="004C7969">
                    <w:rPr>
                      <w:b/>
                      <w:bCs/>
                      <w:sz w:val="22"/>
                      <w:lang w:val="it-IT"/>
                    </w:rPr>
                    <w:t>.</w:t>
                  </w:r>
                  <w:r w:rsidR="00BE19C1" w:rsidRPr="004C7969">
                    <w:rPr>
                      <w:b/>
                      <w:bCs/>
                      <w:sz w:val="22"/>
                      <w:lang w:val="it-IT"/>
                    </w:rPr>
                    <w:t>0</w:t>
                  </w:r>
                  <w:r w:rsidRPr="004C7969">
                    <w:rPr>
                      <w:b/>
                      <w:bCs/>
                      <w:sz w:val="22"/>
                      <w:lang w:val="it-IT"/>
                    </w:rPr>
                    <w:t>00</w:t>
                  </w:r>
                </w:p>
              </w:tc>
            </w:tr>
          </w:tbl>
          <w:p w14:paraId="12FE1F29" w14:textId="06B69739" w:rsidR="00F03A16" w:rsidRPr="0042082F" w:rsidRDefault="002F32DD" w:rsidP="00694019">
            <w:pPr>
              <w:spacing w:before="240"/>
              <w:rPr>
                <w:szCs w:val="24"/>
              </w:rPr>
            </w:pPr>
            <w:r>
              <w:rPr>
                <w:szCs w:val="24"/>
              </w:rPr>
              <w:t>Cantitatea de energie electrică produsă de capacitățile de mai sus, ar garanta atingerea unei ponderi a energiei electrice „verzi” în consumul final brut de energie electrică</w:t>
            </w:r>
            <w:r w:rsidR="006604CD">
              <w:rPr>
                <w:szCs w:val="24"/>
              </w:rPr>
              <w:t xml:space="preserve">, într-un scenariu pozitiv de evaluare a lucrurilor în domeniu, </w:t>
            </w:r>
            <w:r>
              <w:rPr>
                <w:szCs w:val="24"/>
              </w:rPr>
              <w:t xml:space="preserve">de cca. </w:t>
            </w:r>
            <w:r w:rsidR="006604CD" w:rsidRPr="00BD7CF3">
              <w:rPr>
                <w:szCs w:val="24"/>
              </w:rPr>
              <w:t>3</w:t>
            </w:r>
            <w:r w:rsidR="00844CBB">
              <w:rPr>
                <w:szCs w:val="24"/>
              </w:rPr>
              <w:t>0</w:t>
            </w:r>
            <w:r w:rsidRPr="00BD7CF3">
              <w:rPr>
                <w:szCs w:val="24"/>
              </w:rPr>
              <w:t>%</w:t>
            </w:r>
            <w:r w:rsidR="00F03A16" w:rsidRPr="00BD7CF3">
              <w:rPr>
                <w:szCs w:val="24"/>
              </w:rPr>
              <w:t>,</w:t>
            </w:r>
            <w:r w:rsidR="00F03A16" w:rsidRPr="0042082F">
              <w:rPr>
                <w:szCs w:val="24"/>
              </w:rPr>
              <w:t xml:space="preserve"> dacă ar fi luate în considerare și capacitățile existente (vezi cifrele prezentate anterior)</w:t>
            </w:r>
            <w:r w:rsidRPr="0042082F">
              <w:rPr>
                <w:szCs w:val="24"/>
              </w:rPr>
              <w:t xml:space="preserve">. </w:t>
            </w:r>
            <w:r w:rsidR="00F03A16" w:rsidRPr="0042082F">
              <w:rPr>
                <w:szCs w:val="24"/>
              </w:rPr>
              <w:t>De precizat că valoarea respectivă nu include și eventuale proiecte implementate în condiții de piață (</w:t>
            </w:r>
            <w:r w:rsidR="00F03A16" w:rsidRPr="007A521D">
              <w:rPr>
                <w:i/>
                <w:iCs/>
                <w:szCs w:val="24"/>
              </w:rPr>
              <w:t>i.e</w:t>
            </w:r>
            <w:r w:rsidR="00F03A16" w:rsidRPr="0042082F">
              <w:rPr>
                <w:szCs w:val="24"/>
              </w:rPr>
              <w:t>. fără suportul statului), care nu pot fi excluse</w:t>
            </w:r>
            <w:r w:rsidR="00BE19C1">
              <w:rPr>
                <w:szCs w:val="24"/>
              </w:rPr>
              <w:t>,</w:t>
            </w:r>
            <w:r w:rsidR="00F03A16" w:rsidRPr="0042082F">
              <w:rPr>
                <w:szCs w:val="24"/>
              </w:rPr>
              <w:t xml:space="preserve"> întrucât semnale din piață </w:t>
            </w:r>
            <w:r w:rsidR="00BA7F6F">
              <w:rPr>
                <w:szCs w:val="24"/>
              </w:rPr>
              <w:t xml:space="preserve">indică </w:t>
            </w:r>
            <w:r w:rsidR="00F03A16" w:rsidRPr="0042082F">
              <w:rPr>
                <w:szCs w:val="24"/>
              </w:rPr>
              <w:t>că acest tip de investiții sunt posibile</w:t>
            </w:r>
            <w:r w:rsidR="00BA7F6F">
              <w:rPr>
                <w:szCs w:val="24"/>
              </w:rPr>
              <w:t xml:space="preserve"> și</w:t>
            </w:r>
            <w:r w:rsidR="00BA7F6F" w:rsidRPr="0042082F">
              <w:rPr>
                <w:szCs w:val="24"/>
              </w:rPr>
              <w:t xml:space="preserve"> </w:t>
            </w:r>
            <w:r w:rsidR="00F03A16" w:rsidRPr="0042082F">
              <w:rPr>
                <w:szCs w:val="24"/>
              </w:rPr>
              <w:t>au un caracter tot mai profund și mai categoric</w:t>
            </w:r>
            <w:r w:rsidR="005B5BDB" w:rsidRPr="0042082F">
              <w:rPr>
                <w:szCs w:val="24"/>
              </w:rPr>
              <w:t xml:space="preserve"> în ultima perioadă</w:t>
            </w:r>
            <w:r w:rsidR="00F03A16" w:rsidRPr="0042082F">
              <w:rPr>
                <w:szCs w:val="24"/>
              </w:rPr>
              <w:t>.</w:t>
            </w:r>
            <w:r w:rsidR="005B5BDB" w:rsidRPr="0042082F">
              <w:rPr>
                <w:szCs w:val="24"/>
              </w:rPr>
              <w:t xml:space="preserve"> </w:t>
            </w:r>
          </w:p>
          <w:p w14:paraId="541F1725" w14:textId="6F74945F" w:rsidR="006604CD" w:rsidRDefault="00765F08" w:rsidP="00BE19C1">
            <w:pPr>
              <w:rPr>
                <w:szCs w:val="24"/>
              </w:rPr>
            </w:pPr>
            <w:r w:rsidRPr="0042082F">
              <w:rPr>
                <w:szCs w:val="24"/>
              </w:rPr>
              <w:t xml:space="preserve">Valoarea de mai sus de </w:t>
            </w:r>
            <w:r w:rsidRPr="00BD7CF3">
              <w:rPr>
                <w:szCs w:val="24"/>
              </w:rPr>
              <w:t>3</w:t>
            </w:r>
            <w:r w:rsidR="00844CBB">
              <w:rPr>
                <w:szCs w:val="24"/>
              </w:rPr>
              <w:t>0</w:t>
            </w:r>
            <w:r w:rsidRPr="00BD7CF3">
              <w:rPr>
                <w:szCs w:val="24"/>
              </w:rPr>
              <w:t>%</w:t>
            </w:r>
            <w:r>
              <w:rPr>
                <w:szCs w:val="24"/>
              </w:rPr>
              <w:t xml:space="preserve"> corespunde unui scenariu „optimist”, în care toate capacitățile alocate cogenerării pe bază de biogaz ar fi valorificate. Ținând cont, însă, de tehnologiile a fi utilizate și natura materiei prime din care biogazul ar urma a fi produs, conchidem asupra faptului că majoritatea respectivelor capacități ar urma a fi dezvoltate și edificate de către, sau în parteneriat cu autoritățile administrației publice locale. Aceste din urmă administrează, prin intermediul întreprinderilor municipale special create, serviciile municipale de gestionare a deșeurilor menajere solide, a apelor reziduale (de canalizare), etc. Toate aceste deșeuri, în ansamblu, prezintă un potențial major extraordinar de materie primă pentru producerea de biogaz și implementarea conceptului ”</w:t>
            </w:r>
            <w:proofErr w:type="spellStart"/>
            <w:r>
              <w:rPr>
                <w:szCs w:val="24"/>
              </w:rPr>
              <w:t>waste</w:t>
            </w:r>
            <w:proofErr w:type="spellEnd"/>
            <w:r>
              <w:rPr>
                <w:szCs w:val="24"/>
              </w:rPr>
              <w:t xml:space="preserve"> </w:t>
            </w:r>
            <w:proofErr w:type="spellStart"/>
            <w:r>
              <w:rPr>
                <w:szCs w:val="24"/>
              </w:rPr>
              <w:t>to</w:t>
            </w:r>
            <w:proofErr w:type="spellEnd"/>
            <w:r>
              <w:rPr>
                <w:szCs w:val="24"/>
              </w:rPr>
              <w:t xml:space="preserve"> </w:t>
            </w:r>
            <w:proofErr w:type="spellStart"/>
            <w:r>
              <w:rPr>
                <w:szCs w:val="24"/>
              </w:rPr>
              <w:t>energy</w:t>
            </w:r>
            <w:proofErr w:type="spellEnd"/>
            <w:r>
              <w:rPr>
                <w:szCs w:val="24"/>
              </w:rPr>
              <w:t>”.</w:t>
            </w:r>
          </w:p>
          <w:p w14:paraId="69A5B058" w14:textId="2BF7E558" w:rsidR="00765F08" w:rsidRDefault="00765F08" w:rsidP="00BE19C1">
            <w:pPr>
              <w:rPr>
                <w:szCs w:val="24"/>
              </w:rPr>
            </w:pPr>
            <w:r>
              <w:rPr>
                <w:szCs w:val="24"/>
              </w:rPr>
              <w:t>Prin u</w:t>
            </w:r>
            <w:r w:rsidR="008C05FB">
              <w:rPr>
                <w:szCs w:val="24"/>
              </w:rPr>
              <w:t>r</w:t>
            </w:r>
            <w:r>
              <w:rPr>
                <w:szCs w:val="24"/>
              </w:rPr>
              <w:t>mare, valorificarea cotelor de capacități non-intermitente</w:t>
            </w:r>
            <w:r w:rsidR="008C05FB">
              <w:rPr>
                <w:szCs w:val="24"/>
              </w:rPr>
              <w:t xml:space="preserve"> alocate de Guvern depinde, în cea mai mare măsură, de modul în care AP</w:t>
            </w:r>
            <w:r w:rsidR="009718B3">
              <w:rPr>
                <w:szCs w:val="24"/>
              </w:rPr>
              <w:t>L</w:t>
            </w:r>
            <w:r w:rsidR="008C05FB">
              <w:rPr>
                <w:szCs w:val="24"/>
              </w:rPr>
              <w:t>-urile din țară</w:t>
            </w:r>
            <w:r w:rsidR="009718B3">
              <w:rPr>
                <w:szCs w:val="24"/>
              </w:rPr>
              <w:t xml:space="preserve"> se vor mobiliza întru identificarea unei soluții pentru problematica deșeurilor menajere solide sau a apelor reziduale, cu sau fără stabilirea unor </w:t>
            </w:r>
            <w:r w:rsidR="001E5A6C">
              <w:rPr>
                <w:szCs w:val="24"/>
              </w:rPr>
              <w:t>parteneriate</w:t>
            </w:r>
            <w:r w:rsidR="009718B3">
              <w:rPr>
                <w:szCs w:val="24"/>
              </w:rPr>
              <w:t xml:space="preserve"> cu </w:t>
            </w:r>
            <w:r w:rsidR="001E5A6C">
              <w:rPr>
                <w:szCs w:val="24"/>
              </w:rPr>
              <w:t xml:space="preserve">sectorul </w:t>
            </w:r>
            <w:r w:rsidR="002E687C">
              <w:rPr>
                <w:szCs w:val="24"/>
              </w:rPr>
              <w:t>privat</w:t>
            </w:r>
            <w:r w:rsidR="001E5A6C">
              <w:rPr>
                <w:szCs w:val="24"/>
              </w:rPr>
              <w:t>.</w:t>
            </w:r>
          </w:p>
          <w:p w14:paraId="60B8256F" w14:textId="107AFB48" w:rsidR="009718B3" w:rsidRDefault="009718B3" w:rsidP="00BE19C1">
            <w:pPr>
              <w:rPr>
                <w:szCs w:val="24"/>
              </w:rPr>
            </w:pPr>
            <w:r>
              <w:rPr>
                <w:szCs w:val="24"/>
              </w:rPr>
              <w:t>De cealaltă parte, pentru tehnologia de incinerare/ ardere directă a deșeurilor din biomasă, valorificarea deplină a cotelor alocate este una realistă, întrucât inițiativele pe domeniu sunt așteptate din partea sectorului privat.</w:t>
            </w:r>
          </w:p>
          <w:p w14:paraId="5906ACA1" w14:textId="7437A8AA" w:rsidR="009718B3" w:rsidRDefault="009718B3" w:rsidP="00BE19C1">
            <w:pPr>
              <w:rPr>
                <w:szCs w:val="24"/>
              </w:rPr>
            </w:pPr>
            <w:r>
              <w:rPr>
                <w:szCs w:val="24"/>
              </w:rPr>
              <w:t>Figur</w:t>
            </w:r>
            <w:r w:rsidR="00CD0C23">
              <w:rPr>
                <w:szCs w:val="24"/>
              </w:rPr>
              <w:t xml:space="preserve">a </w:t>
            </w:r>
            <w:r w:rsidR="00C95330">
              <w:rPr>
                <w:szCs w:val="24"/>
              </w:rPr>
              <w:t xml:space="preserve">3 </w:t>
            </w:r>
            <w:r>
              <w:rPr>
                <w:szCs w:val="24"/>
              </w:rPr>
              <w:t xml:space="preserve">prezintă </w:t>
            </w:r>
            <w:r w:rsidR="001E5A6C">
              <w:rPr>
                <w:szCs w:val="24"/>
              </w:rPr>
              <w:t xml:space="preserve">evoluția lucrurilor pe partea ponderii </w:t>
            </w:r>
            <w:r w:rsidR="002E687C">
              <w:rPr>
                <w:szCs w:val="24"/>
              </w:rPr>
              <w:t>E-</w:t>
            </w:r>
            <w:r w:rsidR="001E5A6C">
              <w:rPr>
                <w:szCs w:val="24"/>
              </w:rPr>
              <w:t>SER în CFB-EE, pentru două scenarii – optimist și pesimist</w:t>
            </w:r>
            <w:r w:rsidR="000B147E">
              <w:rPr>
                <w:szCs w:val="24"/>
              </w:rPr>
              <w:t xml:space="preserve">. Pentru cel din urmă scenariu s-a acceptat ipoteza că în sectorul energiei hidroelectrice doar 1 MW de capacități noi vor fi dezvoltate în următorii 5 ani, iar în domeniul cogenerării în bază de biogaz, </w:t>
            </w:r>
            <w:proofErr w:type="spellStart"/>
            <w:r w:rsidR="000B147E">
              <w:rPr>
                <w:szCs w:val="24"/>
              </w:rPr>
              <w:t>singaz</w:t>
            </w:r>
            <w:proofErr w:type="spellEnd"/>
            <w:r w:rsidR="000B147E">
              <w:rPr>
                <w:szCs w:val="24"/>
              </w:rPr>
              <w:t xml:space="preserve"> și ardere directă a deșeurilor agricole, cca. </w:t>
            </w:r>
            <w:r w:rsidR="000B147E" w:rsidRPr="00BD7CF3">
              <w:rPr>
                <w:szCs w:val="24"/>
              </w:rPr>
              <w:t>55 MW</w:t>
            </w:r>
            <w:r w:rsidR="000B147E">
              <w:rPr>
                <w:szCs w:val="24"/>
              </w:rPr>
              <w:t xml:space="preserve"> vor fi edificați.</w:t>
            </w:r>
          </w:p>
          <w:p w14:paraId="7C451195" w14:textId="238F8615" w:rsidR="008B2715" w:rsidRDefault="00C95330" w:rsidP="00BE19C1">
            <w:pPr>
              <w:spacing w:before="240"/>
              <w:rPr>
                <w:szCs w:val="24"/>
              </w:rPr>
            </w:pPr>
            <w:r>
              <w:rPr>
                <w:noProof/>
                <w:szCs w:val="24"/>
                <w:lang w:val="en-US"/>
              </w:rPr>
              <w:lastRenderedPageBreak/>
              <mc:AlternateContent>
                <mc:Choice Requires="wpg">
                  <w:drawing>
                    <wp:anchor distT="0" distB="0" distL="114300" distR="114300" simplePos="0" relativeHeight="251656704" behindDoc="0" locked="0" layoutInCell="1" allowOverlap="1" wp14:anchorId="2EA882FF" wp14:editId="51E7D8A6">
                      <wp:simplePos x="0" y="0"/>
                      <wp:positionH relativeFrom="column">
                        <wp:posOffset>2871470</wp:posOffset>
                      </wp:positionH>
                      <wp:positionV relativeFrom="paragraph">
                        <wp:posOffset>31750</wp:posOffset>
                      </wp:positionV>
                      <wp:extent cx="3543935" cy="2559685"/>
                      <wp:effectExtent l="0" t="0" r="0" b="0"/>
                      <wp:wrapSquare wrapText="bothSides"/>
                      <wp:docPr id="10" name="Grupare 10"/>
                      <wp:cNvGraphicFramePr/>
                      <a:graphic xmlns:a="http://schemas.openxmlformats.org/drawingml/2006/main">
                        <a:graphicData uri="http://schemas.microsoft.com/office/word/2010/wordprocessingGroup">
                          <wpg:wgp>
                            <wpg:cNvGrpSpPr/>
                            <wpg:grpSpPr>
                              <a:xfrm>
                                <a:off x="0" y="0"/>
                                <a:ext cx="3543935" cy="2559685"/>
                                <a:chOff x="111318" y="0"/>
                                <a:chExt cx="3544350" cy="2560308"/>
                              </a:xfrm>
                            </wpg:grpSpPr>
                            <wpg:graphicFrame>
                              <wpg:cNvPr id="8" name="Chart 2" descr="Descriere: Ponderea energiei regenerabile în mixul de resurse energetice&#10;"/>
                              <wpg:cNvFrPr/>
                              <wpg:xfrm>
                                <a:off x="166978" y="0"/>
                                <a:ext cx="3488690" cy="2194560"/>
                              </wpg:xfrm>
                              <a:graphic>
                                <a:graphicData uri="http://schemas.openxmlformats.org/drawingml/2006/chart">
                                  <c:chart xmlns:c="http://schemas.openxmlformats.org/drawingml/2006/chart" xmlns:r="http://schemas.openxmlformats.org/officeDocument/2006/relationships" r:id="rId12"/>
                                </a:graphicData>
                              </a:graphic>
                            </wpg:graphicFrame>
                            <wps:wsp>
                              <wps:cNvPr id="11" name="Casetă text 11"/>
                              <wps:cNvSpPr txBox="1"/>
                              <wps:spPr>
                                <a:xfrm>
                                  <a:off x="111318" y="2218236"/>
                                  <a:ext cx="3543935" cy="342072"/>
                                </a:xfrm>
                                <a:prstGeom prst="rect">
                                  <a:avLst/>
                                </a:prstGeom>
                                <a:solidFill>
                                  <a:prstClr val="white"/>
                                </a:solidFill>
                                <a:ln>
                                  <a:noFill/>
                                </a:ln>
                              </wps:spPr>
                              <wps:txbx>
                                <w:txbxContent>
                                  <w:p w14:paraId="75A8B01F" w14:textId="7757CCDE" w:rsidR="008B2715" w:rsidRPr="004C7969" w:rsidRDefault="008B2715" w:rsidP="008B2715">
                                    <w:pPr>
                                      <w:pStyle w:val="Caption"/>
                                      <w:jc w:val="center"/>
                                      <w:rPr>
                                        <w:rFonts w:eastAsia="Calibri" w:cs="Times New Roman"/>
                                        <w:i w:val="0"/>
                                        <w:iCs w:val="0"/>
                                        <w:noProof/>
                                        <w:color w:val="000000" w:themeColor="text1"/>
                                        <w:sz w:val="32"/>
                                        <w:szCs w:val="22"/>
                                        <w:lang w:val="it-IT"/>
                                      </w:rPr>
                                    </w:pPr>
                                    <w:r w:rsidRPr="004C7969">
                                      <w:rPr>
                                        <w:rFonts w:cs="Times New Roman"/>
                                        <w:b/>
                                        <w:bCs/>
                                        <w:i w:val="0"/>
                                        <w:iCs w:val="0"/>
                                        <w:color w:val="000000" w:themeColor="text1"/>
                                        <w:sz w:val="22"/>
                                        <w:szCs w:val="22"/>
                                        <w:lang w:val="it-IT"/>
                                      </w:rPr>
                                      <w:t xml:space="preserve">Figura </w:t>
                                    </w:r>
                                    <w:r w:rsidRPr="008B2715">
                                      <w:rPr>
                                        <w:rFonts w:cs="Times New Roman"/>
                                        <w:b/>
                                        <w:bCs/>
                                        <w:i w:val="0"/>
                                        <w:iCs w:val="0"/>
                                        <w:color w:val="000000" w:themeColor="text1"/>
                                        <w:sz w:val="22"/>
                                        <w:szCs w:val="22"/>
                                      </w:rPr>
                                      <w:fldChar w:fldCharType="begin"/>
                                    </w:r>
                                    <w:r w:rsidRPr="004C7969">
                                      <w:rPr>
                                        <w:rFonts w:cs="Times New Roman"/>
                                        <w:b/>
                                        <w:bCs/>
                                        <w:i w:val="0"/>
                                        <w:iCs w:val="0"/>
                                        <w:color w:val="000000" w:themeColor="text1"/>
                                        <w:sz w:val="22"/>
                                        <w:szCs w:val="22"/>
                                        <w:lang w:val="it-IT"/>
                                      </w:rPr>
                                      <w:instrText xml:space="preserve"> SEQ Figură \* ARABIC </w:instrText>
                                    </w:r>
                                    <w:r w:rsidRPr="008B2715">
                                      <w:rPr>
                                        <w:rFonts w:cs="Times New Roman"/>
                                        <w:b/>
                                        <w:bCs/>
                                        <w:i w:val="0"/>
                                        <w:iCs w:val="0"/>
                                        <w:color w:val="000000" w:themeColor="text1"/>
                                        <w:sz w:val="22"/>
                                        <w:szCs w:val="22"/>
                                      </w:rPr>
                                      <w:fldChar w:fldCharType="separate"/>
                                    </w:r>
                                    <w:r w:rsidRPr="004C7969">
                                      <w:rPr>
                                        <w:rFonts w:cs="Times New Roman"/>
                                        <w:b/>
                                        <w:bCs/>
                                        <w:i w:val="0"/>
                                        <w:iCs w:val="0"/>
                                        <w:noProof/>
                                        <w:color w:val="000000" w:themeColor="text1"/>
                                        <w:sz w:val="22"/>
                                        <w:szCs w:val="22"/>
                                        <w:lang w:val="it-IT"/>
                                      </w:rPr>
                                      <w:t>3</w:t>
                                    </w:r>
                                    <w:r w:rsidRPr="008B2715">
                                      <w:rPr>
                                        <w:rFonts w:cs="Times New Roman"/>
                                        <w:b/>
                                        <w:bCs/>
                                        <w:i w:val="0"/>
                                        <w:iCs w:val="0"/>
                                        <w:color w:val="000000" w:themeColor="text1"/>
                                        <w:sz w:val="22"/>
                                        <w:szCs w:val="22"/>
                                      </w:rPr>
                                      <w:fldChar w:fldCharType="end"/>
                                    </w:r>
                                    <w:r w:rsidRPr="004C7969">
                                      <w:rPr>
                                        <w:rFonts w:cs="Times New Roman"/>
                                        <w:b/>
                                        <w:bCs/>
                                        <w:i w:val="0"/>
                                        <w:iCs w:val="0"/>
                                        <w:color w:val="000000" w:themeColor="text1"/>
                                        <w:sz w:val="22"/>
                                        <w:szCs w:val="22"/>
                                        <w:lang w:val="it-IT"/>
                                      </w:rPr>
                                      <w:t>.</w:t>
                                    </w:r>
                                    <w:r w:rsidRPr="004C7969">
                                      <w:rPr>
                                        <w:rFonts w:cs="Times New Roman"/>
                                        <w:i w:val="0"/>
                                        <w:iCs w:val="0"/>
                                        <w:color w:val="000000" w:themeColor="text1"/>
                                        <w:sz w:val="22"/>
                                        <w:szCs w:val="22"/>
                                        <w:lang w:val="it-IT"/>
                                      </w:rPr>
                                      <w:t xml:space="preserve"> Scenarii de dezvoltare a sectorului </w:t>
                                    </w:r>
                                    <w:r w:rsidRPr="004C7969">
                                      <w:rPr>
                                        <w:rFonts w:cs="Times New Roman"/>
                                        <w:i w:val="0"/>
                                        <w:iCs w:val="0"/>
                                        <w:color w:val="000000" w:themeColor="text1"/>
                                        <w:sz w:val="22"/>
                                        <w:szCs w:val="22"/>
                                        <w:lang w:val="it-IT"/>
                                      </w:rPr>
                                      <w:br/>
                                      <w:t>energiei regenerabile</w:t>
                                    </w:r>
                                    <w:r w:rsidR="00031AE3" w:rsidRPr="004C7969">
                                      <w:rPr>
                                        <w:rFonts w:cs="Times New Roman"/>
                                        <w:i w:val="0"/>
                                        <w:iCs w:val="0"/>
                                        <w:color w:val="000000" w:themeColor="text1"/>
                                        <w:sz w:val="22"/>
                                        <w:szCs w:val="22"/>
                                        <w:lang w:val="it-IT"/>
                                      </w:rPr>
                                      <w:t xml:space="preserve"> (componenta E-SER)</w:t>
                                    </w:r>
                                    <w:r w:rsidRPr="004C7969">
                                      <w:rPr>
                                        <w:rFonts w:cs="Times New Roman"/>
                                        <w:i w:val="0"/>
                                        <w:iCs w:val="0"/>
                                        <w:color w:val="000000" w:themeColor="text1"/>
                                        <w:sz w:val="22"/>
                                        <w:szCs w:val="22"/>
                                        <w:lang w:val="it-IT"/>
                                      </w:rPr>
                                      <w:t xml:space="preserve"> până în anul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A882FF" id="Grupare 10" o:spid="_x0000_s1030" style="position:absolute;left:0;text-align:left;margin-left:226.1pt;margin-top:2.5pt;width:279.05pt;height:201.55pt;z-index:251656704;mso-width-relative:margin;mso-height-relative:margin" coordorigin="1113" coordsize="35443,25603" o:gfxdata="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31" type="#_x0000_t75" alt="Descriere: Ponderea energiei regenerabile în mixul de resurse energetice&#10;" style="position:absolute;left:1661;top:548;width:33898;height:20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">
                        <v:imagedata r:id="rId13" o:title=""/>
                        <o:lock v:ext="edit" aspectratio="f"/>
                      </v:shape>
                      <v:shape id="Casetă text 11" o:spid="_x0000_s1032" type="#_x0000_t202" style="position:absolute;left:1113;top:22182;width:35439;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14:paraId="75A8B01F" w14:textId="7757CCDE" w:rsidR="008B2715" w:rsidRPr="004C7969" w:rsidRDefault="008B2715" w:rsidP="008B2715">
                              <w:pPr>
                                <w:pStyle w:val="Caption"/>
                                <w:jc w:val="center"/>
                                <w:rPr>
                                  <w:rFonts w:eastAsia="Calibri" w:cs="Times New Roman"/>
                                  <w:i w:val="0"/>
                                  <w:iCs w:val="0"/>
                                  <w:noProof/>
                                  <w:color w:val="000000" w:themeColor="text1"/>
                                  <w:sz w:val="32"/>
                                  <w:szCs w:val="22"/>
                                  <w:lang w:val="it-IT"/>
                                </w:rPr>
                              </w:pPr>
                              <w:r w:rsidRPr="004C7969">
                                <w:rPr>
                                  <w:rFonts w:cs="Times New Roman"/>
                                  <w:b/>
                                  <w:bCs/>
                                  <w:i w:val="0"/>
                                  <w:iCs w:val="0"/>
                                  <w:color w:val="000000" w:themeColor="text1"/>
                                  <w:sz w:val="22"/>
                                  <w:szCs w:val="22"/>
                                  <w:lang w:val="it-IT"/>
                                </w:rPr>
                                <w:t xml:space="preserve">Figura </w:t>
                              </w:r>
                              <w:r w:rsidRPr="008B2715">
                                <w:rPr>
                                  <w:rFonts w:cs="Times New Roman"/>
                                  <w:b/>
                                  <w:bCs/>
                                  <w:i w:val="0"/>
                                  <w:iCs w:val="0"/>
                                  <w:color w:val="000000" w:themeColor="text1"/>
                                  <w:sz w:val="22"/>
                                  <w:szCs w:val="22"/>
                                </w:rPr>
                                <w:fldChar w:fldCharType="begin"/>
                              </w:r>
                              <w:r w:rsidRPr="004C7969">
                                <w:rPr>
                                  <w:rFonts w:cs="Times New Roman"/>
                                  <w:b/>
                                  <w:bCs/>
                                  <w:i w:val="0"/>
                                  <w:iCs w:val="0"/>
                                  <w:color w:val="000000" w:themeColor="text1"/>
                                  <w:sz w:val="22"/>
                                  <w:szCs w:val="22"/>
                                  <w:lang w:val="it-IT"/>
                                </w:rPr>
                                <w:instrText xml:space="preserve"> SEQ Figură \* ARABIC </w:instrText>
                              </w:r>
                              <w:r w:rsidRPr="008B2715">
                                <w:rPr>
                                  <w:rFonts w:cs="Times New Roman"/>
                                  <w:b/>
                                  <w:bCs/>
                                  <w:i w:val="0"/>
                                  <w:iCs w:val="0"/>
                                  <w:color w:val="000000" w:themeColor="text1"/>
                                  <w:sz w:val="22"/>
                                  <w:szCs w:val="22"/>
                                </w:rPr>
                                <w:fldChar w:fldCharType="separate"/>
                              </w:r>
                              <w:r w:rsidRPr="004C7969">
                                <w:rPr>
                                  <w:rFonts w:cs="Times New Roman"/>
                                  <w:b/>
                                  <w:bCs/>
                                  <w:i w:val="0"/>
                                  <w:iCs w:val="0"/>
                                  <w:noProof/>
                                  <w:color w:val="000000" w:themeColor="text1"/>
                                  <w:sz w:val="22"/>
                                  <w:szCs w:val="22"/>
                                  <w:lang w:val="it-IT"/>
                                </w:rPr>
                                <w:t>3</w:t>
                              </w:r>
                              <w:r w:rsidRPr="008B2715">
                                <w:rPr>
                                  <w:rFonts w:cs="Times New Roman"/>
                                  <w:b/>
                                  <w:bCs/>
                                  <w:i w:val="0"/>
                                  <w:iCs w:val="0"/>
                                  <w:color w:val="000000" w:themeColor="text1"/>
                                  <w:sz w:val="22"/>
                                  <w:szCs w:val="22"/>
                                </w:rPr>
                                <w:fldChar w:fldCharType="end"/>
                              </w:r>
                              <w:r w:rsidRPr="004C7969">
                                <w:rPr>
                                  <w:rFonts w:cs="Times New Roman"/>
                                  <w:b/>
                                  <w:bCs/>
                                  <w:i w:val="0"/>
                                  <w:iCs w:val="0"/>
                                  <w:color w:val="000000" w:themeColor="text1"/>
                                  <w:sz w:val="22"/>
                                  <w:szCs w:val="22"/>
                                  <w:lang w:val="it-IT"/>
                                </w:rPr>
                                <w:t>.</w:t>
                              </w:r>
                              <w:r w:rsidRPr="004C7969">
                                <w:rPr>
                                  <w:rFonts w:cs="Times New Roman"/>
                                  <w:i w:val="0"/>
                                  <w:iCs w:val="0"/>
                                  <w:color w:val="000000" w:themeColor="text1"/>
                                  <w:sz w:val="22"/>
                                  <w:szCs w:val="22"/>
                                  <w:lang w:val="it-IT"/>
                                </w:rPr>
                                <w:t xml:space="preserve"> Scenarii de dezvoltare a sectorului </w:t>
                              </w:r>
                              <w:r w:rsidRPr="004C7969">
                                <w:rPr>
                                  <w:rFonts w:cs="Times New Roman"/>
                                  <w:i w:val="0"/>
                                  <w:iCs w:val="0"/>
                                  <w:color w:val="000000" w:themeColor="text1"/>
                                  <w:sz w:val="22"/>
                                  <w:szCs w:val="22"/>
                                  <w:lang w:val="it-IT"/>
                                </w:rPr>
                                <w:br/>
                                <w:t>energiei regenerabile</w:t>
                              </w:r>
                              <w:r w:rsidR="00031AE3" w:rsidRPr="004C7969">
                                <w:rPr>
                                  <w:rFonts w:cs="Times New Roman"/>
                                  <w:i w:val="0"/>
                                  <w:iCs w:val="0"/>
                                  <w:color w:val="000000" w:themeColor="text1"/>
                                  <w:sz w:val="22"/>
                                  <w:szCs w:val="22"/>
                                  <w:lang w:val="it-IT"/>
                                </w:rPr>
                                <w:t xml:space="preserve"> (componenta E-SER)</w:t>
                              </w:r>
                              <w:r w:rsidRPr="004C7969">
                                <w:rPr>
                                  <w:rFonts w:cs="Times New Roman"/>
                                  <w:i w:val="0"/>
                                  <w:iCs w:val="0"/>
                                  <w:color w:val="000000" w:themeColor="text1"/>
                                  <w:sz w:val="22"/>
                                  <w:szCs w:val="22"/>
                                  <w:lang w:val="it-IT"/>
                                </w:rPr>
                                <w:t xml:space="preserve"> până în anul 2025</w:t>
                              </w:r>
                            </w:p>
                          </w:txbxContent>
                        </v:textbox>
                      </v:shape>
                      <w10:wrap type="square"/>
                    </v:group>
                    <o:OLEObject Type="Embed" ProgID="Excel.Chart.8" ShapeID="Chart 2" DrawAspect="Content" ObjectID="_1695107215" r:id="rId14">
                      <o:FieldCodes>\s</o:FieldCodes>
                    </o:OLEObject>
                  </w:pict>
                </mc:Fallback>
              </mc:AlternateContent>
            </w:r>
            <w:r w:rsidR="00F03A16">
              <w:rPr>
                <w:szCs w:val="24"/>
              </w:rPr>
              <w:t>În contextul modelărilor efectuate</w:t>
            </w:r>
            <w:r w:rsidR="008B2715">
              <w:rPr>
                <w:szCs w:val="24"/>
              </w:rPr>
              <w:t xml:space="preserve"> la zi</w:t>
            </w:r>
            <w:r w:rsidR="00F03A16">
              <w:rPr>
                <w:szCs w:val="24"/>
              </w:rPr>
              <w:t xml:space="preserve"> în TIMES și aspirațiilor </w:t>
            </w:r>
            <w:r w:rsidR="00835C40">
              <w:rPr>
                <w:szCs w:val="24"/>
              </w:rPr>
              <w:t xml:space="preserve">pentru un viitor </w:t>
            </w:r>
            <w:r w:rsidR="00F03A16">
              <w:rPr>
                <w:szCs w:val="24"/>
              </w:rPr>
              <w:t>„ver</w:t>
            </w:r>
            <w:r w:rsidR="00835C40">
              <w:rPr>
                <w:szCs w:val="24"/>
              </w:rPr>
              <w:t>de</w:t>
            </w:r>
            <w:r w:rsidR="00F03A16">
              <w:rPr>
                <w:szCs w:val="24"/>
              </w:rPr>
              <w:t xml:space="preserve">” ale Guvernului pentru anul 2030 și orizonturile </w:t>
            </w:r>
            <w:r w:rsidR="005B5BDB">
              <w:rPr>
                <w:szCs w:val="24"/>
              </w:rPr>
              <w:t xml:space="preserve">chiar </w:t>
            </w:r>
            <w:r w:rsidR="00F03A16">
              <w:rPr>
                <w:szCs w:val="24"/>
              </w:rPr>
              <w:t>mai îndepărtate, a</w:t>
            </w:r>
            <w:r w:rsidR="005B5BDB">
              <w:rPr>
                <w:szCs w:val="24"/>
              </w:rPr>
              <w:t xml:space="preserve">portul estimat mai </w:t>
            </w:r>
            <w:r w:rsidR="00CB1A76">
              <w:rPr>
                <w:szCs w:val="24"/>
              </w:rPr>
              <w:t>sus</w:t>
            </w:r>
            <w:r w:rsidR="005B5BDB">
              <w:rPr>
                <w:szCs w:val="24"/>
              </w:rPr>
              <w:t xml:space="preserve"> trebuie tratat ca un prim pas către </w:t>
            </w:r>
            <w:r w:rsidR="00835C40">
              <w:rPr>
                <w:szCs w:val="24"/>
              </w:rPr>
              <w:t xml:space="preserve">atingerea dezideratului respectiv. </w:t>
            </w:r>
            <w:r w:rsidR="008B2715">
              <w:rPr>
                <w:szCs w:val="24"/>
              </w:rPr>
              <w:t xml:space="preserve">Iar figura </w:t>
            </w:r>
            <w:r w:rsidR="00CB1A76">
              <w:rPr>
                <w:szCs w:val="24"/>
              </w:rPr>
              <w:t>3</w:t>
            </w:r>
            <w:r w:rsidR="008B2715">
              <w:rPr>
                <w:szCs w:val="24"/>
              </w:rPr>
              <w:t xml:space="preserve"> vine să confirme existența unui eventual </w:t>
            </w:r>
            <w:r w:rsidR="00D468D5">
              <w:rPr>
                <w:szCs w:val="24"/>
              </w:rPr>
              <w:t>„</w:t>
            </w:r>
            <w:r w:rsidR="008B2715">
              <w:rPr>
                <w:szCs w:val="24"/>
              </w:rPr>
              <w:t>risc</w:t>
            </w:r>
            <w:r w:rsidR="00D468D5">
              <w:rPr>
                <w:szCs w:val="24"/>
              </w:rPr>
              <w:t>”</w:t>
            </w:r>
            <w:r w:rsidR="008B2715">
              <w:rPr>
                <w:szCs w:val="24"/>
              </w:rPr>
              <w:t xml:space="preserve"> pentru o dezvoltare „sub-aștep</w:t>
            </w:r>
            <w:r w:rsidR="000B78FB">
              <w:rPr>
                <w:szCs w:val="24"/>
              </w:rPr>
              <w:t>t</w:t>
            </w:r>
            <w:r w:rsidR="008B2715">
              <w:rPr>
                <w:szCs w:val="24"/>
              </w:rPr>
              <w:t xml:space="preserve">ări” a capacităților de generare a energiei electrice regenerabile de eventuale centrale construite de APL-urile din țară cu partenerii privați naționali sau internaționali. </w:t>
            </w:r>
          </w:p>
          <w:p w14:paraId="627915D5" w14:textId="55FEAC16" w:rsidR="00CB1A76" w:rsidRDefault="00CB1A76" w:rsidP="00BE19C1">
            <w:pPr>
              <w:rPr>
                <w:szCs w:val="24"/>
              </w:rPr>
            </w:pPr>
            <w:r>
              <w:rPr>
                <w:szCs w:val="24"/>
              </w:rPr>
              <w:t xml:space="preserve">Cu toate acestea, „garanțiile” oferite de stat sectorului regenerabilelor privind achiziția nediscriminatorie a întregii cantități de energie electrică </w:t>
            </w:r>
            <w:bookmarkStart w:id="3" w:name="_GoBack"/>
            <w:bookmarkEnd w:id="3"/>
            <w:r>
              <w:rPr>
                <w:szCs w:val="24"/>
              </w:rPr>
              <w:t xml:space="preserve">produsă pentru un termen de 15 ani, și care sunt perfect aplicabile pentru tehnologiile non-intermitente, ar trebui să genereze interesul scontat atât la autoritățile locale, cât și </w:t>
            </w:r>
            <w:r w:rsidR="00F677EA">
              <w:rPr>
                <w:szCs w:val="24"/>
              </w:rPr>
              <w:t xml:space="preserve">la </w:t>
            </w:r>
            <w:r>
              <w:rPr>
                <w:szCs w:val="24"/>
              </w:rPr>
              <w:t>dezvoltatorii de tehnologii și proiecte, pentru implementarea unor astfel de inițiative în municipiile și orașele din Republic</w:t>
            </w:r>
            <w:r w:rsidR="00D431CD">
              <w:rPr>
                <w:szCs w:val="24"/>
              </w:rPr>
              <w:t>a</w:t>
            </w:r>
            <w:r>
              <w:rPr>
                <w:szCs w:val="24"/>
              </w:rPr>
              <w:t xml:space="preserve"> Moldova.</w:t>
            </w:r>
          </w:p>
          <w:p w14:paraId="35C0BFCC" w14:textId="77777777" w:rsidR="00F677EA" w:rsidRDefault="00622355" w:rsidP="00BE19C1">
            <w:pPr>
              <w:rPr>
                <w:szCs w:val="24"/>
              </w:rPr>
            </w:pPr>
            <w:r>
              <w:rPr>
                <w:szCs w:val="24"/>
              </w:rPr>
              <w:t xml:space="preserve">Suplimentar la cele notate mai sus, merită a fi menționat faptul că „atragerea” resurselor financiare din partea sectorului privat în acest domeniu merită a fi tratată ca și o măsură cu un puternic aport la redresarea economiei Republicii Moldova urmare crizei declanșate de pandemie. </w:t>
            </w:r>
          </w:p>
          <w:p w14:paraId="6FA52070" w14:textId="02FED8D9" w:rsidR="00FA3AAA" w:rsidRDefault="00622355" w:rsidP="00BE19C1">
            <w:pPr>
              <w:rPr>
                <w:szCs w:val="24"/>
              </w:rPr>
            </w:pPr>
            <w:r>
              <w:rPr>
                <w:szCs w:val="24"/>
              </w:rPr>
              <w:t>Astfel, construcția capacităților de generare a energiei electrice verzi, care au la zi statutul de producător eligibil confirmat de ANRE, presupune mobilizarea, în următorii doi ani a cca. 28-30 milioane EUR.</w:t>
            </w:r>
            <w:r w:rsidR="00F677EA">
              <w:rPr>
                <w:szCs w:val="24"/>
              </w:rPr>
              <w:t xml:space="preserve"> </w:t>
            </w:r>
            <w:r>
              <w:rPr>
                <w:szCs w:val="24"/>
              </w:rPr>
              <w:t xml:space="preserve">Dacă ar fi să estimăm valoarea investițiilor necesare pentru construcția tuturor capacităților </w:t>
            </w:r>
            <w:r w:rsidR="003B5B39">
              <w:rPr>
                <w:szCs w:val="24"/>
              </w:rPr>
              <w:t xml:space="preserve">propuse spre </w:t>
            </w:r>
            <w:r>
              <w:rPr>
                <w:szCs w:val="24"/>
              </w:rPr>
              <w:t>aloca</w:t>
            </w:r>
            <w:r w:rsidR="003B5B39">
              <w:rPr>
                <w:szCs w:val="24"/>
              </w:rPr>
              <w:t>r</w:t>
            </w:r>
            <w:r>
              <w:rPr>
                <w:szCs w:val="24"/>
              </w:rPr>
              <w:t xml:space="preserve">e de către Guvern, valoarea </w:t>
            </w:r>
            <w:r w:rsidR="00F677EA">
              <w:rPr>
                <w:szCs w:val="24"/>
              </w:rPr>
              <w:t>mijloacelor financiare</w:t>
            </w:r>
            <w:r>
              <w:rPr>
                <w:szCs w:val="24"/>
              </w:rPr>
              <w:t xml:space="preserve"> necesare pentru acest parc de unități de generare ar cifra la</w:t>
            </w:r>
            <w:r w:rsidR="00CB1A76">
              <w:rPr>
                <w:szCs w:val="24"/>
              </w:rPr>
              <w:t xml:space="preserve"> </w:t>
            </w:r>
            <w:r w:rsidR="003B5B39">
              <w:rPr>
                <w:szCs w:val="24"/>
              </w:rPr>
              <w:t>4</w:t>
            </w:r>
            <w:r w:rsidR="00BF43D4">
              <w:rPr>
                <w:szCs w:val="24"/>
              </w:rPr>
              <w:t>0</w:t>
            </w:r>
            <w:r w:rsidR="003B5B39">
              <w:rPr>
                <w:szCs w:val="24"/>
              </w:rPr>
              <w:t xml:space="preserve">0 milioane EUR – în scenariul </w:t>
            </w:r>
            <w:r w:rsidR="00F677EA">
              <w:rPr>
                <w:szCs w:val="24"/>
              </w:rPr>
              <w:t>„</w:t>
            </w:r>
            <w:r w:rsidR="003B5B39">
              <w:rPr>
                <w:szCs w:val="24"/>
              </w:rPr>
              <w:t>pesimist</w:t>
            </w:r>
            <w:r w:rsidR="00F677EA">
              <w:rPr>
                <w:szCs w:val="24"/>
              </w:rPr>
              <w:t>”</w:t>
            </w:r>
            <w:r w:rsidR="00F001D1">
              <w:rPr>
                <w:szCs w:val="24"/>
              </w:rPr>
              <w:t xml:space="preserve"> descris mai sus</w:t>
            </w:r>
            <w:r w:rsidR="003B5B39">
              <w:rPr>
                <w:szCs w:val="24"/>
              </w:rPr>
              <w:t xml:space="preserve">, și </w:t>
            </w:r>
            <w:r w:rsidR="00BF43D4">
              <w:rPr>
                <w:szCs w:val="24"/>
              </w:rPr>
              <w:t>8</w:t>
            </w:r>
            <w:r w:rsidR="007C595E" w:rsidRPr="00BF43D4">
              <w:rPr>
                <w:szCs w:val="24"/>
              </w:rPr>
              <w:t>0</w:t>
            </w:r>
            <w:r w:rsidR="003B5B39" w:rsidRPr="00BF43D4">
              <w:rPr>
                <w:szCs w:val="24"/>
              </w:rPr>
              <w:t>0 milioane EUR</w:t>
            </w:r>
            <w:r w:rsidR="003B5B39">
              <w:rPr>
                <w:szCs w:val="24"/>
              </w:rPr>
              <w:t xml:space="preserve"> – în scenariul </w:t>
            </w:r>
            <w:r w:rsidR="00F677EA">
              <w:rPr>
                <w:szCs w:val="24"/>
              </w:rPr>
              <w:t>„</w:t>
            </w:r>
            <w:r w:rsidR="002A442A">
              <w:rPr>
                <w:szCs w:val="24"/>
              </w:rPr>
              <w:t>optimist</w:t>
            </w:r>
            <w:r w:rsidR="00F677EA">
              <w:rPr>
                <w:szCs w:val="24"/>
              </w:rPr>
              <w:t>”</w:t>
            </w:r>
            <w:r w:rsidR="003B5B39">
              <w:rPr>
                <w:szCs w:val="24"/>
              </w:rPr>
              <w:t>.</w:t>
            </w:r>
            <w:r>
              <w:rPr>
                <w:szCs w:val="24"/>
              </w:rPr>
              <w:t xml:space="preserve"> </w:t>
            </w:r>
          </w:p>
          <w:p w14:paraId="692B75A1" w14:textId="166AEE2B" w:rsidR="00760BAC" w:rsidRDefault="00760BAC" w:rsidP="00BE19C1">
            <w:pPr>
              <w:rPr>
                <w:szCs w:val="24"/>
              </w:rPr>
            </w:pPr>
            <w:r>
              <w:rPr>
                <w:szCs w:val="24"/>
              </w:rPr>
              <w:t xml:space="preserve">Subliniem că valorile puterilor instalate prevăzute în </w:t>
            </w:r>
            <w:r w:rsidR="00F575A4">
              <w:rPr>
                <w:szCs w:val="24"/>
              </w:rPr>
              <w:t>a</w:t>
            </w:r>
            <w:r>
              <w:rPr>
                <w:szCs w:val="24"/>
              </w:rPr>
              <w:t>nex</w:t>
            </w:r>
            <w:r w:rsidR="00F575A4">
              <w:rPr>
                <w:szCs w:val="24"/>
              </w:rPr>
              <w:t>ă</w:t>
            </w:r>
            <w:r>
              <w:rPr>
                <w:szCs w:val="24"/>
              </w:rPr>
              <w:t xml:space="preserve"> la HG sunt valori maximale, materializarea lor în investiții concrete depinzând de o serie de factori obiectivi și subiectivi, interni și externi, ce influențează deciziile investiționale atât ale APL-urilor cât și ale investitorilor privați. </w:t>
            </w:r>
          </w:p>
          <w:p w14:paraId="2E807C3D" w14:textId="61ECF345" w:rsidR="0057300F" w:rsidRDefault="0057300F" w:rsidP="00BE19C1">
            <w:pPr>
              <w:spacing w:before="240"/>
              <w:rPr>
                <w:b/>
                <w:szCs w:val="24"/>
              </w:rPr>
            </w:pPr>
            <w:r w:rsidRPr="007F53F8">
              <w:rPr>
                <w:b/>
                <w:szCs w:val="24"/>
              </w:rPr>
              <w:t>3. Principalele prevederi ale proiectului și evidențierea elementelor noi</w:t>
            </w:r>
          </w:p>
          <w:p w14:paraId="7B406E1B" w14:textId="7F41A8F8" w:rsidR="00E16EC0" w:rsidRDefault="00C95330" w:rsidP="07DD546D">
            <w:pPr>
              <w:rPr>
                <w:shd w:val="clear" w:color="auto" w:fill="FFFFFF"/>
                <w:lang w:eastAsia="ar-SA"/>
              </w:rPr>
            </w:pPr>
            <w:r w:rsidRPr="006462B1">
              <w:rPr>
                <w:shd w:val="clear" w:color="auto" w:fill="FFFFFF"/>
                <w:lang w:eastAsia="ar-SA"/>
              </w:rPr>
              <w:t xml:space="preserve">După cum a fost prezentat mai sus, respectiva hotărâre urmărește alocarea unor noi capacități regenerabile pentru orizontul de timp 2025, ca răspuns la solicitările și </w:t>
            </w:r>
            <w:r w:rsidR="00F677EA" w:rsidRPr="006462B1">
              <w:rPr>
                <w:shd w:val="clear" w:color="auto" w:fill="FFFFFF"/>
                <w:lang w:eastAsia="ar-SA"/>
              </w:rPr>
              <w:t>semnale</w:t>
            </w:r>
            <w:r w:rsidRPr="006462B1">
              <w:rPr>
                <w:shd w:val="clear" w:color="auto" w:fill="FFFFFF"/>
                <w:lang w:eastAsia="ar-SA"/>
              </w:rPr>
              <w:t xml:space="preserve"> din piață </w:t>
            </w:r>
            <w:r w:rsidR="00F86BEA">
              <w:rPr>
                <w:shd w:val="clear" w:color="auto" w:fill="FFFFFF"/>
                <w:lang w:eastAsia="ar-SA"/>
              </w:rPr>
              <w:t xml:space="preserve">cât și ca urmare a necesităților identificate în cadrul </w:t>
            </w:r>
            <w:r w:rsidR="00690FE9">
              <w:rPr>
                <w:shd w:val="clear" w:color="auto" w:fill="FFFFFF"/>
                <w:lang w:eastAsia="ar-SA"/>
              </w:rPr>
              <w:t>MIDR</w:t>
            </w:r>
            <w:r w:rsidR="00F86BEA">
              <w:rPr>
                <w:shd w:val="clear" w:color="auto" w:fill="FFFFFF"/>
                <w:lang w:eastAsia="ar-SA"/>
              </w:rPr>
              <w:t xml:space="preserve"> precum și a restricțiilor de sistem ce influențează utilizarea surselor intermitente</w:t>
            </w:r>
            <w:r w:rsidRPr="006462B1">
              <w:rPr>
                <w:shd w:val="clear" w:color="auto" w:fill="FFFFFF"/>
                <w:lang w:eastAsia="ar-SA"/>
              </w:rPr>
              <w:t>.</w:t>
            </w:r>
          </w:p>
          <w:p w14:paraId="13109571" w14:textId="27034350" w:rsidR="00C95330" w:rsidRDefault="00F86BEA" w:rsidP="00BE19C1">
            <w:pPr>
              <w:rPr>
                <w:szCs w:val="24"/>
                <w:shd w:val="clear" w:color="auto" w:fill="FFFFFF"/>
                <w:lang w:eastAsia="ar-SA"/>
              </w:rPr>
            </w:pPr>
            <w:r>
              <w:rPr>
                <w:szCs w:val="24"/>
                <w:shd w:val="clear" w:color="auto" w:fill="FFFFFF"/>
                <w:lang w:eastAsia="ar-SA"/>
              </w:rPr>
              <w:t>În acest sens</w:t>
            </w:r>
            <w:r w:rsidR="00C95330">
              <w:rPr>
                <w:szCs w:val="24"/>
                <w:shd w:val="clear" w:color="auto" w:fill="FFFFFF"/>
                <w:lang w:eastAsia="ar-SA"/>
              </w:rPr>
              <w:t xml:space="preserve">, având în vedere preocuparea </w:t>
            </w:r>
            <w:r w:rsidR="00690FE9">
              <w:rPr>
                <w:szCs w:val="24"/>
                <w:shd w:val="clear" w:color="auto" w:fill="FFFFFF"/>
                <w:lang w:eastAsia="ar-SA"/>
              </w:rPr>
              <w:t>MIDR</w:t>
            </w:r>
            <w:r w:rsidR="00C95330">
              <w:rPr>
                <w:szCs w:val="24"/>
                <w:shd w:val="clear" w:color="auto" w:fill="FFFFFF"/>
                <w:lang w:eastAsia="ar-SA"/>
              </w:rPr>
              <w:t xml:space="preserve"> pentru soluționarea unor probleme cu un puternic impact „ecologic” și care, totodată, au potențial energetic, precum ar fi deșeurile menajere solide, apele reziduale, deșeurile agricole și organice din diferite ramuri ale economiei naționale, o atenție deosebită este atrasă sprijinirii</w:t>
            </w:r>
            <w:r w:rsidR="00F677EA">
              <w:rPr>
                <w:szCs w:val="24"/>
                <w:shd w:val="clear" w:color="auto" w:fill="FFFFFF"/>
                <w:lang w:eastAsia="ar-SA"/>
              </w:rPr>
              <w:t>,</w:t>
            </w:r>
            <w:r w:rsidR="00C95330">
              <w:rPr>
                <w:szCs w:val="24"/>
                <w:shd w:val="clear" w:color="auto" w:fill="FFFFFF"/>
                <w:lang w:eastAsia="ar-SA"/>
              </w:rPr>
              <w:t xml:space="preserve"> prin schemele de suport instituite prin Legea</w:t>
            </w:r>
            <w:r w:rsidR="00F978E5">
              <w:rPr>
                <w:szCs w:val="24"/>
                <w:shd w:val="clear" w:color="auto" w:fill="FFFFFF"/>
                <w:lang w:eastAsia="ar-SA"/>
              </w:rPr>
              <w:t xml:space="preserve"> nr.</w:t>
            </w:r>
            <w:r w:rsidR="00C95330">
              <w:rPr>
                <w:szCs w:val="24"/>
                <w:shd w:val="clear" w:color="auto" w:fill="FFFFFF"/>
                <w:lang w:eastAsia="ar-SA"/>
              </w:rPr>
              <w:t>10/2016</w:t>
            </w:r>
            <w:r w:rsidR="00F677EA">
              <w:rPr>
                <w:szCs w:val="24"/>
                <w:shd w:val="clear" w:color="auto" w:fill="FFFFFF"/>
                <w:lang w:eastAsia="ar-SA"/>
              </w:rPr>
              <w:t>,</w:t>
            </w:r>
            <w:r w:rsidR="00C95330">
              <w:rPr>
                <w:szCs w:val="24"/>
                <w:shd w:val="clear" w:color="auto" w:fill="FFFFFF"/>
                <w:lang w:eastAsia="ar-SA"/>
              </w:rPr>
              <w:t xml:space="preserve"> a investițiilor în capacitățile de generare a energiei electrice prin aplicarea </w:t>
            </w:r>
            <w:r w:rsidR="00F575A4">
              <w:rPr>
                <w:szCs w:val="24"/>
                <w:shd w:val="clear" w:color="auto" w:fill="FFFFFF"/>
                <w:lang w:eastAsia="ar-SA"/>
              </w:rPr>
              <w:t>conceptului</w:t>
            </w:r>
            <w:r w:rsidR="00C95330">
              <w:rPr>
                <w:szCs w:val="24"/>
                <w:shd w:val="clear" w:color="auto" w:fill="FFFFFF"/>
                <w:lang w:eastAsia="ar-SA"/>
              </w:rPr>
              <w:t xml:space="preserve"> „</w:t>
            </w:r>
            <w:proofErr w:type="spellStart"/>
            <w:r w:rsidR="00C95330" w:rsidRPr="00F575A4">
              <w:rPr>
                <w:i/>
                <w:iCs/>
                <w:szCs w:val="24"/>
                <w:shd w:val="clear" w:color="auto" w:fill="FFFFFF"/>
                <w:lang w:eastAsia="ar-SA"/>
              </w:rPr>
              <w:t>waste</w:t>
            </w:r>
            <w:proofErr w:type="spellEnd"/>
            <w:r w:rsidR="00C95330" w:rsidRPr="00F575A4">
              <w:rPr>
                <w:i/>
                <w:iCs/>
                <w:szCs w:val="24"/>
                <w:shd w:val="clear" w:color="auto" w:fill="FFFFFF"/>
                <w:lang w:eastAsia="ar-SA"/>
              </w:rPr>
              <w:t xml:space="preserve"> </w:t>
            </w:r>
            <w:proofErr w:type="spellStart"/>
            <w:r w:rsidR="00C95330" w:rsidRPr="00F575A4">
              <w:rPr>
                <w:i/>
                <w:iCs/>
                <w:szCs w:val="24"/>
                <w:shd w:val="clear" w:color="auto" w:fill="FFFFFF"/>
                <w:lang w:eastAsia="ar-SA"/>
              </w:rPr>
              <w:t>to</w:t>
            </w:r>
            <w:proofErr w:type="spellEnd"/>
            <w:r w:rsidR="00C95330" w:rsidRPr="00F575A4">
              <w:rPr>
                <w:i/>
                <w:iCs/>
                <w:szCs w:val="24"/>
                <w:shd w:val="clear" w:color="auto" w:fill="FFFFFF"/>
                <w:lang w:eastAsia="ar-SA"/>
              </w:rPr>
              <w:t xml:space="preserve"> </w:t>
            </w:r>
            <w:proofErr w:type="spellStart"/>
            <w:r w:rsidR="00C95330" w:rsidRPr="00F575A4">
              <w:rPr>
                <w:i/>
                <w:iCs/>
                <w:szCs w:val="24"/>
                <w:shd w:val="clear" w:color="auto" w:fill="FFFFFF"/>
                <w:lang w:eastAsia="ar-SA"/>
              </w:rPr>
              <w:t>energy</w:t>
            </w:r>
            <w:proofErr w:type="spellEnd"/>
            <w:r w:rsidR="00C95330">
              <w:rPr>
                <w:szCs w:val="24"/>
                <w:shd w:val="clear" w:color="auto" w:fill="FFFFFF"/>
                <w:lang w:eastAsia="ar-SA"/>
              </w:rPr>
              <w:t>”.</w:t>
            </w:r>
          </w:p>
          <w:p w14:paraId="10AE88C2" w14:textId="53B79138" w:rsidR="00C95330" w:rsidRPr="00C95330" w:rsidRDefault="00C95330" w:rsidP="00BE19C1">
            <w:pPr>
              <w:rPr>
                <w:szCs w:val="24"/>
                <w:shd w:val="clear" w:color="auto" w:fill="FFFFFF"/>
                <w:lang w:eastAsia="ar-SA"/>
              </w:rPr>
            </w:pPr>
            <w:r>
              <w:rPr>
                <w:szCs w:val="24"/>
                <w:shd w:val="clear" w:color="auto" w:fill="FFFFFF"/>
                <w:lang w:eastAsia="ar-SA"/>
              </w:rPr>
              <w:t xml:space="preserve">Astfel, </w:t>
            </w:r>
            <w:r w:rsidR="003B2A32">
              <w:rPr>
                <w:szCs w:val="24"/>
                <w:shd w:val="clear" w:color="auto" w:fill="FFFFFF"/>
                <w:lang w:eastAsia="ar-SA"/>
              </w:rPr>
              <w:t>proiectul hotărârii își propune majorarea cotelor alocate tehnologiilor intermitente – instalații fotovoltaice și eoliene, de la 140 MW, disponibile către sfârșitul anului 2020, la un total de 2</w:t>
            </w:r>
            <w:r w:rsidR="00B40E19">
              <w:rPr>
                <w:szCs w:val="24"/>
                <w:shd w:val="clear" w:color="auto" w:fill="FFFFFF"/>
                <w:lang w:eastAsia="ar-SA"/>
              </w:rPr>
              <w:t>50</w:t>
            </w:r>
            <w:r w:rsidR="003B2A32">
              <w:rPr>
                <w:szCs w:val="24"/>
                <w:shd w:val="clear" w:color="auto" w:fill="FFFFFF"/>
                <w:lang w:eastAsia="ar-SA"/>
              </w:rPr>
              <w:t xml:space="preserve"> MW, disponibile către sfârșitul lui 2025. Cât privește tehnologiile non-intermitente, propunerea </w:t>
            </w:r>
            <w:r w:rsidR="00690FE9">
              <w:rPr>
                <w:szCs w:val="24"/>
                <w:shd w:val="clear" w:color="auto" w:fill="FFFFFF"/>
                <w:lang w:eastAsia="ar-SA"/>
              </w:rPr>
              <w:t>MIDR</w:t>
            </w:r>
            <w:r w:rsidR="003B2A32">
              <w:rPr>
                <w:szCs w:val="24"/>
                <w:shd w:val="clear" w:color="auto" w:fill="FFFFFF"/>
                <w:lang w:eastAsia="ar-SA"/>
              </w:rPr>
              <w:t xml:space="preserve"> este de a crește cota de 28 MW la </w:t>
            </w:r>
            <w:r w:rsidR="00BD7CF3">
              <w:rPr>
                <w:szCs w:val="24"/>
                <w:shd w:val="clear" w:color="auto" w:fill="FFFFFF"/>
                <w:lang w:eastAsia="ar-SA"/>
              </w:rPr>
              <w:t>15</w:t>
            </w:r>
            <w:r w:rsidR="003B2A32">
              <w:rPr>
                <w:szCs w:val="24"/>
                <w:shd w:val="clear" w:color="auto" w:fill="FFFFFF"/>
                <w:lang w:eastAsia="ar-SA"/>
              </w:rPr>
              <w:t>0 MW, pentru același interval de timp.</w:t>
            </w:r>
          </w:p>
          <w:p w14:paraId="362F935D" w14:textId="7B23DD09" w:rsidR="003B2A32" w:rsidRDefault="003B2A32" w:rsidP="00BE19C1">
            <w:pPr>
              <w:rPr>
                <w:bCs/>
                <w:sz w:val="25"/>
                <w:szCs w:val="25"/>
              </w:rPr>
            </w:pPr>
            <w:r>
              <w:rPr>
                <w:bCs/>
                <w:sz w:val="25"/>
                <w:szCs w:val="25"/>
              </w:rPr>
              <w:lastRenderedPageBreak/>
              <w:t>De precizat că, în exercițiul de stabilire a cotelor și categoriile de capacitate, s-a ținut cont de duratele maxime de utilizare a puterii nominale aferent</w:t>
            </w:r>
            <w:r w:rsidR="00CB585F">
              <w:rPr>
                <w:bCs/>
                <w:sz w:val="25"/>
                <w:szCs w:val="25"/>
              </w:rPr>
              <w:t>e</w:t>
            </w:r>
            <w:r>
              <w:rPr>
                <w:bCs/>
                <w:sz w:val="25"/>
                <w:szCs w:val="25"/>
              </w:rPr>
              <w:t xml:space="preserve"> tehnologiilor, potențialul național disponibil, atât tehnic, cât și economic, politicile curente promovate de autoritățile naționale, precum și o serie de alte principii și ipoteze, după cum sunt prezentate mai jos:</w:t>
            </w:r>
          </w:p>
          <w:p w14:paraId="5A35162C" w14:textId="5513E303" w:rsidR="003B2A32" w:rsidRPr="00B40E19" w:rsidRDefault="07DD546D" w:rsidP="001A6406">
            <w:pPr>
              <w:pStyle w:val="ListParagraph"/>
              <w:numPr>
                <w:ilvl w:val="0"/>
                <w:numId w:val="6"/>
              </w:numPr>
              <w:ind w:left="0" w:firstLine="463"/>
              <w:contextualSpacing w:val="0"/>
              <w:rPr>
                <w:sz w:val="25"/>
                <w:szCs w:val="25"/>
              </w:rPr>
            </w:pPr>
            <w:r w:rsidRPr="00B40E19">
              <w:rPr>
                <w:sz w:val="25"/>
                <w:szCs w:val="25"/>
              </w:rPr>
              <w:t>Sursele regenerabile "variabile", precum sunt cele eoliene și fotovoltaice, implică problema echilibrării sistemului național electroenergetic. Iată de ce în cazul planificării unei ponderi importante a acestor surse se urmărește identificarea unei soluții de echilibrare a sistemului la costuri accesibile.</w:t>
            </w:r>
          </w:p>
          <w:p w14:paraId="41A08973" w14:textId="51C92DE3" w:rsidR="003B2A32" w:rsidRDefault="07DD546D" w:rsidP="07DD546D">
            <w:pPr>
              <w:pStyle w:val="ListParagraph"/>
              <w:ind w:left="0"/>
              <w:contextualSpacing w:val="0"/>
              <w:rPr>
                <w:sz w:val="25"/>
                <w:szCs w:val="25"/>
              </w:rPr>
            </w:pPr>
            <w:r w:rsidRPr="07DD546D">
              <w:rPr>
                <w:sz w:val="25"/>
                <w:szCs w:val="25"/>
              </w:rPr>
              <w:t>În același timp, aceste tehnologii au cunoscut o depreciere peste așteptări, în materie de costuri, fenomen care are un impact pozitiv direct asupra prețului de cost al energiei produse de acestea. Conform informației publicate de Agenția Internațională pentru Energie Regenerabilă /IRENA/, la nivel mondial, costul energiei produse de CE fotovoltaice s-a redus drastic l</w:t>
            </w:r>
            <w:r w:rsidRPr="00D62311">
              <w:rPr>
                <w:sz w:val="25"/>
                <w:szCs w:val="25"/>
              </w:rPr>
              <w:t>a</w:t>
            </w:r>
            <w:r w:rsidR="00D62311">
              <w:rPr>
                <w:sz w:val="25"/>
                <w:szCs w:val="25"/>
              </w:rPr>
              <w:t xml:space="preserve"> cca.</w:t>
            </w:r>
            <w:r w:rsidRPr="00D62311">
              <w:rPr>
                <w:sz w:val="25"/>
                <w:szCs w:val="25"/>
              </w:rPr>
              <w:t xml:space="preserve"> </w:t>
            </w:r>
            <w:r w:rsidR="00D62311" w:rsidRPr="00D62311">
              <w:rPr>
                <w:sz w:val="25"/>
                <w:szCs w:val="25"/>
              </w:rPr>
              <w:t>18-68</w:t>
            </w:r>
            <w:r w:rsidRPr="00D62311">
              <w:rPr>
                <w:sz w:val="25"/>
                <w:szCs w:val="25"/>
              </w:rPr>
              <w:t xml:space="preserve"> USD/MWh în 201</w:t>
            </w:r>
            <w:r w:rsidR="00D62311" w:rsidRPr="00D62311">
              <w:rPr>
                <w:sz w:val="25"/>
                <w:szCs w:val="25"/>
              </w:rPr>
              <w:t>9</w:t>
            </w:r>
            <w:r w:rsidRPr="00D62311">
              <w:rPr>
                <w:sz w:val="25"/>
                <w:szCs w:val="25"/>
              </w:rPr>
              <w:t xml:space="preserve"> de la 250</w:t>
            </w:r>
            <w:r w:rsidR="00D62311" w:rsidRPr="00D62311">
              <w:rPr>
                <w:sz w:val="25"/>
                <w:szCs w:val="25"/>
              </w:rPr>
              <w:t>-370</w:t>
            </w:r>
            <w:r w:rsidRPr="00D62311">
              <w:rPr>
                <w:sz w:val="25"/>
                <w:szCs w:val="25"/>
              </w:rPr>
              <w:t xml:space="preserve"> USD/MWh în 2010, și o cădere </w:t>
            </w:r>
            <w:r w:rsidR="00D62311" w:rsidRPr="00D62311">
              <w:rPr>
                <w:sz w:val="25"/>
                <w:szCs w:val="25"/>
              </w:rPr>
              <w:t xml:space="preserve">similară </w:t>
            </w:r>
            <w:r w:rsidRPr="00D62311">
              <w:rPr>
                <w:sz w:val="25"/>
                <w:szCs w:val="25"/>
              </w:rPr>
              <w:t>pentru energia eoliană, de la 8</w:t>
            </w:r>
            <w:r w:rsidR="00D62311" w:rsidRPr="00D62311">
              <w:rPr>
                <w:sz w:val="25"/>
                <w:szCs w:val="25"/>
              </w:rPr>
              <w:t>6</w:t>
            </w:r>
            <w:r w:rsidRPr="00D62311">
              <w:rPr>
                <w:sz w:val="25"/>
                <w:szCs w:val="25"/>
              </w:rPr>
              <w:t xml:space="preserve"> USD/MWh la </w:t>
            </w:r>
            <w:r w:rsidR="00D62311">
              <w:rPr>
                <w:sz w:val="25"/>
                <w:szCs w:val="25"/>
              </w:rPr>
              <w:t>cca. 25</w:t>
            </w:r>
            <w:r w:rsidR="00D62311" w:rsidRPr="00D62311">
              <w:rPr>
                <w:sz w:val="25"/>
                <w:szCs w:val="25"/>
              </w:rPr>
              <w:t>-46</w:t>
            </w:r>
            <w:r w:rsidRPr="00D62311">
              <w:rPr>
                <w:sz w:val="25"/>
                <w:szCs w:val="25"/>
              </w:rPr>
              <w:t xml:space="preserve"> USD/MWh în aceeași perioadă de timp</w:t>
            </w:r>
            <w:r w:rsidR="00D62311">
              <w:rPr>
                <w:rStyle w:val="FootnoteReference"/>
                <w:sz w:val="25"/>
                <w:szCs w:val="25"/>
              </w:rPr>
              <w:footnoteReference w:id="4"/>
            </w:r>
            <w:r w:rsidRPr="00D62311">
              <w:rPr>
                <w:sz w:val="25"/>
                <w:szCs w:val="25"/>
              </w:rPr>
              <w:t>.</w:t>
            </w:r>
            <w:r w:rsidRPr="07DD546D">
              <w:rPr>
                <w:sz w:val="25"/>
                <w:szCs w:val="25"/>
              </w:rPr>
              <w:t xml:space="preserve"> </w:t>
            </w:r>
          </w:p>
          <w:p w14:paraId="70D8E7FF" w14:textId="2F717140" w:rsidR="003B2A32" w:rsidRDefault="0026777C" w:rsidP="00BE19C1">
            <w:pPr>
              <w:rPr>
                <w:bCs/>
                <w:sz w:val="25"/>
                <w:szCs w:val="25"/>
              </w:rPr>
            </w:pPr>
            <w:r>
              <w:rPr>
                <w:bCs/>
                <w:sz w:val="25"/>
                <w:szCs w:val="25"/>
              </w:rPr>
              <w:t xml:space="preserve">Un aspect important luat în calcul la </w:t>
            </w:r>
            <w:r w:rsidR="00527EE2">
              <w:rPr>
                <w:bCs/>
                <w:sz w:val="25"/>
                <w:szCs w:val="25"/>
              </w:rPr>
              <w:t>creșterea</w:t>
            </w:r>
            <w:r>
              <w:rPr>
                <w:bCs/>
                <w:sz w:val="25"/>
                <w:szCs w:val="25"/>
              </w:rPr>
              <w:t xml:space="preserve"> cotelor de capacități, în special pentru tehno</w:t>
            </w:r>
            <w:r w:rsidR="003222B5">
              <w:rPr>
                <w:bCs/>
                <w:sz w:val="25"/>
                <w:szCs w:val="25"/>
              </w:rPr>
              <w:t>logiile solare fotovoltaice, este aportul acestora la creșterea calității serviciului de alimentare cu energie electrică, precum și fiabilitatea întregului sistem – confirmat de multiple cercetări și publicații ale instituțiilor internaționale, precum ar fi Agenția Internațională pentru Energie</w:t>
            </w:r>
            <w:r w:rsidR="00527EE2">
              <w:rPr>
                <w:rStyle w:val="FootnoteReference"/>
                <w:bCs/>
                <w:sz w:val="25"/>
                <w:szCs w:val="25"/>
              </w:rPr>
              <w:footnoteReference w:id="5"/>
            </w:r>
            <w:r w:rsidR="003222B5">
              <w:rPr>
                <w:bCs/>
                <w:sz w:val="25"/>
                <w:szCs w:val="25"/>
              </w:rPr>
              <w:t xml:space="preserve"> și </w:t>
            </w:r>
            <w:r w:rsidR="00527EE2">
              <w:rPr>
                <w:bCs/>
                <w:sz w:val="25"/>
                <w:szCs w:val="25"/>
              </w:rPr>
              <w:t>IRENA.</w:t>
            </w:r>
            <w:r w:rsidR="00527EE2">
              <w:rPr>
                <w:rStyle w:val="FootnoteReference"/>
                <w:bCs/>
                <w:sz w:val="25"/>
                <w:szCs w:val="25"/>
              </w:rPr>
              <w:footnoteReference w:id="6"/>
            </w:r>
            <w:r w:rsidR="003222B5">
              <w:rPr>
                <w:bCs/>
                <w:sz w:val="25"/>
                <w:szCs w:val="25"/>
              </w:rPr>
              <w:t xml:space="preserve"> Pentru a putea crește „prezența” acestui beneficiu în sistemul electroenergetic național, se planifică sprijinirea investițiilor în capacități solare fotovoltaice de mică dimensiune, instalate în special pe acoperișurile clădirilor rezidențiale, publice, obiectivelor industriale</w:t>
            </w:r>
            <w:r w:rsidR="00F677EA">
              <w:rPr>
                <w:bCs/>
                <w:sz w:val="25"/>
                <w:szCs w:val="25"/>
              </w:rPr>
              <w:t xml:space="preserve">, agricole </w:t>
            </w:r>
            <w:r w:rsidR="003222B5">
              <w:rPr>
                <w:bCs/>
                <w:sz w:val="25"/>
                <w:szCs w:val="25"/>
              </w:rPr>
              <w:t>și de altă natură.</w:t>
            </w:r>
          </w:p>
          <w:p w14:paraId="193C9899" w14:textId="3034B92C" w:rsidR="003222B5" w:rsidRDefault="00527EE2" w:rsidP="00BE19C1">
            <w:pPr>
              <w:rPr>
                <w:bCs/>
                <w:sz w:val="25"/>
                <w:szCs w:val="25"/>
              </w:rPr>
            </w:pPr>
            <w:r>
              <w:rPr>
                <w:bCs/>
                <w:sz w:val="25"/>
                <w:szCs w:val="25"/>
              </w:rPr>
              <w:t xml:space="preserve">Mai mult decât atât, </w:t>
            </w:r>
            <w:r w:rsidR="00690FE9">
              <w:rPr>
                <w:bCs/>
                <w:sz w:val="25"/>
                <w:szCs w:val="25"/>
              </w:rPr>
              <w:t>MIDR</w:t>
            </w:r>
            <w:r>
              <w:rPr>
                <w:bCs/>
                <w:sz w:val="25"/>
                <w:szCs w:val="25"/>
              </w:rPr>
              <w:t xml:space="preserve"> propune stabilirea unor tarife diferențiate pentru diferite categorii de capacitate, valabile pentru instalațiile solare fotovoltaice, pentru a spori interesul pentru aceste tehnologii și instalarea lor pe acoperișuri</w:t>
            </w:r>
            <w:r w:rsidR="001A6406">
              <w:rPr>
                <w:bCs/>
                <w:sz w:val="25"/>
                <w:szCs w:val="25"/>
              </w:rPr>
              <w:t xml:space="preserve"> – acest lucru urmând a fi tratat ca și parte a politicilor sectoriale promovate de </w:t>
            </w:r>
            <w:r w:rsidR="00690FE9">
              <w:rPr>
                <w:bCs/>
                <w:sz w:val="25"/>
                <w:szCs w:val="25"/>
              </w:rPr>
              <w:t>MIDR</w:t>
            </w:r>
            <w:r w:rsidR="001A6406">
              <w:rPr>
                <w:bCs/>
                <w:sz w:val="25"/>
                <w:szCs w:val="25"/>
              </w:rPr>
              <w:t>/ Guvern</w:t>
            </w:r>
            <w:r>
              <w:rPr>
                <w:bCs/>
                <w:sz w:val="25"/>
                <w:szCs w:val="25"/>
              </w:rPr>
              <w:t>. Astfel, sunt distinse următoarele trei categorii de capacitate:</w:t>
            </w:r>
          </w:p>
          <w:p w14:paraId="7A798EF7" w14:textId="08DD503C" w:rsidR="00527EE2" w:rsidRPr="00527EE2" w:rsidRDefault="00527EE2" w:rsidP="00F677EA">
            <w:pPr>
              <w:pStyle w:val="ListParagraph"/>
              <w:numPr>
                <w:ilvl w:val="0"/>
                <w:numId w:val="8"/>
              </w:numPr>
              <w:ind w:left="747"/>
              <w:rPr>
                <w:bCs/>
                <w:sz w:val="25"/>
                <w:szCs w:val="25"/>
              </w:rPr>
            </w:pPr>
            <w:r w:rsidRPr="00527EE2">
              <w:rPr>
                <w:bCs/>
                <w:sz w:val="25"/>
                <w:szCs w:val="25"/>
              </w:rPr>
              <w:t>Instalații solare PV mai mici de 50 kW;</w:t>
            </w:r>
          </w:p>
          <w:p w14:paraId="246E8362" w14:textId="123012B2" w:rsidR="00527EE2" w:rsidRPr="00527EE2" w:rsidRDefault="00527EE2" w:rsidP="00F677EA">
            <w:pPr>
              <w:pStyle w:val="ListParagraph"/>
              <w:numPr>
                <w:ilvl w:val="0"/>
                <w:numId w:val="8"/>
              </w:numPr>
              <w:ind w:left="747"/>
              <w:rPr>
                <w:bCs/>
                <w:sz w:val="25"/>
                <w:szCs w:val="25"/>
              </w:rPr>
            </w:pPr>
            <w:r w:rsidRPr="00527EE2">
              <w:rPr>
                <w:bCs/>
                <w:sz w:val="25"/>
                <w:szCs w:val="25"/>
              </w:rPr>
              <w:t>Instalații solare PV cu o putere cuprinsă în intervalul 5</w:t>
            </w:r>
            <w:r w:rsidR="000074E5">
              <w:rPr>
                <w:bCs/>
                <w:sz w:val="25"/>
                <w:szCs w:val="25"/>
              </w:rPr>
              <w:t>1</w:t>
            </w:r>
            <w:r w:rsidRPr="00527EE2">
              <w:rPr>
                <w:bCs/>
                <w:sz w:val="25"/>
                <w:szCs w:val="25"/>
              </w:rPr>
              <w:t xml:space="preserve"> – 200 kW</w:t>
            </w:r>
          </w:p>
          <w:p w14:paraId="6C2A5FC9" w14:textId="7BA21E91" w:rsidR="003B2A32" w:rsidRPr="00BD7CF3" w:rsidRDefault="00527EE2" w:rsidP="00F677EA">
            <w:pPr>
              <w:pStyle w:val="ListParagraph"/>
              <w:numPr>
                <w:ilvl w:val="0"/>
                <w:numId w:val="8"/>
              </w:numPr>
              <w:ind w:left="747"/>
              <w:rPr>
                <w:bCs/>
                <w:sz w:val="25"/>
                <w:szCs w:val="25"/>
              </w:rPr>
            </w:pPr>
            <w:r w:rsidRPr="00527EE2">
              <w:rPr>
                <w:bCs/>
                <w:sz w:val="25"/>
                <w:szCs w:val="25"/>
              </w:rPr>
              <w:t>Instalații solare PV cu o putere cuprinsă în intervalul 20</w:t>
            </w:r>
            <w:r w:rsidR="000074E5">
              <w:rPr>
                <w:bCs/>
                <w:sz w:val="25"/>
                <w:szCs w:val="25"/>
              </w:rPr>
              <w:t>1</w:t>
            </w:r>
            <w:r w:rsidRPr="00527EE2">
              <w:rPr>
                <w:bCs/>
                <w:sz w:val="25"/>
                <w:szCs w:val="25"/>
              </w:rPr>
              <w:t xml:space="preserve"> – </w:t>
            </w:r>
            <w:r w:rsidR="00BB0C0C" w:rsidRPr="00BD7CF3">
              <w:rPr>
                <w:bCs/>
                <w:sz w:val="25"/>
                <w:szCs w:val="25"/>
              </w:rPr>
              <w:t>10</w:t>
            </w:r>
            <w:r w:rsidRPr="00BD7CF3">
              <w:rPr>
                <w:bCs/>
                <w:sz w:val="25"/>
                <w:szCs w:val="25"/>
              </w:rPr>
              <w:t>00 kW</w:t>
            </w:r>
          </w:p>
          <w:p w14:paraId="623A8145" w14:textId="14EAF6A6" w:rsidR="00AC1008" w:rsidRPr="00F575A4" w:rsidRDefault="00AC1008" w:rsidP="00F575A4">
            <w:pPr>
              <w:rPr>
                <w:bCs/>
                <w:sz w:val="25"/>
                <w:szCs w:val="25"/>
              </w:rPr>
            </w:pPr>
            <w:r>
              <w:rPr>
                <w:bCs/>
                <w:sz w:val="25"/>
                <w:szCs w:val="25"/>
              </w:rPr>
              <w:t>O astfel de abordare va permite o mai corectă reflectare a costurilor investiționale specifice în valoarea tarifelor fixe, fiind cunoscut faptul că, pentru o aceeași tehnologie, investițiile sunt invers proporționale cu puterile instalate. Ace</w:t>
            </w:r>
            <w:r w:rsidR="00F575A4">
              <w:rPr>
                <w:bCs/>
                <w:sz w:val="25"/>
                <w:szCs w:val="25"/>
              </w:rPr>
              <w:t>a</w:t>
            </w:r>
            <w:r>
              <w:rPr>
                <w:bCs/>
                <w:sz w:val="25"/>
                <w:szCs w:val="25"/>
              </w:rPr>
              <w:t xml:space="preserve">stă abordare se regăsește și într-o serie de state </w:t>
            </w:r>
            <w:r w:rsidR="00CB585F">
              <w:rPr>
                <w:bCs/>
                <w:sz w:val="25"/>
                <w:szCs w:val="25"/>
              </w:rPr>
              <w:t>europene</w:t>
            </w:r>
            <w:r>
              <w:rPr>
                <w:bCs/>
                <w:sz w:val="25"/>
                <w:szCs w:val="25"/>
              </w:rPr>
              <w:t xml:space="preserve">, cum ar fi </w:t>
            </w:r>
            <w:r w:rsidR="00CB585F">
              <w:rPr>
                <w:bCs/>
                <w:sz w:val="25"/>
                <w:szCs w:val="25"/>
              </w:rPr>
              <w:t xml:space="preserve">Bulgaria, Germania, Marea Britanie, Franța (tarife fixe </w:t>
            </w:r>
            <w:proofErr w:type="spellStart"/>
            <w:r w:rsidR="00CB585F">
              <w:rPr>
                <w:bCs/>
                <w:sz w:val="25"/>
                <w:szCs w:val="25"/>
              </w:rPr>
              <w:t>premium</w:t>
            </w:r>
            <w:proofErr w:type="spellEnd"/>
            <w:r w:rsidR="00CB585F">
              <w:rPr>
                <w:bCs/>
                <w:sz w:val="25"/>
                <w:szCs w:val="25"/>
              </w:rPr>
              <w:t>).</w:t>
            </w:r>
          </w:p>
          <w:p w14:paraId="3AA8E5B0" w14:textId="7534285D" w:rsidR="00F677EA" w:rsidRDefault="00527EE2" w:rsidP="001A6406">
            <w:pPr>
              <w:pStyle w:val="ListParagraph"/>
              <w:numPr>
                <w:ilvl w:val="0"/>
                <w:numId w:val="6"/>
              </w:numPr>
              <w:spacing w:before="240"/>
              <w:ind w:left="0" w:firstLine="605"/>
              <w:contextualSpacing w:val="0"/>
              <w:rPr>
                <w:bCs/>
                <w:sz w:val="25"/>
                <w:szCs w:val="25"/>
              </w:rPr>
            </w:pPr>
            <w:r w:rsidRPr="00B81A6C">
              <w:rPr>
                <w:bCs/>
                <w:sz w:val="25"/>
                <w:szCs w:val="25"/>
              </w:rPr>
              <w:t xml:space="preserve">Potențialul </w:t>
            </w:r>
            <w:r w:rsidR="003B2A32" w:rsidRPr="00B81A6C">
              <w:rPr>
                <w:bCs/>
                <w:sz w:val="25"/>
                <w:szCs w:val="25"/>
              </w:rPr>
              <w:t>biomasei solide pentru producerea energiei electrice este</w:t>
            </w:r>
            <w:r w:rsidR="00F677EA">
              <w:rPr>
                <w:bCs/>
                <w:sz w:val="25"/>
                <w:szCs w:val="25"/>
              </w:rPr>
              <w:t xml:space="preserve">, în mod </w:t>
            </w:r>
            <w:r w:rsidR="003B2A32" w:rsidRPr="00B81A6C">
              <w:rPr>
                <w:bCs/>
                <w:sz w:val="25"/>
                <w:szCs w:val="25"/>
              </w:rPr>
              <w:t>considerabil</w:t>
            </w:r>
            <w:r w:rsidR="00F677EA">
              <w:rPr>
                <w:bCs/>
                <w:sz w:val="25"/>
                <w:szCs w:val="25"/>
              </w:rPr>
              <w:t>, unul</w:t>
            </w:r>
            <w:r w:rsidR="003B2A32" w:rsidRPr="00B81A6C">
              <w:rPr>
                <w:bCs/>
                <w:sz w:val="25"/>
                <w:szCs w:val="25"/>
              </w:rPr>
              <w:t xml:space="preserve"> limitat. Lemnele de foc, livra</w:t>
            </w:r>
            <w:r w:rsidR="00D431CD">
              <w:rPr>
                <w:bCs/>
                <w:sz w:val="25"/>
                <w:szCs w:val="25"/>
              </w:rPr>
              <w:t>t</w:t>
            </w:r>
            <w:r w:rsidR="003B2A32" w:rsidRPr="00B81A6C">
              <w:rPr>
                <w:bCs/>
                <w:sz w:val="25"/>
                <w:szCs w:val="25"/>
              </w:rPr>
              <w:t>e de întreprinderile Agenției "</w:t>
            </w:r>
            <w:proofErr w:type="spellStart"/>
            <w:r w:rsidR="003B2A32" w:rsidRPr="00B81A6C">
              <w:rPr>
                <w:bCs/>
                <w:sz w:val="25"/>
                <w:szCs w:val="25"/>
              </w:rPr>
              <w:t>Moldsilva</w:t>
            </w:r>
            <w:proofErr w:type="spellEnd"/>
            <w:r w:rsidR="003B2A32" w:rsidRPr="00B81A6C">
              <w:rPr>
                <w:bCs/>
                <w:sz w:val="25"/>
                <w:szCs w:val="25"/>
              </w:rPr>
              <w:t xml:space="preserve">", cele colectate de către persoanele fizice în </w:t>
            </w:r>
            <w:r w:rsidR="00F677EA" w:rsidRPr="00B81A6C">
              <w:rPr>
                <w:bCs/>
                <w:sz w:val="25"/>
                <w:szCs w:val="25"/>
              </w:rPr>
              <w:t>f</w:t>
            </w:r>
            <w:r w:rsidR="00F677EA">
              <w:rPr>
                <w:bCs/>
                <w:sz w:val="25"/>
                <w:szCs w:val="25"/>
              </w:rPr>
              <w:t>â</w:t>
            </w:r>
            <w:r w:rsidR="00F677EA" w:rsidRPr="00B81A6C">
              <w:rPr>
                <w:bCs/>
                <w:sz w:val="25"/>
                <w:szCs w:val="25"/>
              </w:rPr>
              <w:t>șiile</w:t>
            </w:r>
            <w:r w:rsidR="003B2A32" w:rsidRPr="00B81A6C">
              <w:rPr>
                <w:bCs/>
                <w:sz w:val="25"/>
                <w:szCs w:val="25"/>
              </w:rPr>
              <w:t xml:space="preserve"> forestiere, păduri, precum și reziduurile din agricultură, </w:t>
            </w:r>
            <w:r w:rsidR="003B2A32" w:rsidRPr="002D1E57">
              <w:rPr>
                <w:bCs/>
                <w:sz w:val="25"/>
                <w:szCs w:val="25"/>
              </w:rPr>
              <w:t xml:space="preserve">și care </w:t>
            </w:r>
            <w:r w:rsidR="002D1E57" w:rsidRPr="002D1E57">
              <w:rPr>
                <w:bCs/>
                <w:sz w:val="25"/>
                <w:szCs w:val="25"/>
              </w:rPr>
              <w:t>reprezintă</w:t>
            </w:r>
            <w:r w:rsidR="003B2A32" w:rsidRPr="00B81A6C">
              <w:rPr>
                <w:bCs/>
                <w:sz w:val="25"/>
                <w:szCs w:val="25"/>
              </w:rPr>
              <w:t xml:space="preserve"> </w:t>
            </w:r>
            <w:r w:rsidR="003B2A32">
              <w:rPr>
                <w:bCs/>
                <w:sz w:val="25"/>
                <w:szCs w:val="25"/>
              </w:rPr>
              <w:t xml:space="preserve">cumulativ </w:t>
            </w:r>
            <w:r w:rsidR="003B2A32" w:rsidRPr="00B81A6C">
              <w:rPr>
                <w:bCs/>
                <w:sz w:val="25"/>
                <w:szCs w:val="25"/>
              </w:rPr>
              <w:t xml:space="preserve">cca. </w:t>
            </w:r>
            <w:r>
              <w:rPr>
                <w:bCs/>
                <w:sz w:val="25"/>
                <w:szCs w:val="25"/>
              </w:rPr>
              <w:t>787</w:t>
            </w:r>
            <w:r w:rsidR="003B2A32" w:rsidRPr="00B81A6C">
              <w:rPr>
                <w:bCs/>
                <w:sz w:val="25"/>
                <w:szCs w:val="25"/>
              </w:rPr>
              <w:t xml:space="preserve"> </w:t>
            </w:r>
            <w:proofErr w:type="spellStart"/>
            <w:r w:rsidR="003B2A32" w:rsidRPr="00B81A6C">
              <w:rPr>
                <w:bCs/>
                <w:sz w:val="25"/>
                <w:szCs w:val="25"/>
              </w:rPr>
              <w:t>ktep</w:t>
            </w:r>
            <w:proofErr w:type="spellEnd"/>
            <w:r>
              <w:rPr>
                <w:bCs/>
                <w:sz w:val="25"/>
                <w:szCs w:val="25"/>
              </w:rPr>
              <w:t xml:space="preserve"> (conform datelor statistice pentru anul 2018</w:t>
            </w:r>
            <w:r w:rsidR="001A6406">
              <w:rPr>
                <w:bCs/>
                <w:sz w:val="25"/>
                <w:szCs w:val="25"/>
              </w:rPr>
              <w:t xml:space="preserve">, fiind reduse la </w:t>
            </w:r>
            <w:r w:rsidR="00D62311">
              <w:rPr>
                <w:bCs/>
                <w:sz w:val="25"/>
                <w:szCs w:val="25"/>
              </w:rPr>
              <w:t>650</w:t>
            </w:r>
            <w:r w:rsidR="001A6406">
              <w:rPr>
                <w:bCs/>
                <w:sz w:val="25"/>
                <w:szCs w:val="25"/>
              </w:rPr>
              <w:t xml:space="preserve"> </w:t>
            </w:r>
            <w:proofErr w:type="spellStart"/>
            <w:r w:rsidR="001A6406">
              <w:rPr>
                <w:bCs/>
                <w:sz w:val="25"/>
                <w:szCs w:val="25"/>
              </w:rPr>
              <w:t>ktep</w:t>
            </w:r>
            <w:proofErr w:type="spellEnd"/>
            <w:r w:rsidR="001A6406">
              <w:rPr>
                <w:bCs/>
                <w:sz w:val="25"/>
                <w:szCs w:val="25"/>
              </w:rPr>
              <w:t xml:space="preserve"> în balanța energetică pentru anul 2019</w:t>
            </w:r>
            <w:r>
              <w:rPr>
                <w:bCs/>
                <w:sz w:val="25"/>
                <w:szCs w:val="25"/>
              </w:rPr>
              <w:t>)</w:t>
            </w:r>
            <w:r w:rsidR="003B2A32" w:rsidRPr="00B81A6C">
              <w:rPr>
                <w:bCs/>
                <w:sz w:val="25"/>
                <w:szCs w:val="25"/>
              </w:rPr>
              <w:t>, sun utilizate preponderent pentru încălzire</w:t>
            </w:r>
            <w:r w:rsidR="00F677EA">
              <w:rPr>
                <w:bCs/>
                <w:sz w:val="25"/>
                <w:szCs w:val="25"/>
              </w:rPr>
              <w:t xml:space="preserve"> și </w:t>
            </w:r>
            <w:r w:rsidR="00F677EA">
              <w:rPr>
                <w:bCs/>
                <w:sz w:val="25"/>
                <w:szCs w:val="25"/>
              </w:rPr>
              <w:lastRenderedPageBreak/>
              <w:t>prepararea hranei</w:t>
            </w:r>
            <w:r w:rsidR="003B2A32" w:rsidRPr="00B81A6C">
              <w:rPr>
                <w:bCs/>
                <w:sz w:val="25"/>
                <w:szCs w:val="25"/>
              </w:rPr>
              <w:t xml:space="preserve"> în sectorul rezidențial </w:t>
            </w:r>
            <w:r w:rsidR="00A95549">
              <w:rPr>
                <w:bCs/>
                <w:sz w:val="25"/>
                <w:szCs w:val="25"/>
              </w:rPr>
              <w:t>din</w:t>
            </w:r>
            <w:r w:rsidR="003B2A32" w:rsidRPr="00B81A6C">
              <w:rPr>
                <w:bCs/>
                <w:sz w:val="25"/>
                <w:szCs w:val="25"/>
              </w:rPr>
              <w:t xml:space="preserve"> mediul rural. </w:t>
            </w:r>
          </w:p>
          <w:p w14:paraId="378CAF2E" w14:textId="48FE9750" w:rsidR="00527EE2" w:rsidRDefault="003B2A32" w:rsidP="00F677EA">
            <w:pPr>
              <w:spacing w:before="240"/>
              <w:rPr>
                <w:bCs/>
                <w:sz w:val="25"/>
                <w:szCs w:val="25"/>
              </w:rPr>
            </w:pPr>
            <w:r w:rsidRPr="00F677EA">
              <w:rPr>
                <w:bCs/>
                <w:sz w:val="25"/>
                <w:szCs w:val="25"/>
              </w:rPr>
              <w:t xml:space="preserve">Din punct de vedere tehnologic, </w:t>
            </w:r>
            <w:r w:rsidR="00F677EA">
              <w:rPr>
                <w:bCs/>
                <w:sz w:val="25"/>
                <w:szCs w:val="25"/>
              </w:rPr>
              <w:t xml:space="preserve">doar </w:t>
            </w:r>
            <w:r w:rsidRPr="00F677EA">
              <w:rPr>
                <w:bCs/>
                <w:sz w:val="25"/>
                <w:szCs w:val="25"/>
              </w:rPr>
              <w:t>o mică parte din cantitatea menționată mai sus ar putea fi utilizată local la producerea energiei electrice în instalații mici și mini bazate pe gazeificarea biomasei.</w:t>
            </w:r>
            <w:r w:rsidR="00F677EA">
              <w:rPr>
                <w:bCs/>
                <w:sz w:val="25"/>
                <w:szCs w:val="25"/>
              </w:rPr>
              <w:t xml:space="preserve"> </w:t>
            </w:r>
            <w:r w:rsidR="00527EE2">
              <w:rPr>
                <w:bCs/>
                <w:sz w:val="25"/>
                <w:szCs w:val="25"/>
              </w:rPr>
              <w:t>D</w:t>
            </w:r>
            <w:r w:rsidRPr="00527EE2">
              <w:rPr>
                <w:bCs/>
                <w:sz w:val="25"/>
                <w:szCs w:val="25"/>
              </w:rPr>
              <w:t xml:space="preserve">ispersarea din punct de vedere geografic a resurselor de biomasă, potențialul acestora, cheltuielile aferente logisticii și transportului materiei prime, fac dezvoltarea la scară industrială a acestei industrii una puțin realizabilă. </w:t>
            </w:r>
          </w:p>
          <w:p w14:paraId="357D7370" w14:textId="2113BD4B" w:rsidR="00D66A80" w:rsidRDefault="00527EE2" w:rsidP="00BE19C1">
            <w:pPr>
              <w:rPr>
                <w:bCs/>
                <w:sz w:val="25"/>
                <w:szCs w:val="25"/>
              </w:rPr>
            </w:pPr>
            <w:r>
              <w:rPr>
                <w:bCs/>
                <w:sz w:val="25"/>
                <w:szCs w:val="25"/>
              </w:rPr>
              <w:t xml:space="preserve">În același timp, este conștientizat faptul că economia </w:t>
            </w:r>
            <w:r w:rsidR="00CB585F">
              <w:rPr>
                <w:bCs/>
                <w:sz w:val="25"/>
                <w:szCs w:val="25"/>
              </w:rPr>
              <w:t xml:space="preserve">și populația </w:t>
            </w:r>
            <w:r>
              <w:rPr>
                <w:bCs/>
                <w:sz w:val="25"/>
                <w:szCs w:val="25"/>
              </w:rPr>
              <w:t xml:space="preserve">Republicii Moldova generează cantități uriașe de </w:t>
            </w:r>
            <w:r w:rsidR="00D66A80">
              <w:rPr>
                <w:bCs/>
                <w:sz w:val="25"/>
                <w:szCs w:val="25"/>
              </w:rPr>
              <w:t xml:space="preserve">deșeuri – menajere solide, ape reziduale, </w:t>
            </w:r>
            <w:r w:rsidR="001A6406">
              <w:rPr>
                <w:bCs/>
                <w:sz w:val="25"/>
                <w:szCs w:val="25"/>
              </w:rPr>
              <w:t>reziduuri ale</w:t>
            </w:r>
            <w:r w:rsidR="00D66A80">
              <w:rPr>
                <w:bCs/>
                <w:sz w:val="25"/>
                <w:szCs w:val="25"/>
              </w:rPr>
              <w:t xml:space="preserve"> industri</w:t>
            </w:r>
            <w:r w:rsidR="001A6406">
              <w:rPr>
                <w:bCs/>
                <w:sz w:val="25"/>
                <w:szCs w:val="25"/>
              </w:rPr>
              <w:t>ei</w:t>
            </w:r>
            <w:r w:rsidR="00D66A80">
              <w:rPr>
                <w:bCs/>
                <w:sz w:val="25"/>
                <w:szCs w:val="25"/>
              </w:rPr>
              <w:t xml:space="preserve"> alimentar</w:t>
            </w:r>
            <w:r w:rsidR="001A6406">
              <w:rPr>
                <w:bCs/>
                <w:sz w:val="25"/>
                <w:szCs w:val="25"/>
              </w:rPr>
              <w:t>e</w:t>
            </w:r>
            <w:r w:rsidR="00D66A80">
              <w:rPr>
                <w:bCs/>
                <w:sz w:val="25"/>
                <w:szCs w:val="25"/>
              </w:rPr>
              <w:t>, etc., a căror potențial energetic este enorm.</w:t>
            </w:r>
            <w:r w:rsidR="00F677EA">
              <w:rPr>
                <w:bCs/>
                <w:sz w:val="25"/>
                <w:szCs w:val="25"/>
              </w:rPr>
              <w:t xml:space="preserve"> </w:t>
            </w:r>
            <w:r w:rsidR="00D66A80">
              <w:rPr>
                <w:bCs/>
                <w:sz w:val="25"/>
                <w:szCs w:val="25"/>
              </w:rPr>
              <w:t xml:space="preserve">Prin urmare, se propune instituirea unei scheme de suport pentru investițiile în acest domeniu. Pentru a sprijini, în special, autoritățile administrației publice locale și a facilita inițierea, de către acestea, a unor parteneriate cu sectorul privat, </w:t>
            </w:r>
            <w:r w:rsidR="00690FE9">
              <w:rPr>
                <w:bCs/>
                <w:sz w:val="25"/>
                <w:szCs w:val="25"/>
              </w:rPr>
              <w:t>MIDR</w:t>
            </w:r>
            <w:r w:rsidR="00D66A80">
              <w:rPr>
                <w:bCs/>
                <w:sz w:val="25"/>
                <w:szCs w:val="25"/>
              </w:rPr>
              <w:t xml:space="preserve"> propune alocarea unor capacități de 100 MW pentru instalațiile </w:t>
            </w:r>
            <w:r w:rsidR="00D66A80" w:rsidRPr="00D66A80">
              <w:rPr>
                <w:bCs/>
                <w:sz w:val="25"/>
                <w:szCs w:val="25"/>
              </w:rPr>
              <w:t xml:space="preserve">în cogenerare pe bază de biogaz produs prin </w:t>
            </w:r>
            <w:r w:rsidR="00D66A80" w:rsidRPr="00D66A80">
              <w:rPr>
                <w:bCs/>
                <w:i/>
                <w:iCs/>
                <w:sz w:val="25"/>
                <w:szCs w:val="25"/>
              </w:rPr>
              <w:t>i)</w:t>
            </w:r>
            <w:r w:rsidR="00D66A80">
              <w:rPr>
                <w:bCs/>
                <w:sz w:val="25"/>
                <w:szCs w:val="25"/>
              </w:rPr>
              <w:t xml:space="preserve"> </w:t>
            </w:r>
            <w:r w:rsidR="00D66A80" w:rsidRPr="00D66A80">
              <w:rPr>
                <w:bCs/>
                <w:sz w:val="25"/>
                <w:szCs w:val="25"/>
              </w:rPr>
              <w:t>valorificarea deșeurilor municipale solide</w:t>
            </w:r>
            <w:r w:rsidR="00D66A80">
              <w:rPr>
                <w:bCs/>
                <w:sz w:val="25"/>
                <w:szCs w:val="25"/>
              </w:rPr>
              <w:t xml:space="preserve"> și </w:t>
            </w:r>
            <w:r w:rsidR="00D66A80" w:rsidRPr="00D66A80">
              <w:rPr>
                <w:bCs/>
                <w:i/>
                <w:iCs/>
                <w:sz w:val="25"/>
                <w:szCs w:val="25"/>
              </w:rPr>
              <w:t>ii)</w:t>
            </w:r>
            <w:r w:rsidR="00D66A80">
              <w:rPr>
                <w:bCs/>
                <w:sz w:val="25"/>
                <w:szCs w:val="25"/>
              </w:rPr>
              <w:t xml:space="preserve"> </w:t>
            </w:r>
            <w:r w:rsidR="00D66A80" w:rsidRPr="00D66A80">
              <w:rPr>
                <w:bCs/>
                <w:sz w:val="25"/>
                <w:szCs w:val="25"/>
              </w:rPr>
              <w:t>deșeurilor municipale lichide /ape reziduale/</w:t>
            </w:r>
            <w:r w:rsidR="00D66A80">
              <w:rPr>
                <w:bCs/>
                <w:sz w:val="25"/>
                <w:szCs w:val="25"/>
              </w:rPr>
              <w:t>.</w:t>
            </w:r>
          </w:p>
          <w:p w14:paraId="5BF0F763" w14:textId="0F469717" w:rsidR="00D66A80" w:rsidRDefault="00D66A80" w:rsidP="00BE19C1">
            <w:pPr>
              <w:rPr>
                <w:bCs/>
                <w:sz w:val="25"/>
                <w:szCs w:val="25"/>
              </w:rPr>
            </w:pPr>
            <w:r>
              <w:rPr>
                <w:bCs/>
                <w:sz w:val="25"/>
                <w:szCs w:val="25"/>
              </w:rPr>
              <w:t xml:space="preserve">În același timp, </w:t>
            </w:r>
            <w:r w:rsidR="00690FE9">
              <w:rPr>
                <w:bCs/>
                <w:sz w:val="25"/>
                <w:szCs w:val="25"/>
              </w:rPr>
              <w:t>MIDR</w:t>
            </w:r>
            <w:r>
              <w:rPr>
                <w:bCs/>
                <w:sz w:val="25"/>
                <w:szCs w:val="25"/>
              </w:rPr>
              <w:t xml:space="preserve"> intenționează sprijinirea intențiilor sectorului privat de a valorifica potențialul energetic al deșeurilor generate de procesele tehnologice utilizate, astfel fiind alocate </w:t>
            </w:r>
            <w:r w:rsidRPr="000074E5">
              <w:rPr>
                <w:bCs/>
                <w:sz w:val="25"/>
                <w:szCs w:val="25"/>
              </w:rPr>
              <w:t>95 MW</w:t>
            </w:r>
            <w:r>
              <w:rPr>
                <w:bCs/>
                <w:sz w:val="25"/>
                <w:szCs w:val="25"/>
              </w:rPr>
              <w:t xml:space="preserve"> pentru </w:t>
            </w:r>
            <w:r w:rsidR="00A95549">
              <w:rPr>
                <w:bCs/>
                <w:sz w:val="25"/>
                <w:szCs w:val="25"/>
              </w:rPr>
              <w:t xml:space="preserve"> </w:t>
            </w:r>
            <w:r w:rsidRPr="00D66A80">
              <w:rPr>
                <w:bCs/>
                <w:i/>
                <w:iCs/>
                <w:sz w:val="25"/>
                <w:szCs w:val="25"/>
              </w:rPr>
              <w:t>i)</w:t>
            </w:r>
            <w:r>
              <w:rPr>
                <w:bCs/>
                <w:sz w:val="25"/>
                <w:szCs w:val="25"/>
              </w:rPr>
              <w:t xml:space="preserve"> </w:t>
            </w:r>
            <w:r w:rsidRPr="00D66A80">
              <w:rPr>
                <w:bCs/>
                <w:sz w:val="25"/>
                <w:szCs w:val="25"/>
              </w:rPr>
              <w:t xml:space="preserve">unități în cogenerare pe bază de biogaz (produs prin valorificarea potențialului energetic al dejecțiilor animaliere, deșeurilor zootehnice, </w:t>
            </w:r>
            <w:r w:rsidR="000074E5">
              <w:rPr>
                <w:bCs/>
                <w:sz w:val="25"/>
                <w:szCs w:val="25"/>
              </w:rPr>
              <w:t xml:space="preserve">deșeuri </w:t>
            </w:r>
            <w:r w:rsidRPr="000074E5">
              <w:rPr>
                <w:bCs/>
                <w:sz w:val="25"/>
                <w:szCs w:val="25"/>
              </w:rPr>
              <w:t>agricole,</w:t>
            </w:r>
            <w:r w:rsidRPr="00D66A80">
              <w:rPr>
                <w:bCs/>
                <w:sz w:val="25"/>
                <w:szCs w:val="25"/>
              </w:rPr>
              <w:t xml:space="preserve"> culturi</w:t>
            </w:r>
            <w:r w:rsidR="000074E5">
              <w:rPr>
                <w:bCs/>
                <w:sz w:val="25"/>
                <w:szCs w:val="25"/>
              </w:rPr>
              <w:t xml:space="preserve"> agricole, </w:t>
            </w:r>
            <w:r w:rsidRPr="00D66A80">
              <w:rPr>
                <w:bCs/>
                <w:sz w:val="25"/>
                <w:szCs w:val="25"/>
              </w:rPr>
              <w:t>plante energetice, deșeuri ale industriei alimentare, etc., inclusiv amestecul dintre acestea)</w:t>
            </w:r>
            <w:r>
              <w:rPr>
                <w:bCs/>
                <w:sz w:val="25"/>
                <w:szCs w:val="25"/>
              </w:rPr>
              <w:t xml:space="preserve">, </w:t>
            </w:r>
            <w:r w:rsidRPr="00D66A80">
              <w:rPr>
                <w:bCs/>
                <w:i/>
                <w:iCs/>
                <w:sz w:val="25"/>
                <w:szCs w:val="25"/>
              </w:rPr>
              <w:t>ii)</w:t>
            </w:r>
            <w:r>
              <w:t xml:space="preserve"> i</w:t>
            </w:r>
            <w:r w:rsidRPr="00D66A80">
              <w:rPr>
                <w:bCs/>
                <w:sz w:val="25"/>
                <w:szCs w:val="25"/>
              </w:rPr>
              <w:t xml:space="preserve">nstalații de cogenerare pe bază de </w:t>
            </w:r>
            <w:proofErr w:type="spellStart"/>
            <w:r w:rsidRPr="00D66A80">
              <w:rPr>
                <w:bCs/>
                <w:sz w:val="25"/>
                <w:szCs w:val="25"/>
              </w:rPr>
              <w:t>singaz</w:t>
            </w:r>
            <w:proofErr w:type="spellEnd"/>
            <w:r>
              <w:rPr>
                <w:bCs/>
                <w:sz w:val="25"/>
                <w:szCs w:val="25"/>
              </w:rPr>
              <w:t xml:space="preserve"> </w:t>
            </w:r>
            <w:r w:rsidRPr="00D66A80">
              <w:rPr>
                <w:bCs/>
                <w:sz w:val="25"/>
                <w:szCs w:val="25"/>
              </w:rPr>
              <w:t>(pe biocombustibil solid, deșeuri agricole, inclusiv culturi/plante energetice)</w:t>
            </w:r>
            <w:r>
              <w:rPr>
                <w:bCs/>
                <w:sz w:val="25"/>
                <w:szCs w:val="25"/>
              </w:rPr>
              <w:t xml:space="preserve"> și </w:t>
            </w:r>
            <w:r w:rsidRPr="00D66A80">
              <w:rPr>
                <w:bCs/>
                <w:i/>
                <w:iCs/>
                <w:sz w:val="25"/>
                <w:szCs w:val="25"/>
              </w:rPr>
              <w:t>iii)</w:t>
            </w:r>
            <w:r>
              <w:rPr>
                <w:bCs/>
                <w:i/>
                <w:iCs/>
                <w:sz w:val="25"/>
                <w:szCs w:val="25"/>
              </w:rPr>
              <w:t xml:space="preserve"> </w:t>
            </w:r>
            <w:r w:rsidRPr="00D66A80">
              <w:rPr>
                <w:bCs/>
                <w:sz w:val="25"/>
                <w:szCs w:val="25"/>
              </w:rPr>
              <w:t>instalații de cogenerare utilizând arderea directă</w:t>
            </w:r>
            <w:r>
              <w:rPr>
                <w:bCs/>
                <w:sz w:val="25"/>
                <w:szCs w:val="25"/>
              </w:rPr>
              <w:t xml:space="preserve"> </w:t>
            </w:r>
            <w:r w:rsidRPr="00D66A80">
              <w:rPr>
                <w:bCs/>
                <w:sz w:val="25"/>
                <w:szCs w:val="25"/>
              </w:rPr>
              <w:t>(pe biocombustibil solid, deșeuri agricole, inclusiv culturi/ plante energetice</w:t>
            </w:r>
            <w:r w:rsidR="00A95549">
              <w:rPr>
                <w:bCs/>
                <w:sz w:val="25"/>
                <w:szCs w:val="25"/>
              </w:rPr>
              <w:t>, sau deșeurile menajere solide</w:t>
            </w:r>
            <w:r w:rsidRPr="00D66A80">
              <w:rPr>
                <w:bCs/>
                <w:sz w:val="25"/>
                <w:szCs w:val="25"/>
              </w:rPr>
              <w:t>)</w:t>
            </w:r>
            <w:r>
              <w:rPr>
                <w:bCs/>
                <w:sz w:val="25"/>
                <w:szCs w:val="25"/>
              </w:rPr>
              <w:t>.</w:t>
            </w:r>
          </w:p>
          <w:p w14:paraId="46E169D8" w14:textId="68156941" w:rsidR="00D66A80" w:rsidRPr="00D66A80" w:rsidRDefault="00D66A80" w:rsidP="00BE19C1">
            <w:pPr>
              <w:rPr>
                <w:bCs/>
                <w:sz w:val="25"/>
                <w:szCs w:val="25"/>
              </w:rPr>
            </w:pPr>
            <w:r>
              <w:rPr>
                <w:bCs/>
                <w:sz w:val="25"/>
                <w:szCs w:val="25"/>
              </w:rPr>
              <w:t xml:space="preserve">Având în vedere interesul </w:t>
            </w:r>
            <w:r w:rsidR="00690FE9">
              <w:rPr>
                <w:bCs/>
                <w:sz w:val="25"/>
                <w:szCs w:val="25"/>
              </w:rPr>
              <w:t>MIDR</w:t>
            </w:r>
            <w:r>
              <w:rPr>
                <w:bCs/>
                <w:sz w:val="25"/>
                <w:szCs w:val="25"/>
              </w:rPr>
              <w:t>/ Guvernului de a contribui la soluționarea proble</w:t>
            </w:r>
            <w:r w:rsidR="00942B8D">
              <w:rPr>
                <w:bCs/>
                <w:sz w:val="25"/>
                <w:szCs w:val="25"/>
              </w:rPr>
              <w:t>mei</w:t>
            </w:r>
            <w:r>
              <w:rPr>
                <w:bCs/>
                <w:sz w:val="25"/>
                <w:szCs w:val="25"/>
              </w:rPr>
              <w:t xml:space="preserve"> deșeurilor agricole și cele municipale</w:t>
            </w:r>
            <w:r w:rsidR="008E4CF2">
              <w:rPr>
                <w:bCs/>
                <w:sz w:val="25"/>
                <w:szCs w:val="25"/>
              </w:rPr>
              <w:t>, este promovată eliminarea limitei de capacitate pentru respectivele tehnologii non-intermitente.</w:t>
            </w:r>
            <w:r>
              <w:rPr>
                <w:bCs/>
                <w:sz w:val="25"/>
                <w:szCs w:val="25"/>
              </w:rPr>
              <w:t xml:space="preserve"> </w:t>
            </w:r>
            <w:r w:rsidR="00F677EA">
              <w:rPr>
                <w:bCs/>
                <w:sz w:val="25"/>
                <w:szCs w:val="25"/>
              </w:rPr>
              <w:t>Motivele unei astfel de abordări sunt prezentate la pct</w:t>
            </w:r>
            <w:r w:rsidR="00942B8D">
              <w:rPr>
                <w:bCs/>
                <w:sz w:val="25"/>
                <w:szCs w:val="25"/>
              </w:rPr>
              <w:t>.</w:t>
            </w:r>
            <w:r w:rsidR="00F677EA">
              <w:rPr>
                <w:bCs/>
                <w:sz w:val="25"/>
                <w:szCs w:val="25"/>
              </w:rPr>
              <w:t xml:space="preserve"> IV al prezentului capitol.</w:t>
            </w:r>
          </w:p>
          <w:p w14:paraId="6C886811" w14:textId="1F45F1C1" w:rsidR="003B2A32" w:rsidRDefault="008E4CF2" w:rsidP="001A6406">
            <w:pPr>
              <w:pStyle w:val="ListParagraph"/>
              <w:numPr>
                <w:ilvl w:val="0"/>
                <w:numId w:val="6"/>
              </w:numPr>
              <w:tabs>
                <w:tab w:val="left" w:pos="1030"/>
              </w:tabs>
              <w:ind w:left="0" w:firstLine="747"/>
              <w:contextualSpacing w:val="0"/>
              <w:rPr>
                <w:bCs/>
                <w:sz w:val="25"/>
                <w:szCs w:val="25"/>
              </w:rPr>
            </w:pPr>
            <w:r w:rsidRPr="00CB3032">
              <w:rPr>
                <w:bCs/>
                <w:sz w:val="25"/>
                <w:szCs w:val="25"/>
              </w:rPr>
              <w:t>Potențialul </w:t>
            </w:r>
            <w:r w:rsidR="003B2A32" w:rsidRPr="00CB3032">
              <w:rPr>
                <w:bCs/>
                <w:sz w:val="25"/>
                <w:szCs w:val="25"/>
              </w:rPr>
              <w:t xml:space="preserve">disponibil </w:t>
            </w:r>
            <w:proofErr w:type="spellStart"/>
            <w:r w:rsidR="003B2A32" w:rsidRPr="00CB3032">
              <w:rPr>
                <w:bCs/>
                <w:sz w:val="25"/>
                <w:szCs w:val="25"/>
              </w:rPr>
              <w:t>hidro</w:t>
            </w:r>
            <w:proofErr w:type="spellEnd"/>
            <w:r w:rsidR="003B2A32">
              <w:rPr>
                <w:bCs/>
                <w:sz w:val="25"/>
                <w:szCs w:val="25"/>
              </w:rPr>
              <w:t xml:space="preserve"> </w:t>
            </w:r>
            <w:r w:rsidR="003B2A32" w:rsidRPr="00CB3032">
              <w:rPr>
                <w:bCs/>
                <w:sz w:val="25"/>
                <w:szCs w:val="25"/>
              </w:rPr>
              <w:t xml:space="preserve">al râurilor mici din țară este </w:t>
            </w:r>
            <w:r w:rsidR="003B2A32">
              <w:rPr>
                <w:bCs/>
                <w:sz w:val="25"/>
                <w:szCs w:val="25"/>
              </w:rPr>
              <w:t xml:space="preserve">unul </w:t>
            </w:r>
            <w:r w:rsidR="003B2A32" w:rsidRPr="00CB3032">
              <w:rPr>
                <w:bCs/>
                <w:sz w:val="25"/>
                <w:szCs w:val="25"/>
              </w:rPr>
              <w:t>foarte mic, practic neglijabil</w:t>
            </w:r>
            <w:r w:rsidR="003B2A32">
              <w:rPr>
                <w:bCs/>
                <w:sz w:val="25"/>
                <w:szCs w:val="25"/>
              </w:rPr>
              <w:t>. Din aceste considerente, se admite ca și posibil un scenariu în care se va asigura reabilitarea unor CHE de mică capacitate, existente odinioară pe râurile mici din țară.</w:t>
            </w:r>
            <w:r w:rsidR="00F677EA">
              <w:rPr>
                <w:bCs/>
                <w:sz w:val="25"/>
                <w:szCs w:val="25"/>
              </w:rPr>
              <w:t xml:space="preserve"> Semnalele din piață cu privire la un eventual interes pentru investiții în reabilitatea vechilor unități de generare merită a fi încurajate prin alocarea unor capacități corespunzătoare</w:t>
            </w:r>
            <w:r w:rsidR="00B561C3">
              <w:rPr>
                <w:bCs/>
                <w:sz w:val="25"/>
                <w:szCs w:val="25"/>
              </w:rPr>
              <w:t>, dezvoltarea acestor proiecte urmând să fie asigurată în strictă conformitate cu legislația de mediu.</w:t>
            </w:r>
          </w:p>
          <w:p w14:paraId="19B3F88C" w14:textId="0F210936" w:rsidR="003B2A32" w:rsidRDefault="008E4CF2" w:rsidP="001A6406">
            <w:pPr>
              <w:pStyle w:val="ListParagraph"/>
              <w:numPr>
                <w:ilvl w:val="0"/>
                <w:numId w:val="6"/>
              </w:numPr>
              <w:tabs>
                <w:tab w:val="left" w:pos="1030"/>
              </w:tabs>
              <w:ind w:left="0" w:firstLine="747"/>
              <w:rPr>
                <w:bCs/>
                <w:sz w:val="25"/>
                <w:szCs w:val="25"/>
              </w:rPr>
            </w:pPr>
            <w:r>
              <w:rPr>
                <w:bCs/>
                <w:sz w:val="25"/>
                <w:szCs w:val="25"/>
              </w:rPr>
              <w:t>L</w:t>
            </w:r>
            <w:r w:rsidR="003B2A32" w:rsidRPr="004E27BC">
              <w:rPr>
                <w:bCs/>
                <w:sz w:val="25"/>
                <w:szCs w:val="25"/>
              </w:rPr>
              <w:t>a stabilirea, în special a limitelor de capacitate pe</w:t>
            </w:r>
            <w:r w:rsidR="00924B82">
              <w:rPr>
                <w:bCs/>
                <w:sz w:val="25"/>
                <w:szCs w:val="25"/>
              </w:rPr>
              <w:t>ntru</w:t>
            </w:r>
            <w:r w:rsidR="003B2A32" w:rsidRPr="004E27BC">
              <w:rPr>
                <w:bCs/>
                <w:sz w:val="25"/>
                <w:szCs w:val="25"/>
              </w:rPr>
              <w:t xml:space="preserve"> tehnologii</w:t>
            </w:r>
            <w:r w:rsidR="00924B82">
              <w:rPr>
                <w:bCs/>
                <w:sz w:val="25"/>
                <w:szCs w:val="25"/>
              </w:rPr>
              <w:t>le</w:t>
            </w:r>
            <w:r w:rsidR="003B2A32" w:rsidRPr="004E27BC">
              <w:rPr>
                <w:bCs/>
                <w:sz w:val="25"/>
                <w:szCs w:val="25"/>
              </w:rPr>
              <w:t xml:space="preserve"> E-SRE</w:t>
            </w:r>
            <w:r>
              <w:rPr>
                <w:bCs/>
                <w:sz w:val="25"/>
                <w:szCs w:val="25"/>
              </w:rPr>
              <w:t xml:space="preserve"> intermitente</w:t>
            </w:r>
            <w:r w:rsidR="00247927">
              <w:rPr>
                <w:bCs/>
                <w:sz w:val="25"/>
                <w:szCs w:val="25"/>
              </w:rPr>
              <w:t xml:space="preserve"> (i.e. instalații eoliene și solare fotovoltaice)</w:t>
            </w:r>
            <w:r w:rsidR="003B2A32" w:rsidRPr="004E27BC">
              <w:rPr>
                <w:bCs/>
                <w:sz w:val="25"/>
                <w:szCs w:val="25"/>
              </w:rPr>
              <w:t>, se țin</w:t>
            </w:r>
            <w:r>
              <w:rPr>
                <w:bCs/>
                <w:sz w:val="25"/>
                <w:szCs w:val="25"/>
              </w:rPr>
              <w:t>e</w:t>
            </w:r>
            <w:r w:rsidR="003B2A32" w:rsidRPr="004E27BC">
              <w:rPr>
                <w:bCs/>
                <w:sz w:val="25"/>
                <w:szCs w:val="25"/>
              </w:rPr>
              <w:t xml:space="preserve"> cont de cerințele Comisiei Europene (Comunității Energetice) cu privire la ajutorul de stat pentru protecția mediului și a energiei </w:t>
            </w:r>
            <w:r w:rsidR="00F677EA">
              <w:rPr>
                <w:bCs/>
                <w:sz w:val="25"/>
                <w:szCs w:val="25"/>
              </w:rPr>
              <w:t xml:space="preserve">pentru perioada </w:t>
            </w:r>
            <w:r w:rsidR="003B2A32" w:rsidRPr="004E27BC">
              <w:rPr>
                <w:bCs/>
                <w:sz w:val="25"/>
                <w:szCs w:val="25"/>
              </w:rPr>
              <w:t xml:space="preserve">2014-2020. </w:t>
            </w:r>
            <w:r w:rsidR="00CE4110">
              <w:rPr>
                <w:bCs/>
                <w:sz w:val="25"/>
                <w:szCs w:val="25"/>
              </w:rPr>
              <w:t xml:space="preserve"> Iar</w:t>
            </w:r>
            <w:r w:rsidR="00B561C3">
              <w:rPr>
                <w:bCs/>
                <w:sz w:val="25"/>
                <w:szCs w:val="25"/>
              </w:rPr>
              <w:t>,</w:t>
            </w:r>
            <w:r w:rsidR="00CE4110">
              <w:rPr>
                <w:bCs/>
                <w:sz w:val="25"/>
                <w:szCs w:val="25"/>
              </w:rPr>
              <w:t xml:space="preserve"> prin </w:t>
            </w:r>
            <w:r w:rsidR="003B2A32" w:rsidRPr="004E27BC">
              <w:rPr>
                <w:bCs/>
                <w:sz w:val="25"/>
                <w:szCs w:val="25"/>
              </w:rPr>
              <w:t xml:space="preserve">PG 04/2015 aprobate de către Secretariatul Comunității Energetice la 24.11.2015 privind aplicabilitatea Orientărilor </w:t>
            </w:r>
            <w:r w:rsidR="00CE4110">
              <w:rPr>
                <w:bCs/>
                <w:sz w:val="25"/>
                <w:szCs w:val="25"/>
              </w:rPr>
              <w:t>Comisiei Europene</w:t>
            </w:r>
            <w:r w:rsidR="003B2A32" w:rsidRPr="004E27BC">
              <w:rPr>
                <w:bCs/>
                <w:sz w:val="25"/>
                <w:szCs w:val="25"/>
              </w:rPr>
              <w:t xml:space="preserve"> </w:t>
            </w:r>
            <w:r w:rsidR="003B2A32">
              <w:rPr>
                <w:bCs/>
                <w:sz w:val="25"/>
                <w:szCs w:val="25"/>
              </w:rPr>
              <w:t xml:space="preserve">(En.: </w:t>
            </w:r>
            <w:proofErr w:type="spellStart"/>
            <w:r w:rsidR="003B2A32" w:rsidRPr="00EB1D9E">
              <w:rPr>
                <w:bCs/>
                <w:i/>
                <w:sz w:val="25"/>
                <w:szCs w:val="25"/>
              </w:rPr>
              <w:t>Policy</w:t>
            </w:r>
            <w:proofErr w:type="spellEnd"/>
            <w:r w:rsidR="003B2A32" w:rsidRPr="00EB1D9E">
              <w:rPr>
                <w:bCs/>
                <w:i/>
                <w:sz w:val="25"/>
                <w:szCs w:val="25"/>
              </w:rPr>
              <w:t xml:space="preserve"> </w:t>
            </w:r>
            <w:proofErr w:type="spellStart"/>
            <w:r w:rsidR="003B2A32" w:rsidRPr="00EB1D9E">
              <w:rPr>
                <w:bCs/>
                <w:i/>
                <w:sz w:val="25"/>
                <w:szCs w:val="25"/>
              </w:rPr>
              <w:t>Guidelines</w:t>
            </w:r>
            <w:proofErr w:type="spellEnd"/>
            <w:r w:rsidR="003B2A32" w:rsidRPr="00EB1D9E">
              <w:rPr>
                <w:bCs/>
                <w:i/>
                <w:sz w:val="25"/>
                <w:szCs w:val="25"/>
              </w:rPr>
              <w:t xml:space="preserve"> on </w:t>
            </w:r>
            <w:proofErr w:type="spellStart"/>
            <w:r w:rsidR="003B2A32" w:rsidRPr="00EB1D9E">
              <w:rPr>
                <w:bCs/>
                <w:i/>
                <w:sz w:val="25"/>
                <w:szCs w:val="25"/>
              </w:rPr>
              <w:t>the</w:t>
            </w:r>
            <w:proofErr w:type="spellEnd"/>
            <w:r w:rsidR="003B2A32" w:rsidRPr="00EB1D9E">
              <w:rPr>
                <w:bCs/>
                <w:i/>
                <w:sz w:val="25"/>
                <w:szCs w:val="25"/>
              </w:rPr>
              <w:t xml:space="preserve"> </w:t>
            </w:r>
            <w:proofErr w:type="spellStart"/>
            <w:r w:rsidR="00F677EA" w:rsidRPr="00EB1D9E">
              <w:rPr>
                <w:bCs/>
                <w:i/>
                <w:sz w:val="25"/>
                <w:szCs w:val="25"/>
              </w:rPr>
              <w:t>applicability</w:t>
            </w:r>
            <w:proofErr w:type="spellEnd"/>
            <w:r w:rsidR="00F677EA" w:rsidRPr="00EB1D9E">
              <w:rPr>
                <w:bCs/>
                <w:i/>
                <w:sz w:val="25"/>
                <w:szCs w:val="25"/>
              </w:rPr>
              <w:t xml:space="preserve"> </w:t>
            </w:r>
            <w:r w:rsidR="003B2A32" w:rsidRPr="00EB1D9E">
              <w:rPr>
                <w:bCs/>
                <w:i/>
                <w:sz w:val="25"/>
                <w:szCs w:val="25"/>
              </w:rPr>
              <w:t xml:space="preserve">of </w:t>
            </w:r>
            <w:proofErr w:type="spellStart"/>
            <w:r w:rsidR="003B2A32" w:rsidRPr="00EB1D9E">
              <w:rPr>
                <w:bCs/>
                <w:i/>
                <w:sz w:val="25"/>
                <w:szCs w:val="25"/>
              </w:rPr>
              <w:t>the</w:t>
            </w:r>
            <w:proofErr w:type="spellEnd"/>
            <w:r w:rsidR="003B2A32" w:rsidRPr="00EB1D9E">
              <w:rPr>
                <w:bCs/>
                <w:i/>
                <w:sz w:val="25"/>
                <w:szCs w:val="25"/>
              </w:rPr>
              <w:t xml:space="preserve"> </w:t>
            </w:r>
            <w:proofErr w:type="spellStart"/>
            <w:r w:rsidR="003B2A32" w:rsidRPr="00EB1D9E">
              <w:rPr>
                <w:bCs/>
                <w:i/>
                <w:sz w:val="25"/>
                <w:szCs w:val="25"/>
              </w:rPr>
              <w:t>Guidelines</w:t>
            </w:r>
            <w:proofErr w:type="spellEnd"/>
            <w:r w:rsidR="003B2A32" w:rsidRPr="00EB1D9E">
              <w:rPr>
                <w:bCs/>
                <w:i/>
                <w:sz w:val="25"/>
                <w:szCs w:val="25"/>
              </w:rPr>
              <w:t xml:space="preserve"> on </w:t>
            </w:r>
            <w:r w:rsidR="00F677EA" w:rsidRPr="00EB1D9E">
              <w:rPr>
                <w:bCs/>
                <w:i/>
                <w:sz w:val="25"/>
                <w:szCs w:val="25"/>
              </w:rPr>
              <w:t xml:space="preserve">state </w:t>
            </w:r>
            <w:proofErr w:type="spellStart"/>
            <w:r w:rsidR="00F677EA" w:rsidRPr="00EB1D9E">
              <w:rPr>
                <w:bCs/>
                <w:i/>
                <w:sz w:val="25"/>
                <w:szCs w:val="25"/>
              </w:rPr>
              <w:t>ai</w:t>
            </w:r>
            <w:r w:rsidR="003B2A32" w:rsidRPr="00EB1D9E">
              <w:rPr>
                <w:bCs/>
                <w:i/>
                <w:sz w:val="25"/>
                <w:szCs w:val="25"/>
              </w:rPr>
              <w:t>d</w:t>
            </w:r>
            <w:proofErr w:type="spellEnd"/>
            <w:r w:rsidR="003B2A32" w:rsidRPr="00EB1D9E">
              <w:rPr>
                <w:bCs/>
                <w:i/>
                <w:sz w:val="25"/>
                <w:szCs w:val="25"/>
              </w:rPr>
              <w:t xml:space="preserve"> for </w:t>
            </w:r>
            <w:proofErr w:type="spellStart"/>
            <w:r w:rsidR="00F677EA" w:rsidRPr="00EB1D9E">
              <w:rPr>
                <w:bCs/>
                <w:i/>
                <w:sz w:val="25"/>
                <w:szCs w:val="25"/>
              </w:rPr>
              <w:t>environmental</w:t>
            </w:r>
            <w:proofErr w:type="spellEnd"/>
            <w:r w:rsidR="00F677EA" w:rsidRPr="00EB1D9E">
              <w:rPr>
                <w:bCs/>
                <w:i/>
                <w:sz w:val="25"/>
                <w:szCs w:val="25"/>
              </w:rPr>
              <w:t xml:space="preserve"> </w:t>
            </w:r>
            <w:proofErr w:type="spellStart"/>
            <w:r w:rsidR="00F677EA" w:rsidRPr="00EB1D9E">
              <w:rPr>
                <w:bCs/>
                <w:i/>
                <w:sz w:val="25"/>
                <w:szCs w:val="25"/>
              </w:rPr>
              <w:t>protection</w:t>
            </w:r>
            <w:proofErr w:type="spellEnd"/>
            <w:r w:rsidR="00F677EA" w:rsidRPr="00EB1D9E">
              <w:rPr>
                <w:bCs/>
                <w:i/>
                <w:sz w:val="25"/>
                <w:szCs w:val="25"/>
              </w:rPr>
              <w:t xml:space="preserve"> </w:t>
            </w:r>
            <w:proofErr w:type="spellStart"/>
            <w:r w:rsidR="003B2A32" w:rsidRPr="00EB1D9E">
              <w:rPr>
                <w:bCs/>
                <w:i/>
                <w:sz w:val="25"/>
                <w:szCs w:val="25"/>
              </w:rPr>
              <w:t>and</w:t>
            </w:r>
            <w:proofErr w:type="spellEnd"/>
            <w:r w:rsidR="003B2A32" w:rsidRPr="00EB1D9E">
              <w:rPr>
                <w:bCs/>
                <w:i/>
                <w:sz w:val="25"/>
                <w:szCs w:val="25"/>
              </w:rPr>
              <w:t xml:space="preserve"> </w:t>
            </w:r>
            <w:proofErr w:type="spellStart"/>
            <w:r w:rsidR="00F677EA" w:rsidRPr="00EB1D9E">
              <w:rPr>
                <w:bCs/>
                <w:i/>
                <w:sz w:val="25"/>
                <w:szCs w:val="25"/>
              </w:rPr>
              <w:t>energy</w:t>
            </w:r>
            <w:proofErr w:type="spellEnd"/>
            <w:r w:rsidR="00F677EA" w:rsidRPr="00EB1D9E">
              <w:rPr>
                <w:bCs/>
                <w:i/>
                <w:sz w:val="25"/>
                <w:szCs w:val="25"/>
              </w:rPr>
              <w:t xml:space="preserve"> </w:t>
            </w:r>
            <w:r w:rsidR="003B2A32" w:rsidRPr="00EB1D9E">
              <w:rPr>
                <w:bCs/>
                <w:i/>
                <w:sz w:val="25"/>
                <w:szCs w:val="25"/>
              </w:rPr>
              <w:t>2014-2020</w:t>
            </w:r>
            <w:r w:rsidR="003B2A32">
              <w:rPr>
                <w:bCs/>
                <w:i/>
                <w:sz w:val="25"/>
                <w:szCs w:val="25"/>
              </w:rPr>
              <w:t xml:space="preserve">), </w:t>
            </w:r>
            <w:r w:rsidR="003B2A32">
              <w:rPr>
                <w:bCs/>
                <w:sz w:val="25"/>
                <w:szCs w:val="25"/>
              </w:rPr>
              <w:t xml:space="preserve">Secretariatul </w:t>
            </w:r>
            <w:r w:rsidR="003B2A32" w:rsidRPr="00247927">
              <w:rPr>
                <w:bCs/>
                <w:sz w:val="25"/>
                <w:szCs w:val="25"/>
              </w:rPr>
              <w:t xml:space="preserve">s-a angajat să </w:t>
            </w:r>
            <w:r w:rsidR="00247927">
              <w:rPr>
                <w:bCs/>
                <w:sz w:val="25"/>
                <w:szCs w:val="25"/>
              </w:rPr>
              <w:t>promoveze</w:t>
            </w:r>
            <w:r w:rsidR="003B2A32" w:rsidRPr="00247927">
              <w:rPr>
                <w:bCs/>
                <w:sz w:val="25"/>
                <w:szCs w:val="25"/>
              </w:rPr>
              <w:t xml:space="preserve"> implementarea principiilor respective în legislația sectorială a Părților Contractante la Tratat. </w:t>
            </w:r>
          </w:p>
          <w:p w14:paraId="57D003C5" w14:textId="0DBBE65C" w:rsidR="00777148" w:rsidRPr="007D28DC" w:rsidRDefault="007D28DC" w:rsidP="07DD546D">
            <w:pPr>
              <w:rPr>
                <w:sz w:val="25"/>
                <w:szCs w:val="25"/>
              </w:rPr>
            </w:pPr>
            <w:r>
              <w:rPr>
                <w:sz w:val="25"/>
                <w:szCs w:val="25"/>
              </w:rPr>
              <w:t>În contextul celor menționate mai sus</w:t>
            </w:r>
            <w:r w:rsidR="07DD546D" w:rsidRPr="007D28DC">
              <w:rPr>
                <w:sz w:val="25"/>
                <w:szCs w:val="25"/>
              </w:rPr>
              <w:t>,</w:t>
            </w:r>
            <w:r>
              <w:rPr>
                <w:sz w:val="25"/>
                <w:szCs w:val="25"/>
              </w:rPr>
              <w:t xml:space="preserve"> precum și</w:t>
            </w:r>
            <w:r w:rsidR="07DD546D" w:rsidRPr="007D28DC">
              <w:rPr>
                <w:sz w:val="25"/>
                <w:szCs w:val="25"/>
              </w:rPr>
              <w:t xml:space="preserve"> în vederea </w:t>
            </w:r>
            <w:r w:rsidR="00777148" w:rsidRPr="007D28DC">
              <w:rPr>
                <w:sz w:val="25"/>
                <w:szCs w:val="25"/>
              </w:rPr>
              <w:t xml:space="preserve">promovării unei abordări </w:t>
            </w:r>
            <w:r w:rsidRPr="007D28DC">
              <w:rPr>
                <w:sz w:val="25"/>
                <w:szCs w:val="25"/>
              </w:rPr>
              <w:t xml:space="preserve">nediscriminatorii față de dezvoltatorii de proiecte, </w:t>
            </w:r>
            <w:r w:rsidR="00690FE9">
              <w:rPr>
                <w:sz w:val="25"/>
                <w:szCs w:val="25"/>
              </w:rPr>
              <w:t>MIDR</w:t>
            </w:r>
            <w:r w:rsidRPr="007D28DC">
              <w:rPr>
                <w:sz w:val="25"/>
                <w:szCs w:val="25"/>
              </w:rPr>
              <w:t xml:space="preserve"> </w:t>
            </w:r>
            <w:r>
              <w:rPr>
                <w:sz w:val="25"/>
                <w:szCs w:val="25"/>
              </w:rPr>
              <w:t xml:space="preserve">consideră necesară păstrarea limitelor de capacitate la valorile ce au făcut obiectul HG 689/2018, și anume – 4 MW pentru instalațiile eoliene și, 1 MW pentru celelalte tehnologii. </w:t>
            </w:r>
            <w:r w:rsidRPr="007D28DC">
              <w:rPr>
                <w:sz w:val="25"/>
                <w:szCs w:val="25"/>
              </w:rPr>
              <w:t xml:space="preserve">  </w:t>
            </w:r>
          </w:p>
          <w:p w14:paraId="379BFE6E" w14:textId="7DC288C4" w:rsidR="00A95549" w:rsidRDefault="00261DD3" w:rsidP="0080448D">
            <w:pPr>
              <w:rPr>
                <w:bCs/>
                <w:sz w:val="25"/>
                <w:szCs w:val="25"/>
              </w:rPr>
            </w:pPr>
            <w:r>
              <w:rPr>
                <w:bCs/>
                <w:sz w:val="25"/>
                <w:szCs w:val="25"/>
              </w:rPr>
              <w:lastRenderedPageBreak/>
              <w:t xml:space="preserve">Cât privește </w:t>
            </w:r>
            <w:r w:rsidR="00247927">
              <w:rPr>
                <w:bCs/>
                <w:sz w:val="25"/>
                <w:szCs w:val="25"/>
              </w:rPr>
              <w:t xml:space="preserve">tehnologiile </w:t>
            </w:r>
            <w:r>
              <w:rPr>
                <w:bCs/>
                <w:sz w:val="25"/>
                <w:szCs w:val="25"/>
              </w:rPr>
              <w:t>non-</w:t>
            </w:r>
            <w:r w:rsidR="00247927">
              <w:rPr>
                <w:bCs/>
                <w:sz w:val="25"/>
                <w:szCs w:val="25"/>
              </w:rPr>
              <w:t>intermitente, și în special cele care implementează conceptul „</w:t>
            </w:r>
            <w:proofErr w:type="spellStart"/>
            <w:r w:rsidR="00247927">
              <w:rPr>
                <w:bCs/>
                <w:sz w:val="25"/>
                <w:szCs w:val="25"/>
              </w:rPr>
              <w:t>waste</w:t>
            </w:r>
            <w:proofErr w:type="spellEnd"/>
            <w:r w:rsidR="00247927">
              <w:rPr>
                <w:bCs/>
                <w:sz w:val="25"/>
                <w:szCs w:val="25"/>
              </w:rPr>
              <w:t xml:space="preserve"> </w:t>
            </w:r>
            <w:proofErr w:type="spellStart"/>
            <w:r w:rsidR="00247927">
              <w:rPr>
                <w:bCs/>
                <w:sz w:val="25"/>
                <w:szCs w:val="25"/>
              </w:rPr>
              <w:t>to</w:t>
            </w:r>
            <w:proofErr w:type="spellEnd"/>
            <w:r w:rsidR="00247927">
              <w:rPr>
                <w:bCs/>
                <w:sz w:val="25"/>
                <w:szCs w:val="25"/>
              </w:rPr>
              <w:t xml:space="preserve"> </w:t>
            </w:r>
            <w:proofErr w:type="spellStart"/>
            <w:r w:rsidR="00247927">
              <w:rPr>
                <w:bCs/>
                <w:sz w:val="25"/>
                <w:szCs w:val="25"/>
              </w:rPr>
              <w:t>energy</w:t>
            </w:r>
            <w:proofErr w:type="spellEnd"/>
            <w:r w:rsidR="00247927">
              <w:rPr>
                <w:bCs/>
                <w:sz w:val="25"/>
                <w:szCs w:val="25"/>
              </w:rPr>
              <w:t>”</w:t>
            </w:r>
            <w:r w:rsidR="00E11EEE">
              <w:rPr>
                <w:bCs/>
                <w:sz w:val="25"/>
                <w:szCs w:val="25"/>
              </w:rPr>
              <w:t xml:space="preserve"> – producerea de biogaz și </w:t>
            </w:r>
            <w:proofErr w:type="spellStart"/>
            <w:r w:rsidR="00E11EEE">
              <w:rPr>
                <w:bCs/>
                <w:sz w:val="25"/>
                <w:szCs w:val="25"/>
              </w:rPr>
              <w:t>singaz</w:t>
            </w:r>
            <w:proofErr w:type="spellEnd"/>
            <w:r w:rsidR="00E11EEE">
              <w:rPr>
                <w:bCs/>
                <w:sz w:val="25"/>
                <w:szCs w:val="25"/>
              </w:rPr>
              <w:t>, cu ulterioara lui conversie în energie electrică și termică, arderea directă a deșeurilor de biomasă în instalații de cogenerare,</w:t>
            </w:r>
            <w:r w:rsidR="00A95549">
              <w:rPr>
                <w:bCs/>
                <w:sz w:val="25"/>
                <w:szCs w:val="25"/>
              </w:rPr>
              <w:t xml:space="preserve"> a deșeurilor menajere solide,</w:t>
            </w:r>
            <w:r w:rsidR="00E11EEE">
              <w:rPr>
                <w:bCs/>
                <w:sz w:val="25"/>
                <w:szCs w:val="25"/>
              </w:rPr>
              <w:t xml:space="preserve"> etc.</w:t>
            </w:r>
            <w:r w:rsidR="00247927">
              <w:rPr>
                <w:bCs/>
                <w:sz w:val="25"/>
                <w:szCs w:val="25"/>
              </w:rPr>
              <w:t xml:space="preserve">, </w:t>
            </w:r>
            <w:r w:rsidR="00690FE9">
              <w:rPr>
                <w:bCs/>
                <w:sz w:val="25"/>
                <w:szCs w:val="25"/>
              </w:rPr>
              <w:t>MIDR</w:t>
            </w:r>
            <w:r w:rsidR="00247927">
              <w:rPr>
                <w:bCs/>
                <w:sz w:val="25"/>
                <w:szCs w:val="25"/>
              </w:rPr>
              <w:t xml:space="preserve"> pledează pentru abolirea</w:t>
            </w:r>
            <w:r w:rsidR="00061761">
              <w:rPr>
                <w:bCs/>
                <w:sz w:val="25"/>
                <w:szCs w:val="25"/>
              </w:rPr>
              <w:t>/ eliminarea limitei de capacitate</w:t>
            </w:r>
            <w:r w:rsidR="00F7255F">
              <w:rPr>
                <w:bCs/>
                <w:sz w:val="25"/>
                <w:szCs w:val="25"/>
              </w:rPr>
              <w:t xml:space="preserve"> și sprijinirea proiectelor investiționale prin instrumentul „tarif fix” (</w:t>
            </w:r>
            <w:proofErr w:type="spellStart"/>
            <w:r w:rsidR="00F7255F">
              <w:rPr>
                <w:bCs/>
                <w:sz w:val="25"/>
                <w:szCs w:val="25"/>
              </w:rPr>
              <w:t>FiT</w:t>
            </w:r>
            <w:proofErr w:type="spellEnd"/>
            <w:r w:rsidR="00F7255F">
              <w:rPr>
                <w:bCs/>
                <w:sz w:val="25"/>
                <w:szCs w:val="25"/>
              </w:rPr>
              <w:t xml:space="preserve"> „clasic”)</w:t>
            </w:r>
            <w:r w:rsidR="00061761">
              <w:rPr>
                <w:bCs/>
                <w:sz w:val="25"/>
                <w:szCs w:val="25"/>
              </w:rPr>
              <w:t xml:space="preserve">, </w:t>
            </w:r>
            <w:r w:rsidR="00061761" w:rsidRPr="0080448D">
              <w:rPr>
                <w:bCs/>
                <w:sz w:val="25"/>
                <w:szCs w:val="25"/>
              </w:rPr>
              <w:t xml:space="preserve">având în </w:t>
            </w:r>
            <w:r w:rsidR="0080448D" w:rsidRPr="0080448D">
              <w:rPr>
                <w:bCs/>
                <w:sz w:val="25"/>
                <w:szCs w:val="25"/>
              </w:rPr>
              <w:t xml:space="preserve">vedere </w:t>
            </w:r>
            <w:r w:rsidR="00806448" w:rsidRPr="0080448D">
              <w:rPr>
                <w:bCs/>
                <w:sz w:val="25"/>
                <w:szCs w:val="25"/>
              </w:rPr>
              <w:t xml:space="preserve">lipsa de „flexibilitate” a Orientărilor </w:t>
            </w:r>
            <w:r w:rsidR="00F7255F" w:rsidRPr="0080448D">
              <w:rPr>
                <w:bCs/>
                <w:sz w:val="25"/>
                <w:szCs w:val="25"/>
              </w:rPr>
              <w:t>CE</w:t>
            </w:r>
            <w:r w:rsidR="00F7255F">
              <w:rPr>
                <w:bCs/>
                <w:sz w:val="25"/>
                <w:szCs w:val="25"/>
              </w:rPr>
              <w:t xml:space="preserve"> și a abordării transpuse în legislația Republicii Moldova </w:t>
            </w:r>
            <w:r w:rsidR="00806448">
              <w:rPr>
                <w:bCs/>
                <w:sz w:val="25"/>
                <w:szCs w:val="25"/>
              </w:rPr>
              <w:t xml:space="preserve">în raport cu tehnologia de cogenerare. </w:t>
            </w:r>
          </w:p>
          <w:p w14:paraId="2262DEF1" w14:textId="1774F5E5" w:rsidR="00247927" w:rsidRDefault="00806448" w:rsidP="0080448D">
            <w:pPr>
              <w:rPr>
                <w:bCs/>
                <w:sz w:val="25"/>
                <w:szCs w:val="25"/>
              </w:rPr>
            </w:pPr>
            <w:r>
              <w:rPr>
                <w:bCs/>
                <w:sz w:val="25"/>
                <w:szCs w:val="25"/>
              </w:rPr>
              <w:t xml:space="preserve">Argumentele </w:t>
            </w:r>
            <w:r w:rsidR="00690FE9">
              <w:rPr>
                <w:bCs/>
                <w:sz w:val="25"/>
                <w:szCs w:val="25"/>
              </w:rPr>
              <w:t>MIDR</w:t>
            </w:r>
            <w:r>
              <w:rPr>
                <w:bCs/>
                <w:sz w:val="25"/>
                <w:szCs w:val="25"/>
              </w:rPr>
              <w:t xml:space="preserve"> pentru susținerea poziției de mai sus, bazate pe interesul inechivoc al instituției de a promova cogenerarea, precum și </w:t>
            </w:r>
            <w:r w:rsidR="00A95549">
              <w:rPr>
                <w:bCs/>
                <w:sz w:val="25"/>
                <w:szCs w:val="25"/>
              </w:rPr>
              <w:t xml:space="preserve">în baza </w:t>
            </w:r>
            <w:r>
              <w:rPr>
                <w:bCs/>
                <w:sz w:val="25"/>
                <w:szCs w:val="25"/>
              </w:rPr>
              <w:t>experienț</w:t>
            </w:r>
            <w:r w:rsidR="00A95549">
              <w:rPr>
                <w:bCs/>
                <w:sz w:val="25"/>
                <w:szCs w:val="25"/>
              </w:rPr>
              <w:t xml:space="preserve">ei </w:t>
            </w:r>
            <w:r>
              <w:rPr>
                <w:bCs/>
                <w:sz w:val="25"/>
                <w:szCs w:val="25"/>
              </w:rPr>
              <w:t xml:space="preserve">statelor membre UE și </w:t>
            </w:r>
            <w:r w:rsidR="00A95549">
              <w:rPr>
                <w:bCs/>
                <w:sz w:val="25"/>
                <w:szCs w:val="25"/>
              </w:rPr>
              <w:t xml:space="preserve">a </w:t>
            </w:r>
            <w:r>
              <w:rPr>
                <w:bCs/>
                <w:sz w:val="25"/>
                <w:szCs w:val="25"/>
              </w:rPr>
              <w:t>lecțiil</w:t>
            </w:r>
            <w:r w:rsidR="00A95549">
              <w:rPr>
                <w:bCs/>
                <w:sz w:val="25"/>
                <w:szCs w:val="25"/>
              </w:rPr>
              <w:t>or</w:t>
            </w:r>
            <w:r>
              <w:rPr>
                <w:bCs/>
                <w:sz w:val="25"/>
                <w:szCs w:val="25"/>
              </w:rPr>
              <w:t xml:space="preserve"> învățate de către acestea, culese și agregat</w:t>
            </w:r>
            <w:r w:rsidR="00A95549">
              <w:rPr>
                <w:bCs/>
                <w:sz w:val="25"/>
                <w:szCs w:val="25"/>
              </w:rPr>
              <w:t>e</w:t>
            </w:r>
            <w:r>
              <w:rPr>
                <w:bCs/>
                <w:sz w:val="25"/>
                <w:szCs w:val="25"/>
              </w:rPr>
              <w:t xml:space="preserve"> de diverse inițiative și asociații pe domeniu cum este COGEN Europe</w:t>
            </w:r>
            <w:r w:rsidR="00867634">
              <w:rPr>
                <w:rStyle w:val="FootnoteReference"/>
                <w:bCs/>
                <w:sz w:val="25"/>
                <w:szCs w:val="25"/>
              </w:rPr>
              <w:footnoteReference w:id="7"/>
            </w:r>
            <w:r>
              <w:rPr>
                <w:bCs/>
                <w:sz w:val="25"/>
                <w:szCs w:val="25"/>
              </w:rPr>
              <w:t>, sunt prezentat</w:t>
            </w:r>
            <w:r w:rsidR="00A95549">
              <w:rPr>
                <w:bCs/>
                <w:sz w:val="25"/>
                <w:szCs w:val="25"/>
              </w:rPr>
              <w:t>e</w:t>
            </w:r>
            <w:r>
              <w:rPr>
                <w:bCs/>
                <w:sz w:val="25"/>
                <w:szCs w:val="25"/>
              </w:rPr>
              <w:t xml:space="preserve"> mai jos</w:t>
            </w:r>
            <w:r w:rsidR="00061761">
              <w:rPr>
                <w:bCs/>
                <w:sz w:val="25"/>
                <w:szCs w:val="25"/>
              </w:rPr>
              <w:t>:</w:t>
            </w:r>
          </w:p>
          <w:p w14:paraId="5003780A" w14:textId="03F6415F" w:rsidR="009C6490" w:rsidRDefault="00C317A9" w:rsidP="0080448D">
            <w:pPr>
              <w:pStyle w:val="ListParagraph"/>
              <w:numPr>
                <w:ilvl w:val="0"/>
                <w:numId w:val="9"/>
              </w:numPr>
              <w:spacing w:before="60" w:after="60"/>
              <w:ind w:left="607" w:hanging="284"/>
              <w:contextualSpacing w:val="0"/>
              <w:rPr>
                <w:bCs/>
                <w:sz w:val="25"/>
                <w:szCs w:val="25"/>
              </w:rPr>
            </w:pPr>
            <w:r w:rsidRPr="009C6490">
              <w:rPr>
                <w:bCs/>
                <w:sz w:val="25"/>
                <w:szCs w:val="25"/>
              </w:rPr>
              <w:t>Orientările CE prenotate, în formula actuală, nu permit sprijinirea suficientă a cogenerării în baza de surse regenerabile, în măsură să satisfacă promotorii schemelor de sprijin</w:t>
            </w:r>
            <w:r w:rsidR="00F7255F" w:rsidRPr="009C6490">
              <w:rPr>
                <w:bCs/>
                <w:sz w:val="25"/>
                <w:szCs w:val="25"/>
              </w:rPr>
              <w:t xml:space="preserve"> (i.e. autoritățile naționale)</w:t>
            </w:r>
            <w:r w:rsidR="009C6490">
              <w:rPr>
                <w:bCs/>
                <w:sz w:val="25"/>
                <w:szCs w:val="25"/>
              </w:rPr>
              <w:t xml:space="preserve">. Mai mult, cogenerarea </w:t>
            </w:r>
            <w:r w:rsidR="009C6490" w:rsidRPr="0080448D">
              <w:rPr>
                <w:bCs/>
                <w:sz w:val="25"/>
                <w:szCs w:val="25"/>
              </w:rPr>
              <w:t xml:space="preserve">în bază de resurse </w:t>
            </w:r>
            <w:r w:rsidR="0080448D" w:rsidRPr="0080448D">
              <w:rPr>
                <w:bCs/>
                <w:sz w:val="25"/>
                <w:szCs w:val="25"/>
              </w:rPr>
              <w:t>regenerabile</w:t>
            </w:r>
            <w:r w:rsidR="009C6490">
              <w:rPr>
                <w:bCs/>
                <w:sz w:val="25"/>
                <w:szCs w:val="25"/>
              </w:rPr>
              <w:t xml:space="preserve"> este radical diferită de producerea energiei electrice de sursele intermitente (în special la capitolul costuri investiționale și operaționale), ceea ce implică o altă abordare în stabilirea mecanismului de suport</w:t>
            </w:r>
            <w:r w:rsidR="00867634">
              <w:rPr>
                <w:bCs/>
                <w:sz w:val="25"/>
                <w:szCs w:val="25"/>
              </w:rPr>
              <w:t>.</w:t>
            </w:r>
          </w:p>
          <w:p w14:paraId="7B0E5A91" w14:textId="02E4BD24" w:rsidR="00CE14EA" w:rsidRDefault="00CE14EA" w:rsidP="0080448D">
            <w:pPr>
              <w:pStyle w:val="ListParagraph"/>
              <w:spacing w:before="60" w:after="60"/>
              <w:ind w:left="607"/>
              <w:contextualSpacing w:val="0"/>
              <w:rPr>
                <w:bCs/>
                <w:sz w:val="25"/>
                <w:szCs w:val="25"/>
              </w:rPr>
            </w:pPr>
            <w:r>
              <w:rPr>
                <w:bCs/>
                <w:sz w:val="25"/>
                <w:szCs w:val="25"/>
              </w:rPr>
              <w:t xml:space="preserve">Introducerea Orientărilor CE în anul 2014 </w:t>
            </w:r>
            <w:r w:rsidR="00867634">
              <w:rPr>
                <w:bCs/>
                <w:sz w:val="25"/>
                <w:szCs w:val="25"/>
              </w:rPr>
              <w:t>a „marcat” o reducere drastică, de patru ori, a interesului investitorilor pentru tehnologia respectivă (în perioada 2016-2017, comparativ cu anii 2014-2016).</w:t>
            </w:r>
          </w:p>
          <w:p w14:paraId="3938FFE7" w14:textId="40D53FF5" w:rsidR="00C317A9" w:rsidRPr="009C6490" w:rsidRDefault="00C317A9" w:rsidP="0080448D">
            <w:pPr>
              <w:pStyle w:val="ListParagraph"/>
              <w:numPr>
                <w:ilvl w:val="0"/>
                <w:numId w:val="9"/>
              </w:numPr>
              <w:spacing w:before="60" w:after="60"/>
              <w:ind w:left="607" w:hanging="284"/>
              <w:contextualSpacing w:val="0"/>
              <w:rPr>
                <w:bCs/>
                <w:sz w:val="25"/>
                <w:szCs w:val="25"/>
              </w:rPr>
            </w:pPr>
            <w:r w:rsidRPr="009C6490">
              <w:rPr>
                <w:bCs/>
                <w:sz w:val="25"/>
                <w:szCs w:val="25"/>
              </w:rPr>
              <w:t>Mecanismele instituite de Orientări și transpuse în legislația națională implică proceduri complexe, lipsa de predictibilitate și, ca urmare, un interes redus pentru schemele de suport puse la dispoziție;</w:t>
            </w:r>
          </w:p>
          <w:p w14:paraId="65121B57" w14:textId="1ADF235D" w:rsidR="00C317A9" w:rsidRDefault="00C317A9" w:rsidP="0080448D">
            <w:pPr>
              <w:pStyle w:val="ListParagraph"/>
              <w:numPr>
                <w:ilvl w:val="0"/>
                <w:numId w:val="9"/>
              </w:numPr>
              <w:spacing w:before="60" w:after="60"/>
              <w:ind w:left="607" w:hanging="284"/>
              <w:contextualSpacing w:val="0"/>
              <w:rPr>
                <w:bCs/>
                <w:sz w:val="25"/>
                <w:szCs w:val="25"/>
              </w:rPr>
            </w:pPr>
            <w:r>
              <w:rPr>
                <w:bCs/>
                <w:sz w:val="25"/>
                <w:szCs w:val="25"/>
              </w:rPr>
              <w:t>Prevederile puse la bazele Orientărilor nu asigură/ contribuie la sustenabilitatea infrastructurii de cogenerare a energiei electrice și termice în baza resurselor regenerabile;</w:t>
            </w:r>
          </w:p>
          <w:p w14:paraId="7D5C5B75" w14:textId="12ACE109" w:rsidR="00C317A9" w:rsidRDefault="00F7255F" w:rsidP="0080448D">
            <w:pPr>
              <w:pStyle w:val="ListParagraph"/>
              <w:numPr>
                <w:ilvl w:val="0"/>
                <w:numId w:val="9"/>
              </w:numPr>
              <w:spacing w:before="60" w:after="60"/>
              <w:ind w:left="607" w:hanging="284"/>
              <w:contextualSpacing w:val="0"/>
              <w:rPr>
                <w:bCs/>
                <w:sz w:val="25"/>
                <w:szCs w:val="25"/>
              </w:rPr>
            </w:pPr>
            <w:r>
              <w:rPr>
                <w:bCs/>
                <w:sz w:val="25"/>
                <w:szCs w:val="25"/>
              </w:rPr>
              <w:t>Beneficiile oferite de cogenerare, în special producerea de energie termică (utilă) pentru acoperirea unui necesar de apă caldă menajeră și căldură, nu sunt pe deplin „apreciate”, suportul oferit pentru investițiile în capacitățile de producție fiind raportate la capacitatea electrică a unității și energia electrică generată;</w:t>
            </w:r>
          </w:p>
          <w:p w14:paraId="15F3A2DB" w14:textId="5D2CD909" w:rsidR="00C317A9" w:rsidRDefault="009C6490" w:rsidP="0080448D">
            <w:pPr>
              <w:pStyle w:val="ListParagraph"/>
              <w:numPr>
                <w:ilvl w:val="0"/>
                <w:numId w:val="9"/>
              </w:numPr>
              <w:spacing w:before="60" w:after="60"/>
              <w:ind w:left="607" w:hanging="284"/>
              <w:contextualSpacing w:val="0"/>
              <w:rPr>
                <w:bCs/>
                <w:sz w:val="25"/>
                <w:szCs w:val="25"/>
              </w:rPr>
            </w:pPr>
            <w:r w:rsidRPr="009C6490">
              <w:rPr>
                <w:bCs/>
                <w:sz w:val="25"/>
                <w:szCs w:val="25"/>
              </w:rPr>
              <w:t>Modalitatea de o</w:t>
            </w:r>
            <w:r w:rsidR="00F7255F" w:rsidRPr="009C6490">
              <w:rPr>
                <w:bCs/>
                <w:sz w:val="25"/>
                <w:szCs w:val="25"/>
              </w:rPr>
              <w:t>ferire</w:t>
            </w:r>
            <w:r w:rsidRPr="009C6490">
              <w:rPr>
                <w:bCs/>
                <w:sz w:val="25"/>
                <w:szCs w:val="25"/>
              </w:rPr>
              <w:t xml:space="preserve"> </w:t>
            </w:r>
            <w:r w:rsidR="00F7255F" w:rsidRPr="009C6490">
              <w:rPr>
                <w:bCs/>
                <w:sz w:val="25"/>
                <w:szCs w:val="25"/>
              </w:rPr>
              <w:t xml:space="preserve">a statutului de producător eligibil investitorilor în capacități de cogenerare în cadrul licitațiilor este </w:t>
            </w:r>
            <w:r w:rsidRPr="009C6490">
              <w:rPr>
                <w:bCs/>
                <w:sz w:val="25"/>
                <w:szCs w:val="25"/>
              </w:rPr>
              <w:t xml:space="preserve">mult prea „rigidă”, în raport cu </w:t>
            </w:r>
            <w:r>
              <w:rPr>
                <w:bCs/>
                <w:sz w:val="25"/>
                <w:szCs w:val="25"/>
              </w:rPr>
              <w:t xml:space="preserve">modelul respectiv de business; </w:t>
            </w:r>
          </w:p>
          <w:p w14:paraId="287A122A" w14:textId="7BBB5DEF" w:rsidR="009C6490" w:rsidRDefault="009C6490" w:rsidP="0080448D">
            <w:pPr>
              <w:pStyle w:val="ListParagraph"/>
              <w:numPr>
                <w:ilvl w:val="0"/>
                <w:numId w:val="9"/>
              </w:numPr>
              <w:spacing w:before="60" w:after="60"/>
              <w:ind w:left="607" w:hanging="284"/>
              <w:contextualSpacing w:val="0"/>
              <w:rPr>
                <w:bCs/>
                <w:sz w:val="25"/>
                <w:szCs w:val="25"/>
              </w:rPr>
            </w:pPr>
            <w:r>
              <w:rPr>
                <w:bCs/>
                <w:sz w:val="25"/>
                <w:szCs w:val="25"/>
              </w:rPr>
              <w:t xml:space="preserve">Oferirea statutului de producător eligibil prin intermediul licitațiilor nu oferă suficientă predictibilitate investitorilor în capacități, și nici eventualilor consumatori, beneficiari ai respectivelor servicii (desfășurarea unei licitații fiind asigurată în 12-24 de luni, după care urmează construcția nemijlocită a unității de generare). </w:t>
            </w:r>
          </w:p>
          <w:p w14:paraId="5E0F8233" w14:textId="1174C91D" w:rsidR="009C6490" w:rsidRDefault="009C6490" w:rsidP="0080448D">
            <w:pPr>
              <w:pStyle w:val="ListParagraph"/>
              <w:spacing w:before="60" w:after="60"/>
              <w:ind w:left="607"/>
              <w:contextualSpacing w:val="0"/>
              <w:rPr>
                <w:bCs/>
                <w:sz w:val="25"/>
                <w:szCs w:val="25"/>
              </w:rPr>
            </w:pPr>
            <w:r>
              <w:rPr>
                <w:bCs/>
                <w:sz w:val="25"/>
                <w:szCs w:val="25"/>
              </w:rPr>
              <w:t>Mai mult, organizarea de licitații de capacități SER consumă multe resurse administrative</w:t>
            </w:r>
            <w:r w:rsidR="00434CBF">
              <w:rPr>
                <w:bCs/>
                <w:sz w:val="25"/>
                <w:szCs w:val="25"/>
              </w:rPr>
              <w:t>;</w:t>
            </w:r>
          </w:p>
          <w:p w14:paraId="25B81F13" w14:textId="1C0E88BF" w:rsidR="00434CBF" w:rsidRPr="002F44AC" w:rsidRDefault="009C6490" w:rsidP="0080448D">
            <w:pPr>
              <w:pStyle w:val="ListParagraph"/>
              <w:numPr>
                <w:ilvl w:val="0"/>
                <w:numId w:val="9"/>
              </w:numPr>
              <w:spacing w:before="60" w:after="60"/>
              <w:ind w:left="607" w:hanging="284"/>
              <w:contextualSpacing w:val="0"/>
              <w:rPr>
                <w:bCs/>
                <w:sz w:val="25"/>
                <w:szCs w:val="25"/>
              </w:rPr>
            </w:pPr>
            <w:r w:rsidRPr="002F44AC">
              <w:rPr>
                <w:bCs/>
                <w:sz w:val="25"/>
                <w:szCs w:val="25"/>
              </w:rPr>
              <w:t>În statele mici, inclusiv în Republica Moldova, organizarea unor licitații pentru capacități de cogenerare pe bază de resurse regenerabile nu s-ar bucura de interes și nu ar asigura o competiție veritabilă între investitori;</w:t>
            </w:r>
            <w:r w:rsidR="00434CBF" w:rsidRPr="002F44AC">
              <w:rPr>
                <w:bCs/>
                <w:sz w:val="25"/>
                <w:szCs w:val="25"/>
              </w:rPr>
              <w:t xml:space="preserve"> </w:t>
            </w:r>
          </w:p>
          <w:p w14:paraId="3802C453" w14:textId="19369E39" w:rsidR="00434CBF" w:rsidRPr="00434CBF" w:rsidRDefault="00434CBF" w:rsidP="0080448D">
            <w:pPr>
              <w:pStyle w:val="ListParagraph"/>
              <w:numPr>
                <w:ilvl w:val="0"/>
                <w:numId w:val="9"/>
              </w:numPr>
              <w:spacing w:before="60" w:after="60"/>
              <w:ind w:left="607" w:hanging="284"/>
              <w:contextualSpacing w:val="0"/>
              <w:rPr>
                <w:bCs/>
                <w:sz w:val="25"/>
                <w:szCs w:val="25"/>
              </w:rPr>
            </w:pPr>
            <w:r w:rsidRPr="00434CBF">
              <w:rPr>
                <w:bCs/>
                <w:sz w:val="25"/>
                <w:szCs w:val="25"/>
              </w:rPr>
              <w:t xml:space="preserve">O eventuală competiție pentru construcția stațiilor de cogenerare în baza deșeurilor menajere </w:t>
            </w:r>
            <w:r w:rsidRPr="00434CBF">
              <w:rPr>
                <w:bCs/>
                <w:sz w:val="25"/>
                <w:szCs w:val="25"/>
              </w:rPr>
              <w:lastRenderedPageBreak/>
              <w:t xml:space="preserve">solide, deșeurilor lichide urbane (ape reziduale), va fi asigurată de APL (ca și gestionar al ambelor servicii publice), prin </w:t>
            </w:r>
            <w:r w:rsidRPr="0080448D">
              <w:rPr>
                <w:bCs/>
                <w:sz w:val="25"/>
                <w:szCs w:val="25"/>
              </w:rPr>
              <w:t>intermediu</w:t>
            </w:r>
            <w:r w:rsidR="0080448D" w:rsidRPr="0080448D">
              <w:rPr>
                <w:bCs/>
                <w:sz w:val="25"/>
                <w:szCs w:val="25"/>
              </w:rPr>
              <w:t>l</w:t>
            </w:r>
            <w:r w:rsidRPr="00434CBF">
              <w:rPr>
                <w:bCs/>
                <w:sz w:val="25"/>
                <w:szCs w:val="25"/>
              </w:rPr>
              <w:t xml:space="preserve"> mecanismelor aferente </w:t>
            </w:r>
            <w:r>
              <w:rPr>
                <w:bCs/>
                <w:sz w:val="25"/>
                <w:szCs w:val="25"/>
              </w:rPr>
              <w:t>procedurii de lansare și încheiere a unui parteneriat public-privat (instrument recomandabil în cazul a astfel de proiecte);</w:t>
            </w:r>
          </w:p>
          <w:p w14:paraId="6CD32290" w14:textId="2B1B19F7" w:rsidR="009C6490" w:rsidRPr="00CE14EA" w:rsidRDefault="00CE14EA" w:rsidP="0080448D">
            <w:pPr>
              <w:pStyle w:val="ListParagraph"/>
              <w:numPr>
                <w:ilvl w:val="0"/>
                <w:numId w:val="9"/>
              </w:numPr>
              <w:spacing w:before="60" w:after="60"/>
              <w:ind w:left="607" w:hanging="284"/>
              <w:contextualSpacing w:val="0"/>
              <w:rPr>
                <w:bCs/>
                <w:sz w:val="25"/>
                <w:szCs w:val="25"/>
              </w:rPr>
            </w:pPr>
            <w:r w:rsidRPr="00CE14EA">
              <w:rPr>
                <w:bCs/>
                <w:sz w:val="25"/>
                <w:szCs w:val="25"/>
              </w:rPr>
              <w:t>Impunerea deținătorilor de ferme</w:t>
            </w:r>
            <w:r>
              <w:rPr>
                <w:bCs/>
                <w:sz w:val="25"/>
                <w:szCs w:val="25"/>
              </w:rPr>
              <w:t xml:space="preserve"> sau uzine/ fabrici/ combinate</w:t>
            </w:r>
            <w:r w:rsidRPr="00CE14EA">
              <w:rPr>
                <w:bCs/>
                <w:sz w:val="25"/>
                <w:szCs w:val="25"/>
              </w:rPr>
              <w:t>, care dispun de deșeuri organice</w:t>
            </w:r>
            <w:r>
              <w:rPr>
                <w:bCs/>
                <w:sz w:val="25"/>
                <w:szCs w:val="25"/>
              </w:rPr>
              <w:t xml:space="preserve"> cu potențial de producere a biogazului</w:t>
            </w:r>
            <w:r w:rsidRPr="00CE14EA">
              <w:rPr>
                <w:bCs/>
                <w:sz w:val="25"/>
                <w:szCs w:val="25"/>
              </w:rPr>
              <w:t>, să participe în cadrul licitațiilor de capacități SER</w:t>
            </w:r>
            <w:r>
              <w:rPr>
                <w:bCs/>
                <w:sz w:val="25"/>
                <w:szCs w:val="25"/>
              </w:rPr>
              <w:t xml:space="preserve"> organizate de Guvern</w:t>
            </w:r>
            <w:r w:rsidRPr="00CE14EA">
              <w:rPr>
                <w:bCs/>
                <w:sz w:val="25"/>
                <w:szCs w:val="25"/>
              </w:rPr>
              <w:t xml:space="preserve">, este un </w:t>
            </w:r>
            <w:r w:rsidRPr="0080448D">
              <w:rPr>
                <w:bCs/>
                <w:sz w:val="25"/>
                <w:szCs w:val="25"/>
              </w:rPr>
              <w:t xml:space="preserve">instrument </w:t>
            </w:r>
            <w:proofErr w:type="spellStart"/>
            <w:r w:rsidR="0080448D">
              <w:rPr>
                <w:bCs/>
                <w:sz w:val="25"/>
                <w:szCs w:val="25"/>
              </w:rPr>
              <w:t>demotivant</w:t>
            </w:r>
            <w:proofErr w:type="spellEnd"/>
            <w:r w:rsidR="00A95549">
              <w:rPr>
                <w:bCs/>
                <w:sz w:val="25"/>
                <w:szCs w:val="25"/>
              </w:rPr>
              <w:t>, alogic</w:t>
            </w:r>
            <w:r>
              <w:rPr>
                <w:bCs/>
                <w:sz w:val="25"/>
                <w:szCs w:val="25"/>
              </w:rPr>
              <w:t xml:space="preserve"> și lipsit practic de sens;</w:t>
            </w:r>
            <w:r w:rsidRPr="00CE14EA">
              <w:rPr>
                <w:bCs/>
                <w:sz w:val="25"/>
                <w:szCs w:val="25"/>
              </w:rPr>
              <w:t xml:space="preserve"> </w:t>
            </w:r>
          </w:p>
          <w:p w14:paraId="680D8477" w14:textId="56D8CD67" w:rsidR="00434CBF" w:rsidRDefault="00434CBF" w:rsidP="0080448D">
            <w:pPr>
              <w:pStyle w:val="ListParagraph"/>
              <w:numPr>
                <w:ilvl w:val="0"/>
                <w:numId w:val="9"/>
              </w:numPr>
              <w:spacing w:before="60" w:after="60"/>
              <w:ind w:left="607" w:hanging="284"/>
              <w:contextualSpacing w:val="0"/>
              <w:rPr>
                <w:bCs/>
                <w:sz w:val="25"/>
                <w:szCs w:val="25"/>
              </w:rPr>
            </w:pPr>
            <w:r w:rsidRPr="00434CBF">
              <w:rPr>
                <w:bCs/>
                <w:sz w:val="25"/>
                <w:szCs w:val="25"/>
              </w:rPr>
              <w:t>Cogenerarea în bază de resurse regenerabile merită a fi susținute și încurajate, întrucât sunt surse predictibile/ non-intermitente, ba mai mult, pot participa la echilibrarea surselor intermitente și, implicit, a sistemului electroenergetic național;</w:t>
            </w:r>
          </w:p>
          <w:p w14:paraId="564CD6C9" w14:textId="578B3765" w:rsidR="00CE14EA" w:rsidRPr="00434CBF" w:rsidRDefault="00CE14EA" w:rsidP="0080448D">
            <w:pPr>
              <w:pStyle w:val="ListParagraph"/>
              <w:numPr>
                <w:ilvl w:val="0"/>
                <w:numId w:val="9"/>
              </w:numPr>
              <w:spacing w:before="60" w:after="60"/>
              <w:ind w:left="607" w:hanging="284"/>
              <w:contextualSpacing w:val="0"/>
              <w:rPr>
                <w:bCs/>
                <w:sz w:val="25"/>
                <w:szCs w:val="25"/>
              </w:rPr>
            </w:pPr>
            <w:r>
              <w:rPr>
                <w:bCs/>
                <w:sz w:val="25"/>
                <w:szCs w:val="25"/>
              </w:rPr>
              <w:t>Instalațiile de cogenerare în bază de surse regenerabile pot participa/ contribui considerabil la implementarea, în Republica Moldova, a comunităților/ cooperativelor energetice</w:t>
            </w:r>
            <w:r w:rsidR="0080448D">
              <w:rPr>
                <w:bCs/>
                <w:sz w:val="25"/>
                <w:szCs w:val="25"/>
              </w:rPr>
              <w:t>.</w:t>
            </w:r>
          </w:p>
          <w:p w14:paraId="2852E44F" w14:textId="1D561D77" w:rsidR="003B2A32" w:rsidRPr="000831E6" w:rsidRDefault="003B2A32" w:rsidP="00BE19C1">
            <w:pPr>
              <w:rPr>
                <w:bCs/>
                <w:sz w:val="25"/>
                <w:szCs w:val="25"/>
              </w:rPr>
            </w:pPr>
            <w:r w:rsidRPr="004E27BC">
              <w:rPr>
                <w:bCs/>
                <w:sz w:val="25"/>
                <w:szCs w:val="25"/>
              </w:rPr>
              <w:t xml:space="preserve">Astfel, raționamentele menționate mai sus au condus la stabilirea </w:t>
            </w:r>
            <w:r>
              <w:rPr>
                <w:bCs/>
                <w:sz w:val="25"/>
                <w:szCs w:val="25"/>
              </w:rPr>
              <w:t xml:space="preserve">matricei </w:t>
            </w:r>
            <w:r w:rsidR="008E4CF2">
              <w:rPr>
                <w:bCs/>
                <w:sz w:val="25"/>
                <w:szCs w:val="25"/>
              </w:rPr>
              <w:t>cotelor</w:t>
            </w:r>
            <w:r w:rsidRPr="004E27BC">
              <w:rPr>
                <w:bCs/>
                <w:sz w:val="25"/>
                <w:szCs w:val="25"/>
              </w:rPr>
              <w:t xml:space="preserve"> maxime de capacitate,</w:t>
            </w:r>
            <w:r w:rsidR="008E4CF2">
              <w:rPr>
                <w:bCs/>
                <w:sz w:val="25"/>
                <w:szCs w:val="25"/>
              </w:rPr>
              <w:t xml:space="preserve"> categoriilor de capacitate și limitelor de capacitate, după cum sunt prezentate în</w:t>
            </w:r>
            <w:r w:rsidRPr="000831E6">
              <w:rPr>
                <w:bCs/>
                <w:iCs/>
                <w:sz w:val="25"/>
                <w:szCs w:val="25"/>
              </w:rPr>
              <w:t xml:space="preserve"> anexa la </w:t>
            </w:r>
            <w:r w:rsidR="008E4CF2">
              <w:rPr>
                <w:bCs/>
                <w:iCs/>
                <w:sz w:val="25"/>
                <w:szCs w:val="25"/>
              </w:rPr>
              <w:t xml:space="preserve">proiectul </w:t>
            </w:r>
            <w:r w:rsidRPr="000831E6">
              <w:rPr>
                <w:bCs/>
                <w:iCs/>
                <w:sz w:val="25"/>
                <w:szCs w:val="25"/>
              </w:rPr>
              <w:t>Hotărâr</w:t>
            </w:r>
            <w:r w:rsidR="008E4CF2">
              <w:rPr>
                <w:bCs/>
                <w:iCs/>
                <w:sz w:val="25"/>
                <w:szCs w:val="25"/>
              </w:rPr>
              <w:t>ii</w:t>
            </w:r>
            <w:r w:rsidRPr="000831E6">
              <w:rPr>
                <w:bCs/>
                <w:iCs/>
                <w:sz w:val="25"/>
                <w:szCs w:val="25"/>
              </w:rPr>
              <w:t xml:space="preserve"> de Guvern.</w:t>
            </w:r>
          </w:p>
          <w:p w14:paraId="0F0D6F30" w14:textId="42DA033F" w:rsidR="003B2A32" w:rsidRPr="008B295E" w:rsidRDefault="008E4CF2" w:rsidP="00BE19C1">
            <w:pPr>
              <w:rPr>
                <w:bCs/>
                <w:sz w:val="25"/>
                <w:szCs w:val="25"/>
              </w:rPr>
            </w:pPr>
            <w:r>
              <w:rPr>
                <w:bCs/>
                <w:sz w:val="25"/>
                <w:szCs w:val="25"/>
              </w:rPr>
              <w:t xml:space="preserve">În același timp, merită a fi specificat faptul că, în contextul </w:t>
            </w:r>
            <w:r w:rsidR="003B2A32">
              <w:rPr>
                <w:bCs/>
                <w:sz w:val="25"/>
                <w:szCs w:val="25"/>
              </w:rPr>
              <w:t>preveder</w:t>
            </w:r>
            <w:r>
              <w:rPr>
                <w:bCs/>
                <w:sz w:val="25"/>
                <w:szCs w:val="25"/>
              </w:rPr>
              <w:t>ii</w:t>
            </w:r>
            <w:r w:rsidR="003B2A32">
              <w:rPr>
                <w:bCs/>
                <w:sz w:val="25"/>
                <w:szCs w:val="25"/>
              </w:rPr>
              <w:t xml:space="preserve"> de la art. 35, alin (2) al Legii 10/2016, care stabilește că </w:t>
            </w:r>
            <w:r w:rsidRPr="008B295E">
              <w:rPr>
                <w:bCs/>
                <w:sz w:val="25"/>
                <w:szCs w:val="25"/>
              </w:rPr>
              <w:t xml:space="preserve">licitația </w:t>
            </w:r>
            <w:r w:rsidR="003B2A32" w:rsidRPr="008B295E">
              <w:rPr>
                <w:bCs/>
                <w:sz w:val="25"/>
                <w:szCs w:val="25"/>
              </w:rPr>
              <w:t xml:space="preserve">are un caracter neutru din punct de vedere al tehnologiilor și este organizată în conformitate cu </w:t>
            </w:r>
            <w:r w:rsidR="003B2A32" w:rsidRPr="008E4CF2">
              <w:rPr>
                <w:bCs/>
                <w:i/>
                <w:iCs/>
                <w:sz w:val="25"/>
                <w:szCs w:val="25"/>
              </w:rPr>
              <w:t xml:space="preserve">Regulamentul privind </w:t>
            </w:r>
            <w:proofErr w:type="spellStart"/>
            <w:r w:rsidR="003B2A32" w:rsidRPr="008E4CF2">
              <w:rPr>
                <w:bCs/>
                <w:i/>
                <w:iCs/>
                <w:sz w:val="25"/>
                <w:szCs w:val="25"/>
              </w:rPr>
              <w:t>desfăşurarea</w:t>
            </w:r>
            <w:proofErr w:type="spellEnd"/>
            <w:r w:rsidR="003B2A32" w:rsidRPr="008E4CF2">
              <w:rPr>
                <w:bCs/>
                <w:i/>
                <w:iCs/>
                <w:sz w:val="25"/>
                <w:szCs w:val="25"/>
              </w:rPr>
              <w:t xml:space="preserve"> </w:t>
            </w:r>
            <w:proofErr w:type="spellStart"/>
            <w:r w:rsidR="003B2A32" w:rsidRPr="008E4CF2">
              <w:rPr>
                <w:bCs/>
                <w:i/>
                <w:iCs/>
                <w:sz w:val="25"/>
                <w:szCs w:val="25"/>
              </w:rPr>
              <w:t>licitaţiilor</w:t>
            </w:r>
            <w:proofErr w:type="spellEnd"/>
            <w:r w:rsidR="003B2A32" w:rsidRPr="008E4CF2">
              <w:rPr>
                <w:bCs/>
                <w:i/>
                <w:iCs/>
                <w:sz w:val="25"/>
                <w:szCs w:val="25"/>
              </w:rPr>
              <w:t xml:space="preserve"> pentru oferirea statutului de producător eligibil</w:t>
            </w:r>
            <w:r w:rsidR="003B2A32">
              <w:rPr>
                <w:bCs/>
                <w:sz w:val="25"/>
                <w:szCs w:val="25"/>
              </w:rPr>
              <w:t>, prin promovarea acestui proiect</w:t>
            </w:r>
            <w:r>
              <w:rPr>
                <w:bCs/>
                <w:sz w:val="25"/>
                <w:szCs w:val="25"/>
              </w:rPr>
              <w:t xml:space="preserve"> hotărâre</w:t>
            </w:r>
            <w:r w:rsidR="003B2A32">
              <w:rPr>
                <w:bCs/>
                <w:sz w:val="25"/>
                <w:szCs w:val="25"/>
              </w:rPr>
              <w:t>, Guvernul face uz de prevederea de la alin. (2</w:t>
            </w:r>
            <w:r w:rsidR="003B2A32" w:rsidRPr="008B295E">
              <w:rPr>
                <w:bCs/>
                <w:sz w:val="25"/>
                <w:szCs w:val="25"/>
                <w:vertAlign w:val="superscript"/>
              </w:rPr>
              <w:t>1</w:t>
            </w:r>
            <w:r w:rsidR="003B2A32">
              <w:rPr>
                <w:bCs/>
                <w:sz w:val="25"/>
                <w:szCs w:val="25"/>
              </w:rPr>
              <w:t>) al aceluiași articol care stipulează expres că „</w:t>
            </w:r>
            <w:r w:rsidR="003B2A32" w:rsidRPr="008B295E">
              <w:rPr>
                <w:bCs/>
                <w:sz w:val="25"/>
                <w:szCs w:val="25"/>
              </w:rPr>
              <w:t>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116F38AA" w14:textId="77777777" w:rsidR="003B2A32" w:rsidRPr="008B295E" w:rsidRDefault="003B2A32" w:rsidP="00CE4110">
            <w:pPr>
              <w:pStyle w:val="ListParagraph"/>
              <w:numPr>
                <w:ilvl w:val="0"/>
                <w:numId w:val="7"/>
              </w:numPr>
              <w:ind w:left="889"/>
              <w:rPr>
                <w:bCs/>
                <w:sz w:val="25"/>
                <w:szCs w:val="25"/>
              </w:rPr>
            </w:pPr>
            <w:r w:rsidRPr="008B295E">
              <w:rPr>
                <w:bCs/>
                <w:sz w:val="25"/>
                <w:szCs w:val="25"/>
              </w:rPr>
              <w:t>potențialul pe termen lung al unei anumite tehnologii noi și inovatoare față de tehnologiile clasice este mai mare;</w:t>
            </w:r>
          </w:p>
          <w:p w14:paraId="72DD9C62" w14:textId="77777777" w:rsidR="003B2A32" w:rsidRPr="008B295E" w:rsidRDefault="003B2A32" w:rsidP="00CE4110">
            <w:pPr>
              <w:pStyle w:val="ListParagraph"/>
              <w:numPr>
                <w:ilvl w:val="0"/>
                <w:numId w:val="7"/>
              </w:numPr>
              <w:ind w:left="889"/>
              <w:rPr>
                <w:bCs/>
                <w:sz w:val="25"/>
                <w:szCs w:val="25"/>
              </w:rPr>
            </w:pPr>
            <w:r w:rsidRPr="008B295E">
              <w:rPr>
                <w:bCs/>
                <w:sz w:val="25"/>
                <w:szCs w:val="25"/>
              </w:rPr>
              <w:t>necesitatea unei diversificări a tehnologiilor de producere;</w:t>
            </w:r>
          </w:p>
          <w:p w14:paraId="3AC55882" w14:textId="77777777" w:rsidR="003B2A32" w:rsidRPr="008B295E" w:rsidRDefault="003B2A32" w:rsidP="00CE4110">
            <w:pPr>
              <w:pStyle w:val="ListParagraph"/>
              <w:numPr>
                <w:ilvl w:val="0"/>
                <w:numId w:val="7"/>
              </w:numPr>
              <w:ind w:left="889"/>
              <w:rPr>
                <w:bCs/>
                <w:sz w:val="25"/>
                <w:szCs w:val="25"/>
              </w:rPr>
            </w:pPr>
            <w:r w:rsidRPr="008B295E">
              <w:rPr>
                <w:bCs/>
                <w:sz w:val="25"/>
                <w:szCs w:val="25"/>
              </w:rPr>
              <w:t>constrângerile de rețea și stabilitatea rețelei;</w:t>
            </w:r>
          </w:p>
          <w:p w14:paraId="3FE14546" w14:textId="77777777" w:rsidR="003B2A32" w:rsidRPr="008B295E" w:rsidRDefault="003B2A32" w:rsidP="00CE4110">
            <w:pPr>
              <w:pStyle w:val="ListParagraph"/>
              <w:numPr>
                <w:ilvl w:val="0"/>
                <w:numId w:val="7"/>
              </w:numPr>
              <w:ind w:left="889"/>
              <w:rPr>
                <w:bCs/>
                <w:sz w:val="25"/>
                <w:szCs w:val="25"/>
              </w:rPr>
            </w:pPr>
            <w:r w:rsidRPr="008B295E">
              <w:rPr>
                <w:bCs/>
                <w:sz w:val="25"/>
                <w:szCs w:val="25"/>
              </w:rPr>
              <w:t>costurile (de integrare a surselor regenerabile de energie) aferente sistemului;</w:t>
            </w:r>
          </w:p>
          <w:p w14:paraId="50044FB0" w14:textId="77777777" w:rsidR="00A95549" w:rsidRPr="00A95549" w:rsidRDefault="003B2A32" w:rsidP="00A95549">
            <w:pPr>
              <w:pStyle w:val="ListParagraph"/>
              <w:numPr>
                <w:ilvl w:val="0"/>
                <w:numId w:val="7"/>
              </w:numPr>
              <w:ind w:left="889"/>
              <w:rPr>
                <w:szCs w:val="24"/>
                <w:shd w:val="clear" w:color="auto" w:fill="FFFFFF"/>
                <w:lang w:eastAsia="ar-SA"/>
              </w:rPr>
            </w:pPr>
            <w:r w:rsidRPr="008B295E">
              <w:rPr>
                <w:bCs/>
                <w:sz w:val="25"/>
                <w:szCs w:val="25"/>
              </w:rPr>
              <w:t>necesitatea de a evita distorsiunile pe piețele materiilor prime, generate de sprijinul acordat biomasei.</w:t>
            </w:r>
          </w:p>
          <w:p w14:paraId="78701267" w14:textId="77777777" w:rsidR="00A95549" w:rsidRDefault="00A95549" w:rsidP="00A95549">
            <w:pPr>
              <w:spacing w:before="0" w:after="0"/>
              <w:rPr>
                <w:b/>
                <w:szCs w:val="24"/>
              </w:rPr>
            </w:pPr>
            <w:r w:rsidRPr="007F53F8">
              <w:rPr>
                <w:b/>
                <w:szCs w:val="24"/>
              </w:rPr>
              <w:t xml:space="preserve">4. Fundamentarea </w:t>
            </w:r>
            <w:proofErr w:type="spellStart"/>
            <w:r w:rsidRPr="007F53F8">
              <w:rPr>
                <w:b/>
                <w:szCs w:val="24"/>
              </w:rPr>
              <w:t>economico</w:t>
            </w:r>
            <w:proofErr w:type="spellEnd"/>
            <w:r w:rsidRPr="007F53F8">
              <w:rPr>
                <w:b/>
                <w:szCs w:val="24"/>
              </w:rPr>
              <w:t>-financiară</w:t>
            </w:r>
          </w:p>
          <w:p w14:paraId="68CAD40A" w14:textId="767A54B0" w:rsidR="00A95549" w:rsidRDefault="00A95549" w:rsidP="00A95549">
            <w:pPr>
              <w:spacing w:after="0"/>
              <w:rPr>
                <w:szCs w:val="24"/>
              </w:rPr>
            </w:pPr>
            <w:r w:rsidRPr="000B78FB">
              <w:rPr>
                <w:lang w:val="it-IT"/>
              </w:rPr>
              <w:t>Implementarea prevederilor proiectului actului normativ în cauză</w:t>
            </w:r>
            <w:r w:rsidRPr="000B78FB">
              <w:rPr>
                <w:bCs/>
                <w:lang w:val="it-IT"/>
              </w:rPr>
              <w:t xml:space="preserve"> nu necesită alocarea de mijloace financiare suplimentare din </w:t>
            </w:r>
            <w:r w:rsidRPr="000B78FB">
              <w:rPr>
                <w:lang w:val="it-IT"/>
              </w:rPr>
              <w:t>bugetul de stat.</w:t>
            </w:r>
            <w:r>
              <w:rPr>
                <w:lang w:val="it-IT"/>
              </w:rPr>
              <w:t xml:space="preserve"> Ba din contra, </w:t>
            </w:r>
            <w:r>
              <w:t xml:space="preserve">proiectul hotărârii va avea un impact pozitiv asupra bugetului de stat, deoarece investițiile în capacități noi de generare urmând să genereze venituri noi la buget, inclusiv să favorizeze crearea de noi locuri de muncă. După cum a fost estimat, în baza datelor oferite de instituții internaționale relevante, </w:t>
            </w:r>
            <w:r>
              <w:rPr>
                <w:szCs w:val="24"/>
              </w:rPr>
              <w:t xml:space="preserve">valoarea investițiilor necesare pentru construcția tuturor capacităților propuse spre alocare de către </w:t>
            </w:r>
            <w:r w:rsidRPr="00A85171">
              <w:rPr>
                <w:szCs w:val="24"/>
              </w:rPr>
              <w:t>Guvern,</w:t>
            </w:r>
            <w:r>
              <w:rPr>
                <w:szCs w:val="24"/>
              </w:rPr>
              <w:t xml:space="preserve"> a</w:t>
            </w:r>
            <w:r w:rsidRPr="00A85171">
              <w:rPr>
                <w:szCs w:val="24"/>
              </w:rPr>
              <w:t xml:space="preserve"> </w:t>
            </w:r>
            <w:r>
              <w:rPr>
                <w:szCs w:val="24"/>
              </w:rPr>
              <w:t>respectivului</w:t>
            </w:r>
            <w:r w:rsidRPr="00A85171">
              <w:rPr>
                <w:szCs w:val="24"/>
              </w:rPr>
              <w:t xml:space="preserve"> parc de unități de generare ar fi cuprins în intervalul </w:t>
            </w:r>
            <w:r w:rsidRPr="00C138B5">
              <w:rPr>
                <w:szCs w:val="24"/>
              </w:rPr>
              <w:t>4</w:t>
            </w:r>
            <w:r w:rsidR="00C138B5" w:rsidRPr="00C138B5">
              <w:rPr>
                <w:szCs w:val="24"/>
              </w:rPr>
              <w:t>0</w:t>
            </w:r>
            <w:r w:rsidRPr="00C138B5">
              <w:rPr>
                <w:szCs w:val="24"/>
              </w:rPr>
              <w:t xml:space="preserve">0 și </w:t>
            </w:r>
            <w:r w:rsidR="00C138B5" w:rsidRPr="00C138B5">
              <w:rPr>
                <w:szCs w:val="24"/>
              </w:rPr>
              <w:t>8</w:t>
            </w:r>
            <w:r w:rsidRPr="00C138B5">
              <w:rPr>
                <w:szCs w:val="24"/>
              </w:rPr>
              <w:t>00 milioane EUR,</w:t>
            </w:r>
            <w:r w:rsidRPr="00A85171">
              <w:rPr>
                <w:szCs w:val="24"/>
              </w:rPr>
              <w:t xml:space="preserve"> în dependență de interesul pentru dezvoltarea de proiecte, costul tehnologiilor și, implicit, efectul „</w:t>
            </w:r>
            <w:r>
              <w:rPr>
                <w:szCs w:val="24"/>
              </w:rPr>
              <w:t xml:space="preserve">economiei </w:t>
            </w:r>
            <w:r w:rsidRPr="00A85171">
              <w:rPr>
                <w:szCs w:val="24"/>
              </w:rPr>
              <w:t>de scară”</w:t>
            </w:r>
            <w:r>
              <w:rPr>
                <w:szCs w:val="24"/>
              </w:rPr>
              <w:t xml:space="preserve"> </w:t>
            </w:r>
            <w:r w:rsidRPr="00A85171">
              <w:rPr>
                <w:szCs w:val="24"/>
              </w:rPr>
              <w:t>.</w:t>
            </w:r>
          </w:p>
          <w:p w14:paraId="4727D068" w14:textId="76CA7556" w:rsidR="00A95549" w:rsidRPr="00A95549" w:rsidRDefault="00A95549" w:rsidP="00A95549">
            <w:pPr>
              <w:rPr>
                <w:szCs w:val="24"/>
                <w:shd w:val="clear" w:color="auto" w:fill="FFFFFF"/>
                <w:lang w:eastAsia="ar-SA"/>
              </w:rPr>
            </w:pPr>
          </w:p>
        </w:tc>
      </w:tr>
      <w:bookmarkEnd w:id="2"/>
      <w:tr w:rsidR="0057300F" w:rsidRPr="00844CBB" w14:paraId="04324FAF" w14:textId="77777777" w:rsidTr="07DD546D">
        <w:trPr>
          <w:trHeight w:val="6321"/>
        </w:trPr>
        <w:tc>
          <w:tcPr>
            <w:tcW w:w="10211" w:type="dxa"/>
          </w:tcPr>
          <w:p w14:paraId="0894B0CE" w14:textId="77777777" w:rsidR="00A95549" w:rsidRDefault="00A95549" w:rsidP="00BE19C1">
            <w:pPr>
              <w:spacing w:before="0" w:after="0"/>
              <w:rPr>
                <w:b/>
                <w:szCs w:val="24"/>
              </w:rPr>
            </w:pPr>
          </w:p>
          <w:p w14:paraId="6EE4AC3C" w14:textId="44998ED6" w:rsidR="007C595E" w:rsidRPr="00031AE3" w:rsidRDefault="07DD546D" w:rsidP="07DD546D">
            <w:pPr>
              <w:spacing w:after="0"/>
            </w:pPr>
            <w:r w:rsidRPr="00031AE3">
              <w:t>În materie de costuri a sche</w:t>
            </w:r>
            <w:r w:rsidR="00E96B1D">
              <w:t>mei</w:t>
            </w:r>
            <w:r w:rsidRPr="00031AE3">
              <w:t xml:space="preserve"> de suport, conform estimărilor pesimiste ale </w:t>
            </w:r>
            <w:r w:rsidR="00690FE9">
              <w:t>MIDR</w:t>
            </w:r>
            <w:r w:rsidRPr="00031AE3">
              <w:t xml:space="preserve">, acestea ar putea influența creșterea tarifului la consumatorul final, în mod teoretic, cu 15-33%, respectivele evoluții fiind </w:t>
            </w:r>
            <w:r w:rsidR="00F417D1">
              <w:t xml:space="preserve">suplimentar </w:t>
            </w:r>
            <w:r w:rsidRPr="00031AE3">
              <w:t>determinate/ influențate de următorii factori:</w:t>
            </w:r>
          </w:p>
          <w:p w14:paraId="55B06DEF" w14:textId="5FD2B5ED" w:rsidR="007C595E" w:rsidRPr="00031AE3" w:rsidRDefault="07DD546D" w:rsidP="007C595E">
            <w:pPr>
              <w:pStyle w:val="ListParagraph"/>
              <w:numPr>
                <w:ilvl w:val="0"/>
                <w:numId w:val="10"/>
              </w:numPr>
              <w:spacing w:before="0" w:after="0"/>
            </w:pPr>
            <w:r w:rsidRPr="00031AE3">
              <w:t xml:space="preserve">valoarea cumulativă a capacităților de generare a fi instalată în următorii 5 ani, fiind așteptată o valorificare </w:t>
            </w:r>
            <w:r w:rsidR="00031AE3" w:rsidRPr="00031AE3">
              <w:t>mai degrabă</w:t>
            </w:r>
            <w:r w:rsidRPr="00031AE3">
              <w:t xml:space="preserve"> modestă pentru sursele non-intermitente (la nivel de 20-25% din cotele alocate);</w:t>
            </w:r>
          </w:p>
          <w:p w14:paraId="6C7658A4" w14:textId="77777777" w:rsidR="007C595E" w:rsidRDefault="007C595E" w:rsidP="007C595E">
            <w:pPr>
              <w:pStyle w:val="ListParagraph"/>
              <w:numPr>
                <w:ilvl w:val="0"/>
                <w:numId w:val="10"/>
              </w:numPr>
              <w:spacing w:before="0" w:after="0"/>
              <w:rPr>
                <w:szCs w:val="24"/>
              </w:rPr>
            </w:pPr>
            <w:r>
              <w:rPr>
                <w:szCs w:val="24"/>
              </w:rPr>
              <w:t>rata de creștere a tarifului la energia electrică pentru consumatorii finali;</w:t>
            </w:r>
          </w:p>
          <w:p w14:paraId="13337E39" w14:textId="55A034A2" w:rsidR="007C595E" w:rsidRDefault="007C595E" w:rsidP="007C595E">
            <w:pPr>
              <w:pStyle w:val="ListParagraph"/>
              <w:numPr>
                <w:ilvl w:val="0"/>
                <w:numId w:val="10"/>
              </w:numPr>
              <w:spacing w:before="0" w:after="0"/>
              <w:rPr>
                <w:szCs w:val="24"/>
              </w:rPr>
            </w:pPr>
            <w:r>
              <w:rPr>
                <w:szCs w:val="24"/>
              </w:rPr>
              <w:t>valoarea tarifelor pentru energia electrică „verde” aprobată de ANRE (a  căror tendință negativă, pe fundalul costurilor tehnologiilor pe plan internațional, ar urma să scadă);</w:t>
            </w:r>
          </w:p>
          <w:p w14:paraId="397E00E3" w14:textId="7E1003DD" w:rsidR="007C595E" w:rsidRDefault="007C595E" w:rsidP="007C595E">
            <w:pPr>
              <w:pStyle w:val="ListParagraph"/>
              <w:numPr>
                <w:ilvl w:val="0"/>
                <w:numId w:val="10"/>
              </w:numPr>
              <w:spacing w:before="0" w:after="0"/>
              <w:rPr>
                <w:szCs w:val="24"/>
              </w:rPr>
            </w:pPr>
            <w:r>
              <w:rPr>
                <w:szCs w:val="24"/>
              </w:rPr>
              <w:t>rezultatul licitațiilor a fi organizate de Guvern (prețurile fixe solicitate de ofertanți urmând a fi sub limitele stabilite de ANRE).</w:t>
            </w:r>
          </w:p>
          <w:p w14:paraId="31F4D670" w14:textId="1C3D07F8" w:rsidR="007C595E" w:rsidRDefault="007C595E" w:rsidP="007C595E">
            <w:pPr>
              <w:spacing w:after="0"/>
              <w:ind w:left="37"/>
              <w:rPr>
                <w:szCs w:val="24"/>
              </w:rPr>
            </w:pPr>
            <w:r>
              <w:rPr>
                <w:szCs w:val="24"/>
              </w:rPr>
              <w:t xml:space="preserve">Prin urmare, luarea în considerație </w:t>
            </w:r>
            <w:r w:rsidR="00F417D1">
              <w:rPr>
                <w:szCs w:val="24"/>
              </w:rPr>
              <w:t xml:space="preserve">și </w:t>
            </w:r>
            <w:r>
              <w:rPr>
                <w:szCs w:val="24"/>
              </w:rPr>
              <w:t xml:space="preserve">a factorilor de mai sus, ar „cauza” o creștere </w:t>
            </w:r>
            <w:r w:rsidR="00F417D1">
              <w:rPr>
                <w:szCs w:val="24"/>
              </w:rPr>
              <w:t xml:space="preserve">mai </w:t>
            </w:r>
            <w:r w:rsidR="00031AE3">
              <w:rPr>
                <w:szCs w:val="24"/>
              </w:rPr>
              <w:t>redusă</w:t>
            </w:r>
            <w:r>
              <w:rPr>
                <w:szCs w:val="24"/>
              </w:rPr>
              <w:t xml:space="preserve"> a tarifului la consumatorul final, cuprinsă în intervalul 10-15% către anul 2025. În scenariul în care nu toate capacitățile  intermitente ar fi construite către anul 2025, impactul asupra tarifelor ar fi unul </w:t>
            </w:r>
            <w:r w:rsidR="00A95549">
              <w:rPr>
                <w:szCs w:val="24"/>
              </w:rPr>
              <w:t>și mai mic, sub pragul „psihologic” de 10%</w:t>
            </w:r>
            <w:r>
              <w:rPr>
                <w:szCs w:val="24"/>
              </w:rPr>
              <w:t>.</w:t>
            </w:r>
          </w:p>
          <w:p w14:paraId="18D35597" w14:textId="518D8ED2" w:rsidR="007C595E" w:rsidRDefault="007C595E" w:rsidP="007C595E">
            <w:pPr>
              <w:ind w:left="37"/>
              <w:rPr>
                <w:szCs w:val="24"/>
              </w:rPr>
            </w:pPr>
            <w:r w:rsidRPr="00343950">
              <w:rPr>
                <w:szCs w:val="24"/>
              </w:rPr>
              <w:t xml:space="preserve">Cât privește echilibrarea capacităților intermitente, subliniem faptul că producătorii de energie electrică de mare putere sunt responsabili pentru dezechilibrele create și, prin urmare, suportă respectivele cheltuieli. </w:t>
            </w:r>
          </w:p>
          <w:p w14:paraId="0318F7B4" w14:textId="63B6C5FD" w:rsidR="0058152E" w:rsidRPr="0058152E" w:rsidRDefault="0058152E" w:rsidP="00BE19C1">
            <w:pPr>
              <w:spacing w:before="0" w:after="0"/>
              <w:rPr>
                <w:b/>
                <w:szCs w:val="24"/>
              </w:rPr>
            </w:pPr>
            <w:r w:rsidRPr="0058152E">
              <w:rPr>
                <w:b/>
                <w:szCs w:val="24"/>
              </w:rPr>
              <w:t>5.</w:t>
            </w:r>
            <w:r>
              <w:rPr>
                <w:b/>
                <w:szCs w:val="24"/>
              </w:rPr>
              <w:t xml:space="preserve"> </w:t>
            </w:r>
            <w:r w:rsidRPr="0058152E">
              <w:rPr>
                <w:b/>
                <w:szCs w:val="24"/>
              </w:rPr>
              <w:t>Modul de încorporare a actului în cadrul normativ în vigoare</w:t>
            </w:r>
          </w:p>
          <w:p w14:paraId="7C96919C" w14:textId="77777777" w:rsidR="0058152E" w:rsidRDefault="0058152E" w:rsidP="00BE19C1">
            <w:pPr>
              <w:spacing w:before="0" w:after="0"/>
              <w:rPr>
                <w:bCs/>
                <w:szCs w:val="24"/>
                <w:shd w:val="clear" w:color="auto" w:fill="FFFFFF"/>
                <w:lang w:eastAsia="ar-SA"/>
              </w:rPr>
            </w:pPr>
            <w:r w:rsidRPr="0058152E">
              <w:rPr>
                <w:bCs/>
                <w:szCs w:val="24"/>
                <w:shd w:val="clear" w:color="auto" w:fill="FFFFFF"/>
                <w:lang w:eastAsia="ar-SA"/>
              </w:rPr>
              <w:t>Promovarea prezentului proiect de act normativ reprezintă un instrument de punere în aplicare a prevederilor art. 10 lit.(e) din Legea nr. 10/2016 cu privire la utilizarea energiei din surse regenerabile și se încadrează în categoria actelor normative secundare de implementare a acesteia.</w:t>
            </w:r>
          </w:p>
          <w:p w14:paraId="375D0DE0" w14:textId="3CD6E065" w:rsidR="0058152E" w:rsidRPr="007F53F8" w:rsidRDefault="0058152E" w:rsidP="00BE19C1">
            <w:pPr>
              <w:spacing w:before="0" w:after="0"/>
              <w:rPr>
                <w:b/>
                <w:szCs w:val="24"/>
              </w:rPr>
            </w:pPr>
            <w:r w:rsidRPr="007F53F8">
              <w:rPr>
                <w:b/>
                <w:szCs w:val="24"/>
              </w:rPr>
              <w:t>6. Avizarea și consultarea publică a proiectului</w:t>
            </w:r>
          </w:p>
          <w:p w14:paraId="70654C66" w14:textId="540A20DC" w:rsidR="0058152E" w:rsidRDefault="0058152E" w:rsidP="00BE19C1">
            <w:pPr>
              <w:spacing w:before="0" w:after="0"/>
              <w:rPr>
                <w:rFonts w:eastAsiaTheme="minorHAnsi" w:cstheme="minorBidi"/>
                <w:szCs w:val="24"/>
              </w:rPr>
            </w:pPr>
            <w:r w:rsidRPr="007F53F8">
              <w:rPr>
                <w:szCs w:val="24"/>
              </w:rPr>
              <w:t xml:space="preserve">Proiectul respectiv </w:t>
            </w:r>
            <w:r>
              <w:rPr>
                <w:szCs w:val="24"/>
              </w:rPr>
              <w:t>a f</w:t>
            </w:r>
            <w:r w:rsidR="00982997">
              <w:rPr>
                <w:szCs w:val="24"/>
              </w:rPr>
              <w:t>ost</w:t>
            </w:r>
            <w:r>
              <w:rPr>
                <w:szCs w:val="24"/>
              </w:rPr>
              <w:t xml:space="preserve"> </w:t>
            </w:r>
            <w:r w:rsidRPr="007F53F8">
              <w:rPr>
                <w:szCs w:val="24"/>
              </w:rPr>
              <w:t>supus avizării și consultării publice conform art. 32 din Legea</w:t>
            </w:r>
            <w:r w:rsidR="00942B8D">
              <w:rPr>
                <w:szCs w:val="24"/>
              </w:rPr>
              <w:t xml:space="preserve"> nr.</w:t>
            </w:r>
            <w:r w:rsidRPr="007F53F8">
              <w:rPr>
                <w:szCs w:val="24"/>
              </w:rPr>
              <w:t xml:space="preserve"> 100/2017 cu privire la actele normative, și plasat pe pagina web a Ministerului Economiei și Infrastructurii </w:t>
            </w:r>
            <w:hyperlink r:id="rId15" w:history="1">
              <w:r w:rsidRPr="007F53F8">
                <w:rPr>
                  <w:color w:val="0563C1"/>
                  <w:szCs w:val="24"/>
                  <w:u w:val="single"/>
                </w:rPr>
                <w:t>www.</w:t>
              </w:r>
              <w:r w:rsidR="00690FE9">
                <w:rPr>
                  <w:color w:val="0563C1"/>
                  <w:szCs w:val="24"/>
                  <w:u w:val="single"/>
                </w:rPr>
                <w:t>MIDR</w:t>
              </w:r>
              <w:r w:rsidRPr="007F53F8">
                <w:rPr>
                  <w:color w:val="0563C1"/>
                  <w:szCs w:val="24"/>
                  <w:u w:val="single"/>
                </w:rPr>
                <w:t>.gov.md</w:t>
              </w:r>
            </w:hyperlink>
            <w:r w:rsidRPr="009E0EDE">
              <w:rPr>
                <w:rFonts w:eastAsiaTheme="minorHAnsi" w:cstheme="minorBidi"/>
                <w:szCs w:val="24"/>
              </w:rPr>
              <w:t xml:space="preserve"> la compartimentul Transparență/ Anunțuri de proiecte </w:t>
            </w:r>
            <w:proofErr w:type="spellStart"/>
            <w:r w:rsidRPr="009E0EDE">
              <w:rPr>
                <w:rFonts w:eastAsiaTheme="minorHAnsi" w:cstheme="minorBidi"/>
                <w:szCs w:val="24"/>
              </w:rPr>
              <w:t>şi</w:t>
            </w:r>
            <w:proofErr w:type="spellEnd"/>
            <w:r w:rsidRPr="009E0EDE">
              <w:rPr>
                <w:rFonts w:eastAsiaTheme="minorHAnsi" w:cstheme="minorBidi"/>
                <w:szCs w:val="24"/>
              </w:rPr>
              <w:t xml:space="preserve"> consultări publice</w:t>
            </w:r>
            <w:r>
              <w:rPr>
                <w:rFonts w:eastAsiaTheme="minorHAnsi" w:cstheme="minorBidi"/>
                <w:szCs w:val="24"/>
              </w:rPr>
              <w:t>.</w:t>
            </w:r>
          </w:p>
          <w:p w14:paraId="7930CA21" w14:textId="21233D9A" w:rsidR="0058152E" w:rsidRPr="007F53F8" w:rsidRDefault="0058152E" w:rsidP="00BE19C1">
            <w:pPr>
              <w:spacing w:before="0" w:after="0"/>
              <w:rPr>
                <w:b/>
                <w:szCs w:val="24"/>
              </w:rPr>
            </w:pPr>
            <w:r w:rsidRPr="007F53F8">
              <w:rPr>
                <w:b/>
                <w:szCs w:val="24"/>
              </w:rPr>
              <w:t>7. Constatările expertizei anticorupție</w:t>
            </w:r>
          </w:p>
          <w:p w14:paraId="1FB880CF" w14:textId="11080FA3" w:rsidR="0058152E" w:rsidRPr="00120A4B" w:rsidRDefault="0058152E" w:rsidP="00BE19C1">
            <w:pPr>
              <w:spacing w:before="0" w:after="0"/>
              <w:rPr>
                <w:szCs w:val="24"/>
              </w:rPr>
            </w:pPr>
            <w:r w:rsidRPr="007F53F8">
              <w:rPr>
                <w:iCs/>
                <w:szCs w:val="24"/>
              </w:rPr>
              <w:t xml:space="preserve">Proiectul </w:t>
            </w:r>
            <w:r>
              <w:rPr>
                <w:iCs/>
                <w:szCs w:val="24"/>
              </w:rPr>
              <w:t>respectiv urmează a fi s</w:t>
            </w:r>
            <w:r w:rsidRPr="007F53F8">
              <w:rPr>
                <w:iCs/>
                <w:szCs w:val="24"/>
              </w:rPr>
              <w:t xml:space="preserve">upus expertizei anticorupție </w:t>
            </w:r>
            <w:r w:rsidRPr="00166B19">
              <w:rPr>
                <w:iCs/>
                <w:szCs w:val="24"/>
              </w:rPr>
              <w:t>conform art. 35 din Legea</w:t>
            </w:r>
            <w:r w:rsidR="00942B8D">
              <w:rPr>
                <w:iCs/>
                <w:szCs w:val="24"/>
              </w:rPr>
              <w:t xml:space="preserve"> nr.</w:t>
            </w:r>
            <w:r w:rsidRPr="00166B19">
              <w:rPr>
                <w:iCs/>
                <w:szCs w:val="24"/>
              </w:rPr>
              <w:t xml:space="preserve"> 100/2017 cu privire la actele normative </w:t>
            </w:r>
            <w:r>
              <w:rPr>
                <w:iCs/>
                <w:szCs w:val="24"/>
              </w:rPr>
              <w:t xml:space="preserve">fiind efectuată </w:t>
            </w:r>
            <w:r w:rsidRPr="00166B19">
              <w:rPr>
                <w:iCs/>
                <w:szCs w:val="24"/>
              </w:rPr>
              <w:t>de către Centrul Național Anticorupție</w:t>
            </w:r>
            <w:r>
              <w:rPr>
                <w:iCs/>
                <w:szCs w:val="24"/>
              </w:rPr>
              <w:t>.</w:t>
            </w:r>
          </w:p>
        </w:tc>
      </w:tr>
      <w:tr w:rsidR="0057300F" w:rsidRPr="00844CBB" w14:paraId="6E8AAD3A" w14:textId="77777777" w:rsidTr="07DD546D">
        <w:tc>
          <w:tcPr>
            <w:tcW w:w="10211" w:type="dxa"/>
            <w:hideMark/>
          </w:tcPr>
          <w:p w14:paraId="1D9EC224" w14:textId="61775290" w:rsidR="0057300F" w:rsidRPr="007F53F8" w:rsidRDefault="0057300F" w:rsidP="00BE19C1">
            <w:pPr>
              <w:spacing w:before="0" w:after="0"/>
              <w:rPr>
                <w:szCs w:val="24"/>
                <w:shd w:val="clear" w:color="auto" w:fill="FFFFFF"/>
                <w:lang w:eastAsia="ar-SA"/>
              </w:rPr>
            </w:pPr>
          </w:p>
        </w:tc>
      </w:tr>
      <w:tr w:rsidR="0057300F" w:rsidRPr="000857F7" w14:paraId="4A90504D" w14:textId="77777777" w:rsidTr="07DD546D">
        <w:tc>
          <w:tcPr>
            <w:tcW w:w="10211" w:type="dxa"/>
          </w:tcPr>
          <w:p w14:paraId="69AF5D3A" w14:textId="544E5A67" w:rsidR="0042082F" w:rsidRPr="007F53F8" w:rsidRDefault="0042082F" w:rsidP="00BE19C1">
            <w:pPr>
              <w:spacing w:before="0" w:after="0"/>
              <w:rPr>
                <w:b/>
                <w:szCs w:val="24"/>
              </w:rPr>
            </w:pPr>
            <w:r w:rsidRPr="007F53F8">
              <w:rPr>
                <w:b/>
                <w:szCs w:val="24"/>
              </w:rPr>
              <w:t>8. Constatările expertizei juridice</w:t>
            </w:r>
          </w:p>
          <w:p w14:paraId="66B1B597" w14:textId="6173011E" w:rsidR="00431106" w:rsidRPr="007F53F8" w:rsidRDefault="0042082F" w:rsidP="00BE19C1">
            <w:pPr>
              <w:spacing w:before="0" w:after="0"/>
              <w:contextualSpacing/>
              <w:rPr>
                <w:szCs w:val="24"/>
              </w:rPr>
            </w:pPr>
            <w:r w:rsidRPr="007F53F8">
              <w:rPr>
                <w:iCs/>
                <w:szCs w:val="24"/>
              </w:rPr>
              <w:t xml:space="preserve">Proiectul </w:t>
            </w:r>
            <w:r>
              <w:rPr>
                <w:iCs/>
                <w:szCs w:val="24"/>
              </w:rPr>
              <w:t>respectiv a f</w:t>
            </w:r>
            <w:r w:rsidR="00982997">
              <w:rPr>
                <w:iCs/>
                <w:szCs w:val="24"/>
              </w:rPr>
              <w:t>ost</w:t>
            </w:r>
            <w:r w:rsidRPr="007F53F8">
              <w:rPr>
                <w:iCs/>
                <w:szCs w:val="24"/>
              </w:rPr>
              <w:t xml:space="preserve"> supus expertizei juridice conform art. 37 din Legea</w:t>
            </w:r>
            <w:r w:rsidR="00942B8D">
              <w:rPr>
                <w:iCs/>
                <w:szCs w:val="24"/>
              </w:rPr>
              <w:t xml:space="preserve"> nr.</w:t>
            </w:r>
            <w:r w:rsidRPr="007F53F8">
              <w:rPr>
                <w:iCs/>
                <w:szCs w:val="24"/>
              </w:rPr>
              <w:t xml:space="preserve"> 100/2017</w:t>
            </w:r>
            <w:r w:rsidRPr="00166B19">
              <w:rPr>
                <w:rFonts w:eastAsiaTheme="minorHAnsi" w:cstheme="minorBidi"/>
                <w:iCs/>
                <w:szCs w:val="24"/>
              </w:rPr>
              <w:t xml:space="preserve"> </w:t>
            </w:r>
            <w:r w:rsidRPr="00166B19">
              <w:rPr>
                <w:iCs/>
                <w:szCs w:val="24"/>
              </w:rPr>
              <w:t xml:space="preserve">cu privire la actele normative </w:t>
            </w:r>
            <w:r w:rsidRPr="007F53F8">
              <w:rPr>
                <w:iCs/>
                <w:szCs w:val="24"/>
              </w:rPr>
              <w:t xml:space="preserve"> </w:t>
            </w:r>
            <w:r>
              <w:rPr>
                <w:iCs/>
                <w:szCs w:val="24"/>
              </w:rPr>
              <w:t xml:space="preserve">fiind efectuată </w:t>
            </w:r>
            <w:r w:rsidRPr="007F53F8">
              <w:rPr>
                <w:iCs/>
                <w:szCs w:val="24"/>
              </w:rPr>
              <w:t>de către Ministerul Justiției</w:t>
            </w:r>
          </w:p>
        </w:tc>
      </w:tr>
      <w:tr w:rsidR="0057300F" w:rsidRPr="00844CBB" w14:paraId="10519DD7" w14:textId="77777777" w:rsidTr="07DD546D">
        <w:tc>
          <w:tcPr>
            <w:tcW w:w="10211" w:type="dxa"/>
          </w:tcPr>
          <w:p w14:paraId="07A8F939" w14:textId="58DED0FD" w:rsidR="0042082F" w:rsidRPr="007F53F8" w:rsidRDefault="0042082F" w:rsidP="00BE19C1">
            <w:pPr>
              <w:spacing w:before="0" w:after="0"/>
              <w:rPr>
                <w:b/>
                <w:szCs w:val="24"/>
              </w:rPr>
            </w:pPr>
            <w:r w:rsidRPr="007F53F8">
              <w:rPr>
                <w:b/>
                <w:szCs w:val="24"/>
              </w:rPr>
              <w:t>9. Alte expertize</w:t>
            </w:r>
          </w:p>
          <w:p w14:paraId="00D60F47" w14:textId="02A25868" w:rsidR="0057300F" w:rsidRDefault="0042082F" w:rsidP="00BE19C1">
            <w:pPr>
              <w:spacing w:before="0" w:after="0"/>
              <w:contextualSpacing/>
              <w:rPr>
                <w:szCs w:val="24"/>
              </w:rPr>
            </w:pPr>
            <w:r w:rsidRPr="0042082F">
              <w:rPr>
                <w:szCs w:val="24"/>
              </w:rPr>
              <w:t xml:space="preserve">Proiectul nu conține prevederi de reglementare 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De asemenea, proiectul nu cade sub incidența altor expertize necesare a fi efectuate în condițiile Legii </w:t>
            </w:r>
            <w:r w:rsidR="00942B8D">
              <w:rPr>
                <w:szCs w:val="24"/>
              </w:rPr>
              <w:t>nr.</w:t>
            </w:r>
            <w:r w:rsidRPr="0042082F">
              <w:rPr>
                <w:szCs w:val="24"/>
              </w:rPr>
              <w:t>100/2017.</w:t>
            </w:r>
          </w:p>
          <w:p w14:paraId="40C596B3" w14:textId="1E38DE81" w:rsidR="000857F7" w:rsidRDefault="000857F7" w:rsidP="00A95549">
            <w:pPr>
              <w:tabs>
                <w:tab w:val="left" w:pos="989"/>
              </w:tabs>
              <w:spacing w:before="0" w:after="0"/>
              <w:rPr>
                <w:b/>
                <w:bCs/>
                <w:szCs w:val="24"/>
              </w:rPr>
            </w:pPr>
          </w:p>
          <w:p w14:paraId="07F09B60" w14:textId="77777777" w:rsidR="004C7969" w:rsidRDefault="004C7969" w:rsidP="00BE19C1">
            <w:pPr>
              <w:spacing w:before="0" w:after="0"/>
              <w:jc w:val="center"/>
              <w:rPr>
                <w:b/>
                <w:bCs/>
                <w:szCs w:val="24"/>
              </w:rPr>
            </w:pPr>
          </w:p>
          <w:p w14:paraId="56979590" w14:textId="229C096A" w:rsidR="0042082F" w:rsidRPr="007F53F8" w:rsidRDefault="00942B8D" w:rsidP="00BE19C1">
            <w:pPr>
              <w:spacing w:before="0" w:after="0"/>
              <w:jc w:val="center"/>
              <w:rPr>
                <w:i/>
                <w:szCs w:val="24"/>
              </w:rPr>
            </w:pPr>
            <w:r>
              <w:rPr>
                <w:b/>
                <w:bCs/>
                <w:szCs w:val="24"/>
              </w:rPr>
              <w:t>Viceprim-ministru, ministru</w:t>
            </w:r>
            <w:r w:rsidR="0042082F" w:rsidRPr="00995DF3">
              <w:rPr>
                <w:b/>
                <w:bCs/>
                <w:szCs w:val="24"/>
              </w:rPr>
              <w:t xml:space="preserve">                                            </w:t>
            </w:r>
            <w:r w:rsidR="00982997">
              <w:rPr>
                <w:b/>
                <w:bCs/>
                <w:szCs w:val="24"/>
              </w:rPr>
              <w:t xml:space="preserve">    </w:t>
            </w:r>
            <w:r w:rsidR="0042082F" w:rsidRPr="00995DF3">
              <w:rPr>
                <w:b/>
                <w:bCs/>
                <w:szCs w:val="24"/>
              </w:rPr>
              <w:t xml:space="preserve">        </w:t>
            </w:r>
            <w:r>
              <w:rPr>
                <w:b/>
                <w:bCs/>
                <w:szCs w:val="24"/>
              </w:rPr>
              <w:t>Andrei SPÎNU</w:t>
            </w:r>
          </w:p>
        </w:tc>
      </w:tr>
    </w:tbl>
    <w:p w14:paraId="269A49EB" w14:textId="77777777" w:rsidR="0057300F" w:rsidRPr="009E0EDE" w:rsidRDefault="0057300F" w:rsidP="00224B69">
      <w:pPr>
        <w:rPr>
          <w:rFonts w:cs="Times New Roman"/>
          <w:szCs w:val="24"/>
          <w:lang w:val="ro-RO"/>
        </w:rPr>
      </w:pPr>
    </w:p>
    <w:sectPr w:rsidR="0057300F" w:rsidRPr="009E0EDE" w:rsidSect="007C1773">
      <w:pgSz w:w="11906" w:h="16838"/>
      <w:pgMar w:top="851" w:right="851" w:bottom="709" w:left="1701"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DCB14" w14:textId="77777777" w:rsidR="005F4356" w:rsidRDefault="005F4356" w:rsidP="00F84CBB">
      <w:pPr>
        <w:spacing w:after="0" w:line="240" w:lineRule="auto"/>
      </w:pPr>
      <w:r>
        <w:separator/>
      </w:r>
    </w:p>
  </w:endnote>
  <w:endnote w:type="continuationSeparator" w:id="0">
    <w:p w14:paraId="723577EF" w14:textId="77777777" w:rsidR="005F4356" w:rsidRDefault="005F4356" w:rsidP="00F8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292E3" w14:textId="77777777" w:rsidR="005F4356" w:rsidRDefault="005F4356" w:rsidP="00F84CBB">
      <w:pPr>
        <w:spacing w:after="0" w:line="240" w:lineRule="auto"/>
      </w:pPr>
      <w:r>
        <w:separator/>
      </w:r>
    </w:p>
  </w:footnote>
  <w:footnote w:type="continuationSeparator" w:id="0">
    <w:p w14:paraId="67417D63" w14:textId="77777777" w:rsidR="005F4356" w:rsidRDefault="005F4356" w:rsidP="00F84CBB">
      <w:pPr>
        <w:spacing w:after="0" w:line="240" w:lineRule="auto"/>
      </w:pPr>
      <w:r>
        <w:continuationSeparator/>
      </w:r>
    </w:p>
  </w:footnote>
  <w:footnote w:id="1">
    <w:p w14:paraId="5DA34D80" w14:textId="63558A0E" w:rsidR="00B15041" w:rsidRPr="004C7969" w:rsidRDefault="00B15041" w:rsidP="006C63D4">
      <w:pPr>
        <w:pStyle w:val="FootnoteText"/>
        <w:spacing w:before="0"/>
        <w:rPr>
          <w:rFonts w:cs="Times New Roman"/>
          <w:b/>
          <w:bCs/>
          <w:lang w:val="it-IT"/>
        </w:rPr>
      </w:pPr>
      <w:r w:rsidRPr="006C63D4">
        <w:rPr>
          <w:rStyle w:val="FootnoteReference"/>
          <w:rFonts w:cs="Times New Roman"/>
          <w:sz w:val="16"/>
          <w:szCs w:val="16"/>
        </w:rPr>
        <w:footnoteRef/>
      </w:r>
      <w:r w:rsidRPr="002F7885">
        <w:rPr>
          <w:rFonts w:cs="Times New Roman"/>
          <w:sz w:val="16"/>
          <w:szCs w:val="16"/>
          <w:lang w:val="it-IT"/>
        </w:rPr>
        <w:t xml:space="preserve"> </w:t>
      </w:r>
      <w:r w:rsidRPr="004C7969">
        <w:rPr>
          <w:rFonts w:cs="Times New Roman"/>
          <w:sz w:val="16"/>
          <w:szCs w:val="16"/>
          <w:lang w:val="it-IT"/>
        </w:rPr>
        <w:t>Pagina oficială a ANRE</w:t>
      </w:r>
      <w:r w:rsidR="006C63D4" w:rsidRPr="004C7969">
        <w:rPr>
          <w:rFonts w:cs="Times New Roman"/>
          <w:sz w:val="16"/>
          <w:szCs w:val="16"/>
          <w:lang w:val="it-IT"/>
        </w:rPr>
        <w:t xml:space="preserve">, rubrica Energie regenerabilă/ </w:t>
      </w:r>
      <w:r w:rsidR="007D5A99" w:rsidRPr="004C7969">
        <w:rPr>
          <w:rFonts w:cs="Times New Roman"/>
          <w:sz w:val="16"/>
          <w:szCs w:val="16"/>
          <w:lang w:val="it-IT"/>
        </w:rPr>
        <w:t>Registrul producătorilor eligibili</w:t>
      </w:r>
    </w:p>
  </w:footnote>
  <w:footnote w:id="2">
    <w:p w14:paraId="57E0E4A7" w14:textId="29B10D44" w:rsidR="00431A20" w:rsidRPr="004C7969" w:rsidRDefault="00431A20" w:rsidP="00CB4267">
      <w:pPr>
        <w:pStyle w:val="FootnoteText"/>
        <w:spacing w:before="0"/>
        <w:rPr>
          <w:lang w:val="it-IT"/>
        </w:rPr>
      </w:pPr>
      <w:r>
        <w:rPr>
          <w:rStyle w:val="FootnoteReference"/>
        </w:rPr>
        <w:footnoteRef/>
      </w:r>
      <w:r w:rsidRPr="004C7969">
        <w:rPr>
          <w:lang w:val="it-IT"/>
        </w:rPr>
        <w:t xml:space="preserve"> </w:t>
      </w:r>
      <w:hyperlink r:id="rId1" w:history="1">
        <w:r w:rsidRPr="004C7969">
          <w:rPr>
            <w:rStyle w:val="Hyperlink"/>
            <w:lang w:val="it-IT"/>
          </w:rPr>
          <w:t>https://www4.unfccc.int/sites/NDCStaging/pages/Party.aspx?party=MDA</w:t>
        </w:r>
      </w:hyperlink>
      <w:r w:rsidRPr="004C7969">
        <w:rPr>
          <w:lang w:val="it-IT"/>
        </w:rPr>
        <w:t xml:space="preserve"> </w:t>
      </w:r>
    </w:p>
  </w:footnote>
  <w:footnote w:id="3">
    <w:p w14:paraId="3F5B46EE" w14:textId="6045CBE2" w:rsidR="00CB4267" w:rsidRPr="004C7969" w:rsidRDefault="00CB4267" w:rsidP="00CB4267">
      <w:pPr>
        <w:pStyle w:val="FootnoteText"/>
        <w:spacing w:before="0"/>
        <w:rPr>
          <w:lang w:val="it-IT"/>
        </w:rPr>
      </w:pPr>
      <w:r>
        <w:rPr>
          <w:rStyle w:val="FootnoteReference"/>
        </w:rPr>
        <w:footnoteRef/>
      </w:r>
      <w:r w:rsidRPr="004C7969">
        <w:rPr>
          <w:lang w:val="it-IT"/>
        </w:rPr>
        <w:t xml:space="preserve"> </w:t>
      </w:r>
      <w:hyperlink r:id="rId2" w:history="1">
        <w:r w:rsidRPr="004C7969">
          <w:rPr>
            <w:rStyle w:val="Hyperlink"/>
            <w:lang w:val="it-IT"/>
          </w:rPr>
          <w:t>https://www.legis.md/cautare/getResults?doc_id=98493&amp;lang=ro</w:t>
        </w:r>
      </w:hyperlink>
      <w:r w:rsidRPr="004C7969">
        <w:rPr>
          <w:lang w:val="it-IT"/>
        </w:rPr>
        <w:t xml:space="preserve"> </w:t>
      </w:r>
    </w:p>
  </w:footnote>
  <w:footnote w:id="4">
    <w:p w14:paraId="20890585" w14:textId="40F32C5D" w:rsidR="00D62311" w:rsidRPr="00D62311" w:rsidRDefault="00D62311">
      <w:pPr>
        <w:pStyle w:val="FootnoteText"/>
      </w:pPr>
      <w:r>
        <w:rPr>
          <w:rStyle w:val="FootnoteReference"/>
        </w:rPr>
        <w:footnoteRef/>
      </w:r>
      <w:r>
        <w:t xml:space="preserve"> </w:t>
      </w:r>
      <w:proofErr w:type="spellStart"/>
      <w:r>
        <w:t>Raport</w:t>
      </w:r>
      <w:proofErr w:type="spellEnd"/>
      <w:r>
        <w:t xml:space="preserve"> IRENA, 2019, </w:t>
      </w:r>
      <w:r w:rsidRPr="00D62311">
        <w:t>Renewable Power Generation Costs in 2019</w:t>
      </w:r>
    </w:p>
  </w:footnote>
  <w:footnote w:id="5">
    <w:p w14:paraId="11784089" w14:textId="11B9B50F" w:rsidR="00527EE2" w:rsidRPr="00527EE2" w:rsidRDefault="00527EE2" w:rsidP="00527EE2">
      <w:pPr>
        <w:pStyle w:val="FootnoteText"/>
        <w:spacing w:before="0"/>
        <w:rPr>
          <w:lang w:val="en-US"/>
        </w:rPr>
      </w:pPr>
      <w:r w:rsidRPr="00527EE2">
        <w:rPr>
          <w:rStyle w:val="FootnoteReference"/>
          <w:lang w:val="en-US"/>
        </w:rPr>
        <w:footnoteRef/>
      </w:r>
      <w:r w:rsidRPr="00527EE2">
        <w:rPr>
          <w:lang w:val="en-US"/>
        </w:rPr>
        <w:t xml:space="preserve"> </w:t>
      </w:r>
      <w:proofErr w:type="spellStart"/>
      <w:r w:rsidRPr="00527EE2">
        <w:rPr>
          <w:lang w:val="en-US"/>
        </w:rPr>
        <w:t>Raport</w:t>
      </w:r>
      <w:proofErr w:type="spellEnd"/>
      <w:r w:rsidRPr="00527EE2">
        <w:rPr>
          <w:lang w:val="en-US"/>
        </w:rPr>
        <w:t xml:space="preserve"> AIE/ IEA, 2002, Distributed Generation in </w:t>
      </w:r>
      <w:proofErr w:type="spellStart"/>
      <w:r w:rsidRPr="00527EE2">
        <w:rPr>
          <w:lang w:val="en-US"/>
        </w:rPr>
        <w:t>Liberalised</w:t>
      </w:r>
      <w:proofErr w:type="spellEnd"/>
      <w:r w:rsidRPr="00527EE2">
        <w:rPr>
          <w:lang w:val="en-US"/>
        </w:rPr>
        <w:t xml:space="preserve"> Electricity Markets</w:t>
      </w:r>
    </w:p>
  </w:footnote>
  <w:footnote w:id="6">
    <w:p w14:paraId="5FA668E9" w14:textId="2EFF25F6" w:rsidR="00527EE2" w:rsidRPr="00527EE2" w:rsidRDefault="00527EE2" w:rsidP="00527EE2">
      <w:pPr>
        <w:pStyle w:val="FootnoteText"/>
        <w:spacing w:before="0"/>
        <w:rPr>
          <w:lang w:val="en-US"/>
        </w:rPr>
      </w:pPr>
      <w:r w:rsidRPr="00527EE2">
        <w:rPr>
          <w:rStyle w:val="FootnoteReference"/>
          <w:lang w:val="en-US"/>
        </w:rPr>
        <w:footnoteRef/>
      </w:r>
      <w:r w:rsidRPr="00527EE2">
        <w:rPr>
          <w:lang w:val="en-US"/>
        </w:rPr>
        <w:t xml:space="preserve"> </w:t>
      </w:r>
      <w:proofErr w:type="spellStart"/>
      <w:r w:rsidRPr="00527EE2">
        <w:rPr>
          <w:lang w:val="en-US"/>
        </w:rPr>
        <w:t>Raport</w:t>
      </w:r>
      <w:proofErr w:type="spellEnd"/>
      <w:r w:rsidRPr="00527EE2">
        <w:rPr>
          <w:lang w:val="en-US"/>
        </w:rPr>
        <w:t xml:space="preserve"> IRENA, 2019,</w:t>
      </w:r>
      <w:r>
        <w:rPr>
          <w:lang w:val="en-US"/>
        </w:rPr>
        <w:t xml:space="preserve"> </w:t>
      </w:r>
      <w:r w:rsidRPr="00527EE2">
        <w:rPr>
          <w:lang w:val="en-US"/>
        </w:rPr>
        <w:t>”Market integration of distributed energy resources, Innovation landscape brief”</w:t>
      </w:r>
    </w:p>
    <w:p w14:paraId="2FDFC1CE" w14:textId="3BE37DC8" w:rsidR="00527EE2" w:rsidRPr="00527EE2" w:rsidRDefault="00527EE2">
      <w:pPr>
        <w:pStyle w:val="FootnoteText"/>
        <w:rPr>
          <w:lang w:val="en-US"/>
        </w:rPr>
      </w:pPr>
    </w:p>
  </w:footnote>
  <w:footnote w:id="7">
    <w:p w14:paraId="2407177B" w14:textId="7EDFB206" w:rsidR="00867634" w:rsidRPr="00867634" w:rsidRDefault="00867634">
      <w:pPr>
        <w:pStyle w:val="FootnoteText"/>
      </w:pPr>
      <w:r>
        <w:rPr>
          <w:rStyle w:val="FootnoteReference"/>
        </w:rPr>
        <w:footnoteRef/>
      </w:r>
      <w:r>
        <w:t xml:space="preserve"> </w:t>
      </w:r>
      <w:r w:rsidRPr="00867634">
        <w:t>COGEN Europe position on the European Commission Targeted Consultation for the Evaluation of the Guidelines on State aid for Environmental protection and Energy</w:t>
      </w:r>
      <w:r>
        <w:t xml:space="preserve">, </w:t>
      </w:r>
      <w:proofErr w:type="spellStart"/>
      <w:r>
        <w:t>iulie</w:t>
      </w:r>
      <w:proofErr w:type="spellEnd"/>
      <w:r>
        <w:t xml:space="preserve">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77B53"/>
    <w:multiLevelType w:val="hybridMultilevel"/>
    <w:tmpl w:val="A6B62906"/>
    <w:lvl w:ilvl="0" w:tplc="19622A12">
      <w:start w:val="1"/>
      <w:numFmt w:val="decimal"/>
      <w:lvlText w:val="%1."/>
      <w:lvlJc w:val="left"/>
      <w:pPr>
        <w:ind w:left="720" w:hanging="360"/>
      </w:pPr>
      <w:rPr>
        <w:rFonts w:ascii="Times New Roman" w:hAnsi="Times New Roman" w:cs="Times New Roman"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76412DD"/>
    <w:multiLevelType w:val="hybridMultilevel"/>
    <w:tmpl w:val="E8C2FF5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B802C7D"/>
    <w:multiLevelType w:val="hybridMultilevel"/>
    <w:tmpl w:val="0AD62A4C"/>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1FA1159A"/>
    <w:multiLevelType w:val="hybridMultilevel"/>
    <w:tmpl w:val="7A4C35D0"/>
    <w:lvl w:ilvl="0" w:tplc="90C8AD94">
      <w:start w:val="3"/>
      <w:numFmt w:val="bullet"/>
      <w:lvlText w:val="-"/>
      <w:lvlJc w:val="left"/>
      <w:pPr>
        <w:ind w:left="420" w:hanging="360"/>
      </w:pPr>
      <w:rPr>
        <w:rFonts w:ascii="Times New Roman" w:eastAsia="Calibri" w:hAnsi="Times New Roman" w:cs="Times New Roman" w:hint="default"/>
      </w:rPr>
    </w:lvl>
    <w:lvl w:ilvl="1" w:tplc="08180003" w:tentative="1">
      <w:start w:val="1"/>
      <w:numFmt w:val="bullet"/>
      <w:lvlText w:val="o"/>
      <w:lvlJc w:val="left"/>
      <w:pPr>
        <w:ind w:left="1140" w:hanging="360"/>
      </w:pPr>
      <w:rPr>
        <w:rFonts w:ascii="Courier New" w:hAnsi="Courier New" w:cs="Courier New" w:hint="default"/>
      </w:rPr>
    </w:lvl>
    <w:lvl w:ilvl="2" w:tplc="08180005" w:tentative="1">
      <w:start w:val="1"/>
      <w:numFmt w:val="bullet"/>
      <w:lvlText w:val=""/>
      <w:lvlJc w:val="left"/>
      <w:pPr>
        <w:ind w:left="1860" w:hanging="360"/>
      </w:pPr>
      <w:rPr>
        <w:rFonts w:ascii="Wingdings" w:hAnsi="Wingdings" w:hint="default"/>
      </w:rPr>
    </w:lvl>
    <w:lvl w:ilvl="3" w:tplc="08180001" w:tentative="1">
      <w:start w:val="1"/>
      <w:numFmt w:val="bullet"/>
      <w:lvlText w:val=""/>
      <w:lvlJc w:val="left"/>
      <w:pPr>
        <w:ind w:left="2580" w:hanging="360"/>
      </w:pPr>
      <w:rPr>
        <w:rFonts w:ascii="Symbol" w:hAnsi="Symbol" w:hint="default"/>
      </w:rPr>
    </w:lvl>
    <w:lvl w:ilvl="4" w:tplc="08180003" w:tentative="1">
      <w:start w:val="1"/>
      <w:numFmt w:val="bullet"/>
      <w:lvlText w:val="o"/>
      <w:lvlJc w:val="left"/>
      <w:pPr>
        <w:ind w:left="3300" w:hanging="360"/>
      </w:pPr>
      <w:rPr>
        <w:rFonts w:ascii="Courier New" w:hAnsi="Courier New" w:cs="Courier New" w:hint="default"/>
      </w:rPr>
    </w:lvl>
    <w:lvl w:ilvl="5" w:tplc="08180005" w:tentative="1">
      <w:start w:val="1"/>
      <w:numFmt w:val="bullet"/>
      <w:lvlText w:val=""/>
      <w:lvlJc w:val="left"/>
      <w:pPr>
        <w:ind w:left="4020" w:hanging="360"/>
      </w:pPr>
      <w:rPr>
        <w:rFonts w:ascii="Wingdings" w:hAnsi="Wingdings" w:hint="default"/>
      </w:rPr>
    </w:lvl>
    <w:lvl w:ilvl="6" w:tplc="08180001" w:tentative="1">
      <w:start w:val="1"/>
      <w:numFmt w:val="bullet"/>
      <w:lvlText w:val=""/>
      <w:lvlJc w:val="left"/>
      <w:pPr>
        <w:ind w:left="4740" w:hanging="360"/>
      </w:pPr>
      <w:rPr>
        <w:rFonts w:ascii="Symbol" w:hAnsi="Symbol" w:hint="default"/>
      </w:rPr>
    </w:lvl>
    <w:lvl w:ilvl="7" w:tplc="08180003" w:tentative="1">
      <w:start w:val="1"/>
      <w:numFmt w:val="bullet"/>
      <w:lvlText w:val="o"/>
      <w:lvlJc w:val="left"/>
      <w:pPr>
        <w:ind w:left="5460" w:hanging="360"/>
      </w:pPr>
      <w:rPr>
        <w:rFonts w:ascii="Courier New" w:hAnsi="Courier New" w:cs="Courier New" w:hint="default"/>
      </w:rPr>
    </w:lvl>
    <w:lvl w:ilvl="8" w:tplc="08180005" w:tentative="1">
      <w:start w:val="1"/>
      <w:numFmt w:val="bullet"/>
      <w:lvlText w:val=""/>
      <w:lvlJc w:val="left"/>
      <w:pPr>
        <w:ind w:left="6180" w:hanging="360"/>
      </w:pPr>
      <w:rPr>
        <w:rFonts w:ascii="Wingdings" w:hAnsi="Wingdings" w:hint="default"/>
      </w:rPr>
    </w:lvl>
  </w:abstractNum>
  <w:abstractNum w:abstractNumId="4" w15:restartNumberingAfterBreak="0">
    <w:nsid w:val="34BA787D"/>
    <w:multiLevelType w:val="hybridMultilevel"/>
    <w:tmpl w:val="D01AF88C"/>
    <w:lvl w:ilvl="0" w:tplc="2474DEC6">
      <w:start w:val="1"/>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3DCE3A7E"/>
    <w:multiLevelType w:val="hybridMultilevel"/>
    <w:tmpl w:val="E60CEF68"/>
    <w:lvl w:ilvl="0" w:tplc="9378068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4B722987"/>
    <w:multiLevelType w:val="hybridMultilevel"/>
    <w:tmpl w:val="99F02E38"/>
    <w:lvl w:ilvl="0" w:tplc="FC445A7C">
      <w:numFmt w:val="bullet"/>
      <w:lvlText w:val="-"/>
      <w:lvlJc w:val="left"/>
      <w:pPr>
        <w:ind w:left="420" w:hanging="360"/>
      </w:pPr>
      <w:rPr>
        <w:rFonts w:ascii="Times New Roman" w:eastAsia="Times New Roman" w:hAnsi="Times New Roman" w:cs="Times New Roman" w:hint="default"/>
      </w:rPr>
    </w:lvl>
    <w:lvl w:ilvl="1" w:tplc="08180003" w:tentative="1">
      <w:start w:val="1"/>
      <w:numFmt w:val="bullet"/>
      <w:lvlText w:val="o"/>
      <w:lvlJc w:val="left"/>
      <w:pPr>
        <w:ind w:left="1140" w:hanging="360"/>
      </w:pPr>
      <w:rPr>
        <w:rFonts w:ascii="Courier New" w:hAnsi="Courier New" w:cs="Courier New" w:hint="default"/>
      </w:rPr>
    </w:lvl>
    <w:lvl w:ilvl="2" w:tplc="08180005" w:tentative="1">
      <w:start w:val="1"/>
      <w:numFmt w:val="bullet"/>
      <w:lvlText w:val=""/>
      <w:lvlJc w:val="left"/>
      <w:pPr>
        <w:ind w:left="1860" w:hanging="360"/>
      </w:pPr>
      <w:rPr>
        <w:rFonts w:ascii="Wingdings" w:hAnsi="Wingdings" w:hint="default"/>
      </w:rPr>
    </w:lvl>
    <w:lvl w:ilvl="3" w:tplc="08180001" w:tentative="1">
      <w:start w:val="1"/>
      <w:numFmt w:val="bullet"/>
      <w:lvlText w:val=""/>
      <w:lvlJc w:val="left"/>
      <w:pPr>
        <w:ind w:left="2580" w:hanging="360"/>
      </w:pPr>
      <w:rPr>
        <w:rFonts w:ascii="Symbol" w:hAnsi="Symbol" w:hint="default"/>
      </w:rPr>
    </w:lvl>
    <w:lvl w:ilvl="4" w:tplc="08180003" w:tentative="1">
      <w:start w:val="1"/>
      <w:numFmt w:val="bullet"/>
      <w:lvlText w:val="o"/>
      <w:lvlJc w:val="left"/>
      <w:pPr>
        <w:ind w:left="3300" w:hanging="360"/>
      </w:pPr>
      <w:rPr>
        <w:rFonts w:ascii="Courier New" w:hAnsi="Courier New" w:cs="Courier New" w:hint="default"/>
      </w:rPr>
    </w:lvl>
    <w:lvl w:ilvl="5" w:tplc="08180005" w:tentative="1">
      <w:start w:val="1"/>
      <w:numFmt w:val="bullet"/>
      <w:lvlText w:val=""/>
      <w:lvlJc w:val="left"/>
      <w:pPr>
        <w:ind w:left="4020" w:hanging="360"/>
      </w:pPr>
      <w:rPr>
        <w:rFonts w:ascii="Wingdings" w:hAnsi="Wingdings" w:hint="default"/>
      </w:rPr>
    </w:lvl>
    <w:lvl w:ilvl="6" w:tplc="08180001" w:tentative="1">
      <w:start w:val="1"/>
      <w:numFmt w:val="bullet"/>
      <w:lvlText w:val=""/>
      <w:lvlJc w:val="left"/>
      <w:pPr>
        <w:ind w:left="4740" w:hanging="360"/>
      </w:pPr>
      <w:rPr>
        <w:rFonts w:ascii="Symbol" w:hAnsi="Symbol" w:hint="default"/>
      </w:rPr>
    </w:lvl>
    <w:lvl w:ilvl="7" w:tplc="08180003" w:tentative="1">
      <w:start w:val="1"/>
      <w:numFmt w:val="bullet"/>
      <w:lvlText w:val="o"/>
      <w:lvlJc w:val="left"/>
      <w:pPr>
        <w:ind w:left="5460" w:hanging="360"/>
      </w:pPr>
      <w:rPr>
        <w:rFonts w:ascii="Courier New" w:hAnsi="Courier New" w:cs="Courier New" w:hint="default"/>
      </w:rPr>
    </w:lvl>
    <w:lvl w:ilvl="8" w:tplc="08180005" w:tentative="1">
      <w:start w:val="1"/>
      <w:numFmt w:val="bullet"/>
      <w:lvlText w:val=""/>
      <w:lvlJc w:val="left"/>
      <w:pPr>
        <w:ind w:left="6180" w:hanging="360"/>
      </w:pPr>
      <w:rPr>
        <w:rFonts w:ascii="Wingdings" w:hAnsi="Wingdings" w:hint="default"/>
      </w:rPr>
    </w:lvl>
  </w:abstractNum>
  <w:abstractNum w:abstractNumId="7" w15:restartNumberingAfterBreak="0">
    <w:nsid w:val="524D1488"/>
    <w:multiLevelType w:val="hybridMultilevel"/>
    <w:tmpl w:val="1AE2C666"/>
    <w:lvl w:ilvl="0" w:tplc="E9D880DE">
      <w:start w:val="1"/>
      <w:numFmt w:val="upperRoman"/>
      <w:lvlText w:val="%1."/>
      <w:lvlJc w:val="righ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B6DAC"/>
    <w:multiLevelType w:val="hybridMultilevel"/>
    <w:tmpl w:val="499A0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D3A17"/>
    <w:multiLevelType w:val="hybridMultilevel"/>
    <w:tmpl w:val="940E582C"/>
    <w:lvl w:ilvl="0" w:tplc="8E6EA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5E"/>
    <w:rsid w:val="000074E5"/>
    <w:rsid w:val="000215F2"/>
    <w:rsid w:val="00021916"/>
    <w:rsid w:val="000239A1"/>
    <w:rsid w:val="00027508"/>
    <w:rsid w:val="00027A14"/>
    <w:rsid w:val="00031AE3"/>
    <w:rsid w:val="00046015"/>
    <w:rsid w:val="00052984"/>
    <w:rsid w:val="00055D20"/>
    <w:rsid w:val="00061761"/>
    <w:rsid w:val="00061B08"/>
    <w:rsid w:val="0006272E"/>
    <w:rsid w:val="00075437"/>
    <w:rsid w:val="000857F7"/>
    <w:rsid w:val="0008720E"/>
    <w:rsid w:val="00096915"/>
    <w:rsid w:val="000B147E"/>
    <w:rsid w:val="000B29B2"/>
    <w:rsid w:val="000B62B3"/>
    <w:rsid w:val="000B78FB"/>
    <w:rsid w:val="000C7D55"/>
    <w:rsid w:val="000D1DA1"/>
    <w:rsid w:val="000D580C"/>
    <w:rsid w:val="000E0A58"/>
    <w:rsid w:val="000E2264"/>
    <w:rsid w:val="000E70A1"/>
    <w:rsid w:val="000F3F6E"/>
    <w:rsid w:val="001051EF"/>
    <w:rsid w:val="001053B5"/>
    <w:rsid w:val="00105438"/>
    <w:rsid w:val="00105E23"/>
    <w:rsid w:val="00110E0F"/>
    <w:rsid w:val="00114DA2"/>
    <w:rsid w:val="00117C6D"/>
    <w:rsid w:val="00120A4B"/>
    <w:rsid w:val="00126E5A"/>
    <w:rsid w:val="00142C67"/>
    <w:rsid w:val="001441DE"/>
    <w:rsid w:val="00144D81"/>
    <w:rsid w:val="0014668B"/>
    <w:rsid w:val="001468C9"/>
    <w:rsid w:val="00146BA0"/>
    <w:rsid w:val="00153A29"/>
    <w:rsid w:val="00163C3B"/>
    <w:rsid w:val="0017036C"/>
    <w:rsid w:val="00171215"/>
    <w:rsid w:val="001865C9"/>
    <w:rsid w:val="00191374"/>
    <w:rsid w:val="00191E3C"/>
    <w:rsid w:val="001942D4"/>
    <w:rsid w:val="00195A9E"/>
    <w:rsid w:val="001A6406"/>
    <w:rsid w:val="001B2443"/>
    <w:rsid w:val="001B31DF"/>
    <w:rsid w:val="001B461F"/>
    <w:rsid w:val="001E2F9D"/>
    <w:rsid w:val="001E51E1"/>
    <w:rsid w:val="001E5A6C"/>
    <w:rsid w:val="001F4106"/>
    <w:rsid w:val="002016E3"/>
    <w:rsid w:val="00206C19"/>
    <w:rsid w:val="002163FA"/>
    <w:rsid w:val="00216584"/>
    <w:rsid w:val="0021721D"/>
    <w:rsid w:val="00222440"/>
    <w:rsid w:val="00224376"/>
    <w:rsid w:val="00224B69"/>
    <w:rsid w:val="002303A6"/>
    <w:rsid w:val="0023508C"/>
    <w:rsid w:val="00237BF9"/>
    <w:rsid w:val="0024019E"/>
    <w:rsid w:val="0024417C"/>
    <w:rsid w:val="002451B8"/>
    <w:rsid w:val="00247927"/>
    <w:rsid w:val="00254886"/>
    <w:rsid w:val="002578BB"/>
    <w:rsid w:val="00261DD3"/>
    <w:rsid w:val="00264FF9"/>
    <w:rsid w:val="0026777C"/>
    <w:rsid w:val="00267FBE"/>
    <w:rsid w:val="0027063D"/>
    <w:rsid w:val="00293EE3"/>
    <w:rsid w:val="002A262D"/>
    <w:rsid w:val="002A442A"/>
    <w:rsid w:val="002B0FDE"/>
    <w:rsid w:val="002B1506"/>
    <w:rsid w:val="002B7CE1"/>
    <w:rsid w:val="002C1004"/>
    <w:rsid w:val="002D1E57"/>
    <w:rsid w:val="002D3BB0"/>
    <w:rsid w:val="002D4C5A"/>
    <w:rsid w:val="002E18FC"/>
    <w:rsid w:val="002E687C"/>
    <w:rsid w:val="002F32DD"/>
    <w:rsid w:val="002F44AC"/>
    <w:rsid w:val="002F7885"/>
    <w:rsid w:val="002F7B2A"/>
    <w:rsid w:val="0031296F"/>
    <w:rsid w:val="00313949"/>
    <w:rsid w:val="00316CC7"/>
    <w:rsid w:val="00320749"/>
    <w:rsid w:val="003222B5"/>
    <w:rsid w:val="003229AC"/>
    <w:rsid w:val="00323BDD"/>
    <w:rsid w:val="0034435A"/>
    <w:rsid w:val="003646EF"/>
    <w:rsid w:val="00364CF7"/>
    <w:rsid w:val="00365190"/>
    <w:rsid w:val="003713DA"/>
    <w:rsid w:val="003714D6"/>
    <w:rsid w:val="00373CBC"/>
    <w:rsid w:val="00374791"/>
    <w:rsid w:val="003849E9"/>
    <w:rsid w:val="003868EF"/>
    <w:rsid w:val="00391D82"/>
    <w:rsid w:val="003920C2"/>
    <w:rsid w:val="00394BC1"/>
    <w:rsid w:val="00396B3F"/>
    <w:rsid w:val="003A37ED"/>
    <w:rsid w:val="003B2385"/>
    <w:rsid w:val="003B28CA"/>
    <w:rsid w:val="003B2A32"/>
    <w:rsid w:val="003B4C3A"/>
    <w:rsid w:val="003B5951"/>
    <w:rsid w:val="003B5B39"/>
    <w:rsid w:val="003C0D61"/>
    <w:rsid w:val="003D7D4D"/>
    <w:rsid w:val="003E7C03"/>
    <w:rsid w:val="003F09CA"/>
    <w:rsid w:val="003F2163"/>
    <w:rsid w:val="004028EE"/>
    <w:rsid w:val="004055A1"/>
    <w:rsid w:val="0042082F"/>
    <w:rsid w:val="004215E6"/>
    <w:rsid w:val="00421C4E"/>
    <w:rsid w:val="00423F4B"/>
    <w:rsid w:val="00425A71"/>
    <w:rsid w:val="00431106"/>
    <w:rsid w:val="00431A20"/>
    <w:rsid w:val="00434CBF"/>
    <w:rsid w:val="00440114"/>
    <w:rsid w:val="0044084A"/>
    <w:rsid w:val="00440C50"/>
    <w:rsid w:val="00442458"/>
    <w:rsid w:val="00442DD7"/>
    <w:rsid w:val="00450809"/>
    <w:rsid w:val="004515DE"/>
    <w:rsid w:val="004556EE"/>
    <w:rsid w:val="00455A74"/>
    <w:rsid w:val="0048069D"/>
    <w:rsid w:val="00487B88"/>
    <w:rsid w:val="004945B4"/>
    <w:rsid w:val="004A2F94"/>
    <w:rsid w:val="004B72EF"/>
    <w:rsid w:val="004B7E93"/>
    <w:rsid w:val="004C5FB7"/>
    <w:rsid w:val="004C7957"/>
    <w:rsid w:val="004C7969"/>
    <w:rsid w:val="00500864"/>
    <w:rsid w:val="0050554A"/>
    <w:rsid w:val="00510A0E"/>
    <w:rsid w:val="00511539"/>
    <w:rsid w:val="00516359"/>
    <w:rsid w:val="0052194D"/>
    <w:rsid w:val="00526607"/>
    <w:rsid w:val="005272AF"/>
    <w:rsid w:val="00527EE2"/>
    <w:rsid w:val="0053151D"/>
    <w:rsid w:val="00536FDC"/>
    <w:rsid w:val="00541972"/>
    <w:rsid w:val="00541BEA"/>
    <w:rsid w:val="00547476"/>
    <w:rsid w:val="00547C34"/>
    <w:rsid w:val="00553CDD"/>
    <w:rsid w:val="00556D9B"/>
    <w:rsid w:val="00556E72"/>
    <w:rsid w:val="00557D2B"/>
    <w:rsid w:val="00557FD9"/>
    <w:rsid w:val="00561E09"/>
    <w:rsid w:val="005638E5"/>
    <w:rsid w:val="005665D5"/>
    <w:rsid w:val="00567D32"/>
    <w:rsid w:val="00572A2E"/>
    <w:rsid w:val="0057300F"/>
    <w:rsid w:val="005754C1"/>
    <w:rsid w:val="00580B3E"/>
    <w:rsid w:val="0058152E"/>
    <w:rsid w:val="00583C6D"/>
    <w:rsid w:val="00596AD2"/>
    <w:rsid w:val="005A24B1"/>
    <w:rsid w:val="005A26D6"/>
    <w:rsid w:val="005A4830"/>
    <w:rsid w:val="005A74B0"/>
    <w:rsid w:val="005A7AC8"/>
    <w:rsid w:val="005B41D0"/>
    <w:rsid w:val="005B5BDB"/>
    <w:rsid w:val="005C06A8"/>
    <w:rsid w:val="005C71F4"/>
    <w:rsid w:val="005C7F7F"/>
    <w:rsid w:val="005D45D1"/>
    <w:rsid w:val="005E1165"/>
    <w:rsid w:val="005E3719"/>
    <w:rsid w:val="005F2E23"/>
    <w:rsid w:val="005F4356"/>
    <w:rsid w:val="005F6631"/>
    <w:rsid w:val="00611D70"/>
    <w:rsid w:val="0061781E"/>
    <w:rsid w:val="00617C71"/>
    <w:rsid w:val="00622355"/>
    <w:rsid w:val="00625237"/>
    <w:rsid w:val="0062628B"/>
    <w:rsid w:val="00631275"/>
    <w:rsid w:val="00633F26"/>
    <w:rsid w:val="006415F9"/>
    <w:rsid w:val="00644A35"/>
    <w:rsid w:val="0064543B"/>
    <w:rsid w:val="006462B1"/>
    <w:rsid w:val="00653DC8"/>
    <w:rsid w:val="006552E2"/>
    <w:rsid w:val="006604CD"/>
    <w:rsid w:val="00663D87"/>
    <w:rsid w:val="00666F03"/>
    <w:rsid w:val="006703E5"/>
    <w:rsid w:val="00676536"/>
    <w:rsid w:val="00680006"/>
    <w:rsid w:val="00684371"/>
    <w:rsid w:val="00690FE9"/>
    <w:rsid w:val="00693183"/>
    <w:rsid w:val="00694019"/>
    <w:rsid w:val="006A437A"/>
    <w:rsid w:val="006A5A7C"/>
    <w:rsid w:val="006A6546"/>
    <w:rsid w:val="006B2091"/>
    <w:rsid w:val="006C3BC9"/>
    <w:rsid w:val="006C63D4"/>
    <w:rsid w:val="006D28A3"/>
    <w:rsid w:val="006D3FBB"/>
    <w:rsid w:val="006E324A"/>
    <w:rsid w:val="006E50A2"/>
    <w:rsid w:val="006E66D5"/>
    <w:rsid w:val="006F45A1"/>
    <w:rsid w:val="006F723C"/>
    <w:rsid w:val="00723E0F"/>
    <w:rsid w:val="0074283E"/>
    <w:rsid w:val="00747422"/>
    <w:rsid w:val="0075188C"/>
    <w:rsid w:val="00760B36"/>
    <w:rsid w:val="00760BAC"/>
    <w:rsid w:val="00765F08"/>
    <w:rsid w:val="00766CA6"/>
    <w:rsid w:val="00770248"/>
    <w:rsid w:val="00774DFA"/>
    <w:rsid w:val="007768CC"/>
    <w:rsid w:val="00776A16"/>
    <w:rsid w:val="00777148"/>
    <w:rsid w:val="00780207"/>
    <w:rsid w:val="00782D86"/>
    <w:rsid w:val="00790047"/>
    <w:rsid w:val="00790140"/>
    <w:rsid w:val="00792D4C"/>
    <w:rsid w:val="007942B0"/>
    <w:rsid w:val="007A521D"/>
    <w:rsid w:val="007A60CA"/>
    <w:rsid w:val="007A634B"/>
    <w:rsid w:val="007A7A8A"/>
    <w:rsid w:val="007B3357"/>
    <w:rsid w:val="007B7EFF"/>
    <w:rsid w:val="007C1773"/>
    <w:rsid w:val="007C21C4"/>
    <w:rsid w:val="007C595E"/>
    <w:rsid w:val="007D02A0"/>
    <w:rsid w:val="007D08B4"/>
    <w:rsid w:val="007D28DC"/>
    <w:rsid w:val="007D5A99"/>
    <w:rsid w:val="007E4D5C"/>
    <w:rsid w:val="007F15B1"/>
    <w:rsid w:val="007F53F8"/>
    <w:rsid w:val="008031B3"/>
    <w:rsid w:val="008036BE"/>
    <w:rsid w:val="0080448D"/>
    <w:rsid w:val="00806448"/>
    <w:rsid w:val="0081013E"/>
    <w:rsid w:val="00811726"/>
    <w:rsid w:val="00811FCD"/>
    <w:rsid w:val="00825517"/>
    <w:rsid w:val="00831EB7"/>
    <w:rsid w:val="00834BB6"/>
    <w:rsid w:val="0083518B"/>
    <w:rsid w:val="00835C40"/>
    <w:rsid w:val="00844CBB"/>
    <w:rsid w:val="00844DBC"/>
    <w:rsid w:val="00853734"/>
    <w:rsid w:val="008555DC"/>
    <w:rsid w:val="008573ED"/>
    <w:rsid w:val="008608D7"/>
    <w:rsid w:val="00864441"/>
    <w:rsid w:val="00867634"/>
    <w:rsid w:val="008728FE"/>
    <w:rsid w:val="008738E8"/>
    <w:rsid w:val="008811C6"/>
    <w:rsid w:val="00893A47"/>
    <w:rsid w:val="008A5480"/>
    <w:rsid w:val="008B2715"/>
    <w:rsid w:val="008B2847"/>
    <w:rsid w:val="008B2C6E"/>
    <w:rsid w:val="008B5062"/>
    <w:rsid w:val="008B53F4"/>
    <w:rsid w:val="008B6874"/>
    <w:rsid w:val="008B74E9"/>
    <w:rsid w:val="008C05FB"/>
    <w:rsid w:val="008C093A"/>
    <w:rsid w:val="008C475D"/>
    <w:rsid w:val="008D0807"/>
    <w:rsid w:val="008D1A40"/>
    <w:rsid w:val="008E0DEC"/>
    <w:rsid w:val="008E4CF2"/>
    <w:rsid w:val="008E6500"/>
    <w:rsid w:val="008E67D9"/>
    <w:rsid w:val="008F0814"/>
    <w:rsid w:val="008F63C4"/>
    <w:rsid w:val="008F78F6"/>
    <w:rsid w:val="00902393"/>
    <w:rsid w:val="00907286"/>
    <w:rsid w:val="009123C7"/>
    <w:rsid w:val="00921594"/>
    <w:rsid w:val="00924B82"/>
    <w:rsid w:val="00926F66"/>
    <w:rsid w:val="009312CC"/>
    <w:rsid w:val="00933D60"/>
    <w:rsid w:val="009415AE"/>
    <w:rsid w:val="009424C5"/>
    <w:rsid w:val="00942B8D"/>
    <w:rsid w:val="00943BC6"/>
    <w:rsid w:val="0094733D"/>
    <w:rsid w:val="0094736A"/>
    <w:rsid w:val="009522B1"/>
    <w:rsid w:val="00955DBE"/>
    <w:rsid w:val="00963407"/>
    <w:rsid w:val="009638F2"/>
    <w:rsid w:val="0097164B"/>
    <w:rsid w:val="009718B3"/>
    <w:rsid w:val="00982997"/>
    <w:rsid w:val="00984B7D"/>
    <w:rsid w:val="0098584A"/>
    <w:rsid w:val="009870B2"/>
    <w:rsid w:val="00990EB8"/>
    <w:rsid w:val="009926C8"/>
    <w:rsid w:val="00995848"/>
    <w:rsid w:val="009974D1"/>
    <w:rsid w:val="009A2829"/>
    <w:rsid w:val="009A317B"/>
    <w:rsid w:val="009B0D26"/>
    <w:rsid w:val="009C0011"/>
    <w:rsid w:val="009C1D6C"/>
    <w:rsid w:val="009C3E3E"/>
    <w:rsid w:val="009C6490"/>
    <w:rsid w:val="009E09C9"/>
    <w:rsid w:val="009E0EDE"/>
    <w:rsid w:val="009E353F"/>
    <w:rsid w:val="009F56C4"/>
    <w:rsid w:val="009F6309"/>
    <w:rsid w:val="00A024C5"/>
    <w:rsid w:val="00A12C84"/>
    <w:rsid w:val="00A13E4D"/>
    <w:rsid w:val="00A16447"/>
    <w:rsid w:val="00A373C5"/>
    <w:rsid w:val="00A44A46"/>
    <w:rsid w:val="00A453A8"/>
    <w:rsid w:val="00A64A68"/>
    <w:rsid w:val="00A67A2B"/>
    <w:rsid w:val="00A710BC"/>
    <w:rsid w:val="00A75BE5"/>
    <w:rsid w:val="00A820A6"/>
    <w:rsid w:val="00A85171"/>
    <w:rsid w:val="00A95549"/>
    <w:rsid w:val="00A9634C"/>
    <w:rsid w:val="00AA41E6"/>
    <w:rsid w:val="00AB700C"/>
    <w:rsid w:val="00AB71C5"/>
    <w:rsid w:val="00AC1008"/>
    <w:rsid w:val="00AD0131"/>
    <w:rsid w:val="00AD164F"/>
    <w:rsid w:val="00AE2FBB"/>
    <w:rsid w:val="00AE5D39"/>
    <w:rsid w:val="00AF4295"/>
    <w:rsid w:val="00B04744"/>
    <w:rsid w:val="00B07351"/>
    <w:rsid w:val="00B1184D"/>
    <w:rsid w:val="00B13D54"/>
    <w:rsid w:val="00B15041"/>
    <w:rsid w:val="00B1799E"/>
    <w:rsid w:val="00B21234"/>
    <w:rsid w:val="00B233F4"/>
    <w:rsid w:val="00B37E46"/>
    <w:rsid w:val="00B40E19"/>
    <w:rsid w:val="00B469F9"/>
    <w:rsid w:val="00B476BD"/>
    <w:rsid w:val="00B561C3"/>
    <w:rsid w:val="00B61E79"/>
    <w:rsid w:val="00B71620"/>
    <w:rsid w:val="00B959CE"/>
    <w:rsid w:val="00B9717C"/>
    <w:rsid w:val="00B97E75"/>
    <w:rsid w:val="00BA0383"/>
    <w:rsid w:val="00BA0A96"/>
    <w:rsid w:val="00BA1015"/>
    <w:rsid w:val="00BA485E"/>
    <w:rsid w:val="00BA7F6F"/>
    <w:rsid w:val="00BB0C0C"/>
    <w:rsid w:val="00BC3729"/>
    <w:rsid w:val="00BD013A"/>
    <w:rsid w:val="00BD7757"/>
    <w:rsid w:val="00BD7CF3"/>
    <w:rsid w:val="00BE19C1"/>
    <w:rsid w:val="00BE2794"/>
    <w:rsid w:val="00BE6623"/>
    <w:rsid w:val="00BE7721"/>
    <w:rsid w:val="00BF43D4"/>
    <w:rsid w:val="00BF55A8"/>
    <w:rsid w:val="00BF77D8"/>
    <w:rsid w:val="00C01D37"/>
    <w:rsid w:val="00C138B5"/>
    <w:rsid w:val="00C1605B"/>
    <w:rsid w:val="00C3108F"/>
    <w:rsid w:val="00C317A9"/>
    <w:rsid w:val="00C45590"/>
    <w:rsid w:val="00C47760"/>
    <w:rsid w:val="00C47860"/>
    <w:rsid w:val="00C64653"/>
    <w:rsid w:val="00C67CE9"/>
    <w:rsid w:val="00C70CC7"/>
    <w:rsid w:val="00C9027E"/>
    <w:rsid w:val="00C95330"/>
    <w:rsid w:val="00C955CA"/>
    <w:rsid w:val="00C9684F"/>
    <w:rsid w:val="00C97064"/>
    <w:rsid w:val="00CA0385"/>
    <w:rsid w:val="00CA1AB2"/>
    <w:rsid w:val="00CA1B08"/>
    <w:rsid w:val="00CA4275"/>
    <w:rsid w:val="00CA4FB6"/>
    <w:rsid w:val="00CA79FA"/>
    <w:rsid w:val="00CB1A76"/>
    <w:rsid w:val="00CB4267"/>
    <w:rsid w:val="00CB585F"/>
    <w:rsid w:val="00CC199B"/>
    <w:rsid w:val="00CC45F4"/>
    <w:rsid w:val="00CD0C23"/>
    <w:rsid w:val="00CD233E"/>
    <w:rsid w:val="00CD39B6"/>
    <w:rsid w:val="00CD4C3B"/>
    <w:rsid w:val="00CE04AB"/>
    <w:rsid w:val="00CE14EA"/>
    <w:rsid w:val="00CE3C51"/>
    <w:rsid w:val="00CE4110"/>
    <w:rsid w:val="00CF0067"/>
    <w:rsid w:val="00CF01A7"/>
    <w:rsid w:val="00CF0A6C"/>
    <w:rsid w:val="00CF2CA7"/>
    <w:rsid w:val="00CF5924"/>
    <w:rsid w:val="00D07FA5"/>
    <w:rsid w:val="00D161C1"/>
    <w:rsid w:val="00D205D9"/>
    <w:rsid w:val="00D22125"/>
    <w:rsid w:val="00D228B3"/>
    <w:rsid w:val="00D240D0"/>
    <w:rsid w:val="00D36E59"/>
    <w:rsid w:val="00D431CD"/>
    <w:rsid w:val="00D468D5"/>
    <w:rsid w:val="00D53E0D"/>
    <w:rsid w:val="00D62311"/>
    <w:rsid w:val="00D6636C"/>
    <w:rsid w:val="00D66A80"/>
    <w:rsid w:val="00D6795C"/>
    <w:rsid w:val="00D72201"/>
    <w:rsid w:val="00D7448E"/>
    <w:rsid w:val="00D8251D"/>
    <w:rsid w:val="00D86310"/>
    <w:rsid w:val="00D87C79"/>
    <w:rsid w:val="00D90934"/>
    <w:rsid w:val="00D90CD5"/>
    <w:rsid w:val="00D9411C"/>
    <w:rsid w:val="00DA0FFB"/>
    <w:rsid w:val="00DA7B23"/>
    <w:rsid w:val="00DD4486"/>
    <w:rsid w:val="00DE3351"/>
    <w:rsid w:val="00DF2EC4"/>
    <w:rsid w:val="00DF7DDE"/>
    <w:rsid w:val="00E00665"/>
    <w:rsid w:val="00E01C17"/>
    <w:rsid w:val="00E11EEE"/>
    <w:rsid w:val="00E14B1F"/>
    <w:rsid w:val="00E16EC0"/>
    <w:rsid w:val="00E20266"/>
    <w:rsid w:val="00E22430"/>
    <w:rsid w:val="00E227A2"/>
    <w:rsid w:val="00E356F2"/>
    <w:rsid w:val="00E41693"/>
    <w:rsid w:val="00E41C45"/>
    <w:rsid w:val="00E451F5"/>
    <w:rsid w:val="00E4546C"/>
    <w:rsid w:val="00E468A0"/>
    <w:rsid w:val="00E5004D"/>
    <w:rsid w:val="00E55A18"/>
    <w:rsid w:val="00E56522"/>
    <w:rsid w:val="00E575B5"/>
    <w:rsid w:val="00E57C25"/>
    <w:rsid w:val="00E6018D"/>
    <w:rsid w:val="00E608FB"/>
    <w:rsid w:val="00E9306E"/>
    <w:rsid w:val="00E96B1D"/>
    <w:rsid w:val="00EA2FFC"/>
    <w:rsid w:val="00EA3718"/>
    <w:rsid w:val="00EA513F"/>
    <w:rsid w:val="00EB628E"/>
    <w:rsid w:val="00EB7995"/>
    <w:rsid w:val="00EC4AF9"/>
    <w:rsid w:val="00ED096E"/>
    <w:rsid w:val="00EE6ADB"/>
    <w:rsid w:val="00EF7A2F"/>
    <w:rsid w:val="00F001D1"/>
    <w:rsid w:val="00F031DA"/>
    <w:rsid w:val="00F03A16"/>
    <w:rsid w:val="00F0708B"/>
    <w:rsid w:val="00F07130"/>
    <w:rsid w:val="00F07692"/>
    <w:rsid w:val="00F155F2"/>
    <w:rsid w:val="00F15A14"/>
    <w:rsid w:val="00F24415"/>
    <w:rsid w:val="00F24587"/>
    <w:rsid w:val="00F2642E"/>
    <w:rsid w:val="00F2756A"/>
    <w:rsid w:val="00F30D32"/>
    <w:rsid w:val="00F33529"/>
    <w:rsid w:val="00F34A9A"/>
    <w:rsid w:val="00F417D1"/>
    <w:rsid w:val="00F42FFC"/>
    <w:rsid w:val="00F473BC"/>
    <w:rsid w:val="00F575A4"/>
    <w:rsid w:val="00F64AB5"/>
    <w:rsid w:val="00F677EA"/>
    <w:rsid w:val="00F7255F"/>
    <w:rsid w:val="00F7589B"/>
    <w:rsid w:val="00F76ADC"/>
    <w:rsid w:val="00F84CBB"/>
    <w:rsid w:val="00F86BEA"/>
    <w:rsid w:val="00F93AD4"/>
    <w:rsid w:val="00F963B5"/>
    <w:rsid w:val="00F978E5"/>
    <w:rsid w:val="00FA141B"/>
    <w:rsid w:val="00FA3AAA"/>
    <w:rsid w:val="00FA69D8"/>
    <w:rsid w:val="00FB0492"/>
    <w:rsid w:val="00FB06EE"/>
    <w:rsid w:val="00FB5E08"/>
    <w:rsid w:val="00FB77F9"/>
    <w:rsid w:val="00FC0C90"/>
    <w:rsid w:val="00FC52B6"/>
    <w:rsid w:val="00FE258A"/>
    <w:rsid w:val="00FF0931"/>
    <w:rsid w:val="00FF13DD"/>
    <w:rsid w:val="00FF43B4"/>
    <w:rsid w:val="07DD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B83B"/>
  <w15:docId w15:val="{FC4D89D4-4226-42EF-924D-98993B57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37"/>
    <w:pPr>
      <w:spacing w:before="120" w:after="120" w:line="276" w:lineRule="auto"/>
      <w:jc w:val="both"/>
    </w:pPr>
    <w:rPr>
      <w:rFonts w:ascii="Times New Roman" w:hAnsi="Times New Roman"/>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List Paragraph1,Numbered Indented Text,List Paragraph Char Char Char,List Paragraph Char Char,Bullet 1,lp1,List Paragraph11,Colorful List - Accent 11"/>
    <w:basedOn w:val="Normal"/>
    <w:link w:val="ListParagraphChar"/>
    <w:uiPriority w:val="34"/>
    <w:qFormat/>
    <w:rsid w:val="000239A1"/>
    <w:pPr>
      <w:ind w:left="720"/>
      <w:contextualSpacing/>
    </w:pPr>
  </w:style>
  <w:style w:type="character" w:styleId="CommentReference">
    <w:name w:val="annotation reference"/>
    <w:basedOn w:val="DefaultParagraphFont"/>
    <w:uiPriority w:val="99"/>
    <w:semiHidden/>
    <w:unhideWhenUsed/>
    <w:rsid w:val="00E57C25"/>
    <w:rPr>
      <w:sz w:val="16"/>
      <w:szCs w:val="16"/>
    </w:rPr>
  </w:style>
  <w:style w:type="paragraph" w:styleId="CommentText">
    <w:name w:val="annotation text"/>
    <w:basedOn w:val="Normal"/>
    <w:link w:val="CommentTextChar"/>
    <w:uiPriority w:val="99"/>
    <w:semiHidden/>
    <w:unhideWhenUsed/>
    <w:rsid w:val="00E57C25"/>
    <w:pPr>
      <w:spacing w:line="240" w:lineRule="auto"/>
    </w:pPr>
    <w:rPr>
      <w:sz w:val="20"/>
      <w:szCs w:val="20"/>
    </w:rPr>
  </w:style>
  <w:style w:type="character" w:customStyle="1" w:styleId="CommentTextChar">
    <w:name w:val="Comment Text Char"/>
    <w:basedOn w:val="DefaultParagraphFont"/>
    <w:link w:val="CommentText"/>
    <w:uiPriority w:val="99"/>
    <w:semiHidden/>
    <w:rsid w:val="00E57C25"/>
    <w:rPr>
      <w:sz w:val="20"/>
      <w:szCs w:val="20"/>
    </w:rPr>
  </w:style>
  <w:style w:type="paragraph" w:styleId="CommentSubject">
    <w:name w:val="annotation subject"/>
    <w:basedOn w:val="CommentText"/>
    <w:next w:val="CommentText"/>
    <w:link w:val="CommentSubjectChar"/>
    <w:uiPriority w:val="99"/>
    <w:semiHidden/>
    <w:unhideWhenUsed/>
    <w:rsid w:val="00E57C25"/>
    <w:rPr>
      <w:b/>
      <w:bCs/>
    </w:rPr>
  </w:style>
  <w:style w:type="character" w:customStyle="1" w:styleId="CommentSubjectChar">
    <w:name w:val="Comment Subject Char"/>
    <w:basedOn w:val="CommentTextChar"/>
    <w:link w:val="CommentSubject"/>
    <w:uiPriority w:val="99"/>
    <w:semiHidden/>
    <w:rsid w:val="00E57C25"/>
    <w:rPr>
      <w:b/>
      <w:bCs/>
      <w:sz w:val="20"/>
      <w:szCs w:val="20"/>
    </w:rPr>
  </w:style>
  <w:style w:type="paragraph" w:styleId="BalloonText">
    <w:name w:val="Balloon Text"/>
    <w:basedOn w:val="Normal"/>
    <w:link w:val="BalloonTextChar"/>
    <w:uiPriority w:val="99"/>
    <w:semiHidden/>
    <w:unhideWhenUsed/>
    <w:rsid w:val="00E57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C25"/>
    <w:rPr>
      <w:rFonts w:ascii="Segoe UI" w:hAnsi="Segoe UI" w:cs="Segoe UI"/>
      <w:sz w:val="18"/>
      <w:szCs w:val="18"/>
    </w:rPr>
  </w:style>
  <w:style w:type="character" w:styleId="Hyperlink">
    <w:name w:val="Hyperlink"/>
    <w:basedOn w:val="DefaultParagraphFont"/>
    <w:uiPriority w:val="99"/>
    <w:unhideWhenUsed/>
    <w:rsid w:val="00B71620"/>
    <w:rPr>
      <w:color w:val="0563C1" w:themeColor="hyperlink"/>
      <w:u w:val="single"/>
    </w:rPr>
  </w:style>
  <w:style w:type="table" w:styleId="TableGrid">
    <w:name w:val="Table Grid"/>
    <w:basedOn w:val="TableNormal"/>
    <w:uiPriority w:val="59"/>
    <w:rsid w:val="0057300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57300F"/>
    <w:pPr>
      <w:spacing w:after="0" w:line="240" w:lineRule="auto"/>
    </w:pPr>
    <w:rPr>
      <w:rFonts w:ascii="Calibri" w:eastAsia="Calibri" w:hAnsi="Calibri" w:cs="Times New Roman"/>
      <w:lang w:val="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7300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300F"/>
    <w:pPr>
      <w:spacing w:after="0" w:line="240" w:lineRule="auto"/>
    </w:pPr>
  </w:style>
  <w:style w:type="table" w:customStyle="1" w:styleId="GridTable1Light-Accent11">
    <w:name w:val="Grid Table 1 Light - Accent 11"/>
    <w:basedOn w:val="TableNormal"/>
    <w:uiPriority w:val="46"/>
    <w:rsid w:val="00844DB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F84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CBB"/>
    <w:rPr>
      <w:sz w:val="20"/>
      <w:szCs w:val="20"/>
    </w:rPr>
  </w:style>
  <w:style w:type="character" w:styleId="FootnoteReference">
    <w:name w:val="footnote reference"/>
    <w:basedOn w:val="DefaultParagraphFont"/>
    <w:uiPriority w:val="99"/>
    <w:semiHidden/>
    <w:unhideWhenUsed/>
    <w:rsid w:val="00F84CBB"/>
    <w:rPr>
      <w:vertAlign w:val="superscript"/>
    </w:rPr>
  </w:style>
  <w:style w:type="character" w:customStyle="1" w:styleId="UnresolvedMention1">
    <w:name w:val="Unresolved Mention1"/>
    <w:basedOn w:val="DefaultParagraphFont"/>
    <w:uiPriority w:val="99"/>
    <w:semiHidden/>
    <w:unhideWhenUsed/>
    <w:rsid w:val="00F84CBB"/>
    <w:rPr>
      <w:color w:val="605E5C"/>
      <w:shd w:val="clear" w:color="auto" w:fill="E1DFDD"/>
    </w:rPr>
  </w:style>
  <w:style w:type="character" w:styleId="IntenseEmphasis">
    <w:name w:val="Intense Emphasis"/>
    <w:basedOn w:val="DefaultParagraphFont"/>
    <w:uiPriority w:val="21"/>
    <w:qFormat/>
    <w:rsid w:val="00500864"/>
    <w:rPr>
      <w:i/>
      <w:iCs/>
      <w:color w:val="5B9BD5" w:themeColor="accent1"/>
    </w:rPr>
  </w:style>
  <w:style w:type="table" w:customStyle="1" w:styleId="AkKlavuz-Vurgu11">
    <w:name w:val="Açık Kılavuz - Vurgu 11"/>
    <w:basedOn w:val="TableNormal"/>
    <w:uiPriority w:val="62"/>
    <w:rsid w:val="00E01C17"/>
    <w:pPr>
      <w:spacing w:after="120" w:line="240" w:lineRule="auto"/>
    </w:pPr>
    <w:rPr>
      <w:rFonts w:ascii="Calibri" w:eastAsia="Times New Roman" w:hAnsi="Calibri" w:cs="Times New Roman"/>
      <w:sz w:val="24"/>
      <w:szCs w:val="24"/>
      <w:lang w:val="en-US" w:eastAsia="pl-P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unhideWhenUsed/>
    <w:qFormat/>
    <w:rsid w:val="00373CBC"/>
    <w:pPr>
      <w:spacing w:before="0" w:after="200" w:line="240" w:lineRule="auto"/>
    </w:pPr>
    <w:rPr>
      <w:i/>
      <w:iCs/>
      <w:color w:val="44546A" w:themeColor="text2"/>
      <w:sz w:val="18"/>
      <w:szCs w:val="18"/>
    </w:rPr>
  </w:style>
  <w:style w:type="paragraph" w:styleId="Header">
    <w:name w:val="header"/>
    <w:basedOn w:val="Normal"/>
    <w:link w:val="HeaderChar"/>
    <w:uiPriority w:val="99"/>
    <w:unhideWhenUsed/>
    <w:rsid w:val="009A282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9A2829"/>
    <w:rPr>
      <w:rFonts w:ascii="Times New Roman" w:hAnsi="Times New Roman"/>
      <w:color w:val="000000" w:themeColor="text1"/>
      <w:sz w:val="24"/>
    </w:rPr>
  </w:style>
  <w:style w:type="paragraph" w:styleId="Footer">
    <w:name w:val="footer"/>
    <w:basedOn w:val="Normal"/>
    <w:link w:val="FooterChar"/>
    <w:uiPriority w:val="99"/>
    <w:unhideWhenUsed/>
    <w:rsid w:val="009A282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9A2829"/>
    <w:rPr>
      <w:rFonts w:ascii="Times New Roman" w:hAnsi="Times New Roman"/>
      <w:color w:val="000000" w:themeColor="text1"/>
      <w:sz w:val="24"/>
    </w:rPr>
  </w:style>
  <w:style w:type="character" w:customStyle="1" w:styleId="MeniuneNerezolvat1">
    <w:name w:val="Mențiune Nerezolvat1"/>
    <w:basedOn w:val="DefaultParagraphFont"/>
    <w:uiPriority w:val="99"/>
    <w:semiHidden/>
    <w:unhideWhenUsed/>
    <w:rsid w:val="00431A20"/>
    <w:rPr>
      <w:color w:val="605E5C"/>
      <w:shd w:val="clear" w:color="auto" w:fill="E1DFDD"/>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Colorful List - Accent 11 Char"/>
    <w:link w:val="ListParagraph"/>
    <w:uiPriority w:val="34"/>
    <w:locked/>
    <w:rsid w:val="003B2A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066294">
      <w:bodyDiv w:val="1"/>
      <w:marLeft w:val="0"/>
      <w:marRight w:val="0"/>
      <w:marTop w:val="0"/>
      <w:marBottom w:val="0"/>
      <w:divBdr>
        <w:top w:val="none" w:sz="0" w:space="0" w:color="auto"/>
        <w:left w:val="none" w:sz="0" w:space="0" w:color="auto"/>
        <w:bottom w:val="none" w:sz="0" w:space="0" w:color="auto"/>
        <w:right w:val="none" w:sz="0" w:space="0" w:color="auto"/>
      </w:divBdr>
    </w:div>
    <w:div w:id="1347174687">
      <w:bodyDiv w:val="1"/>
      <w:marLeft w:val="0"/>
      <w:marRight w:val="0"/>
      <w:marTop w:val="0"/>
      <w:marBottom w:val="0"/>
      <w:divBdr>
        <w:top w:val="none" w:sz="0" w:space="0" w:color="auto"/>
        <w:left w:val="none" w:sz="0" w:space="0" w:color="auto"/>
        <w:bottom w:val="none" w:sz="0" w:space="0" w:color="auto"/>
        <w:right w:val="none" w:sz="0" w:space="0" w:color="auto"/>
      </w:divBdr>
    </w:div>
    <w:div w:id="1562013118">
      <w:bodyDiv w:val="1"/>
      <w:marLeft w:val="0"/>
      <w:marRight w:val="0"/>
      <w:marTop w:val="0"/>
      <w:marBottom w:val="0"/>
      <w:divBdr>
        <w:top w:val="none" w:sz="0" w:space="0" w:color="auto"/>
        <w:left w:val="none" w:sz="0" w:space="0" w:color="auto"/>
        <w:bottom w:val="none" w:sz="0" w:space="0" w:color="auto"/>
        <w:right w:val="none" w:sz="0" w:space="0" w:color="auto"/>
      </w:divBdr>
    </w:div>
    <w:div w:id="20663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mei.gov.md"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oleObject" Target="embeddings/Microsoft_Excel_Chart1.xls"/></Relationships>
</file>

<file path=word/_rels/footnotes.xml.rels><?xml version="1.0" encoding="UTF-8" standalone="yes"?>
<Relationships xmlns="http://schemas.openxmlformats.org/package/2006/relationships"><Relationship Id="rId2" Type="http://schemas.openxmlformats.org/officeDocument/2006/relationships/hyperlink" Target="https://www.legis.md/cautare/getResults?doc_id=98493&amp;lang=ro" TargetMode="External"/><Relationship Id="rId1" Type="http://schemas.openxmlformats.org/officeDocument/2006/relationships/hyperlink" Target="https://www4.unfccc.int/sites/NDCStaging/pages/Party.aspx?party=MD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file:///D:\Sarcini%202018\Statistici\SER\date%20SER\MAGD&#206;L%20Monitorizare%20SER%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BBD0-4738-BEE9-D7B8A6E22EE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BBD0-4738-BEE9-D7B8A6E22EE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BBD0-4738-BEE9-D7B8A6E22EE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BBD0-4738-BEE9-D7B8A6E22EEC}"/>
              </c:ext>
            </c:extLst>
          </c:dPt>
          <c:dLbls>
            <c:dLbl>
              <c:idx val="0"/>
              <c:layout>
                <c:manualLayout>
                  <c:x val="4.2960359304823274E-2"/>
                  <c:y val="-6.1199510403916767E-2"/>
                </c:manualLayout>
              </c:layout>
              <c:tx>
                <c:rich>
                  <a:bodyPr/>
                  <a:lstStyle/>
                  <a:p>
                    <a:fld id="{E193EEDA-7AB1-43E9-AB09-FA519193D1E0}" type="CATEGORYNAME">
                      <a:rPr lang="en-US"/>
                      <a:pPr/>
                      <a:t>[CATEGORY NAME]</a:t>
                    </a:fld>
                    <a:r>
                      <a:rPr lang="en-US" baseline="0"/>
                      <a:t>
5.2 MW</a:t>
                    </a:r>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BD0-4738-BEE9-D7B8A6E22EEC}"/>
                </c:ext>
                <c:ext xmlns:c15="http://schemas.microsoft.com/office/drawing/2012/chart" uri="{CE6537A1-D6FC-4f65-9D91-7224C49458BB}">
                  <c15:layout>
                    <c:manualLayout>
                      <c:w val="0.27586578039783693"/>
                      <c:h val="0.33110910860744608"/>
                    </c:manualLayout>
                  </c15:layout>
                  <c15:dlblFieldTable/>
                  <c15:showDataLabelsRange val="0"/>
                </c:ext>
              </c:extLst>
            </c:dLbl>
            <c:dLbl>
              <c:idx val="1"/>
              <c:layout>
                <c:manualLayout>
                  <c:x val="0.11325912907635227"/>
                  <c:y val="-1.2239902080783354E-2"/>
                </c:manualLayout>
              </c:layout>
              <c:tx>
                <c:rich>
                  <a:bodyPr/>
                  <a:lstStyle/>
                  <a:p>
                    <a:fld id="{654E8052-740D-4BCB-83BD-C4A282643810}" type="CATEGORYNAME">
                      <a:rPr lang="en-US"/>
                      <a:pPr/>
                      <a:t>[CATEGORY NAME]</a:t>
                    </a:fld>
                    <a:r>
                      <a:rPr lang="en-US" baseline="0"/>
                      <a:t>
45 MW</a:t>
                    </a:r>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BD0-4738-BEE9-D7B8A6E22EEC}"/>
                </c:ext>
                <c:ext xmlns:c15="http://schemas.microsoft.com/office/drawing/2012/chart" uri="{CE6537A1-D6FC-4f65-9D91-7224C49458BB}">
                  <c15:dlblFieldTable/>
                  <c15:showDataLabelsRange val="0"/>
                </c:ext>
              </c:extLst>
            </c:dLbl>
            <c:dLbl>
              <c:idx val="2"/>
              <c:layout>
                <c:manualLayout>
                  <c:x val="-8.9826205819175955E-2"/>
                  <c:y val="3.0599755201958328E-2"/>
                </c:manualLayout>
              </c:layout>
              <c:tx>
                <c:rich>
                  <a:bodyPr/>
                  <a:lstStyle/>
                  <a:p>
                    <a:fld id="{868885E0-65D4-4E7B-9FA2-C42136C3B350}" type="CATEGORYNAME">
                      <a:rPr lang="en-US"/>
                      <a:pPr/>
                      <a:t>[CATEGORY NAME]</a:t>
                    </a:fld>
                    <a:r>
                      <a:rPr lang="en-US" baseline="0"/>
                      <a:t>
6.35 MW</a:t>
                    </a:r>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BD0-4738-BEE9-D7B8A6E22EEC}"/>
                </c:ext>
                <c:ext xmlns:c15="http://schemas.microsoft.com/office/drawing/2012/chart" uri="{CE6537A1-D6FC-4f65-9D91-7224C49458BB}">
                  <c15:dlblFieldTable/>
                  <c15:showDataLabelsRange val="0"/>
                </c:ext>
              </c:extLst>
            </c:dLbl>
            <c:dLbl>
              <c:idx val="3"/>
              <c:layout>
                <c:manualLayout>
                  <c:x val="-7.4204256981058384E-2"/>
                  <c:y val="-9.1799265605875147E-2"/>
                </c:manualLayout>
              </c:layout>
              <c:tx>
                <c:rich>
                  <a:bodyPr/>
                  <a:lstStyle/>
                  <a:p>
                    <a:fld id="{916AF6E8-643B-4764-B91E-42088C9D3DFC}" type="CATEGORYNAME">
                      <a:rPr lang="en-US"/>
                      <a:pPr/>
                      <a:t>[CATEGORY NAME]</a:t>
                    </a:fld>
                    <a:r>
                      <a:rPr lang="en-US" baseline="0"/>
                      <a:t>
16.25 MW</a:t>
                    </a:r>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BBD0-4738-BEE9-D7B8A6E22EEC}"/>
                </c:ext>
                <c:ext xmlns:c15="http://schemas.microsoft.com/office/drawing/2012/chart" uri="{CE6537A1-D6FC-4f65-9D91-7224C49458BB}">
                  <c15:dlblFieldTable/>
                  <c15:showDataLabelsRange val="0"/>
                </c:ext>
              </c:extLst>
            </c:dLbl>
            <c:spPr>
              <a:noFill/>
              <a:ln>
                <a:no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'Total capacități SER'!$C$5:$C$8</c:f>
              <c:strCache>
                <c:ptCount val="4"/>
                <c:pt idx="0">
                  <c:v>Instalații Fotovoltaice</c:v>
                </c:pt>
                <c:pt idx="1">
                  <c:v>Instalații Eoliene</c:v>
                </c:pt>
                <c:pt idx="2">
                  <c:v>Instalații Biogaz</c:v>
                </c:pt>
                <c:pt idx="3">
                  <c:v>Instalații Hidro</c:v>
                </c:pt>
              </c:strCache>
            </c:strRef>
          </c:cat>
          <c:val>
            <c:numRef>
              <c:f>'Total capacități SER'!$D$5:$D$8</c:f>
              <c:numCache>
                <c:formatCode>0.00</c:formatCode>
                <c:ptCount val="4"/>
                <c:pt idx="0">
                  <c:v>5224.9500000000007</c:v>
                </c:pt>
                <c:pt idx="1">
                  <c:v>45087</c:v>
                </c:pt>
                <c:pt idx="2">
                  <c:v>6346</c:v>
                </c:pt>
                <c:pt idx="3">
                  <c:v>16254</c:v>
                </c:pt>
              </c:numCache>
            </c:numRef>
          </c:val>
          <c:extLst xmlns:c16r2="http://schemas.microsoft.com/office/drawing/2015/06/chart">
            <c:ext xmlns:c16="http://schemas.microsoft.com/office/drawing/2014/chart" uri="{C3380CC4-5D6E-409C-BE32-E72D297353CC}">
              <c16:uniqueId val="{00000008-BBD0-4738-BEE9-D7B8A6E22EEC}"/>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077617673714759E-2"/>
          <c:y val="5.0977060322854713E-2"/>
          <c:w val="0.85650134282317136"/>
          <c:h val="0.63793799351971403"/>
        </c:manualLayout>
      </c:layout>
      <c:areaChart>
        <c:grouping val="stacked"/>
        <c:varyColors val="0"/>
        <c:ser>
          <c:idx val="1"/>
          <c:order val="0"/>
          <c:tx>
            <c:strRef>
              <c:f>'[MAGDÎL Monitorizare SER 2020.xlsx] Evolutie  SER  (2)'!$V$5</c:f>
              <c:strCache>
                <c:ptCount val="1"/>
                <c:pt idx="0">
                  <c:v>Eolian</c:v>
                </c:pt>
              </c:strCache>
            </c:strRef>
          </c:tx>
          <c:spPr>
            <a:solidFill>
              <a:schemeClr val="accent2"/>
            </a:solidFill>
            <a:ln>
              <a:noFill/>
            </a:ln>
            <a:effectLst/>
          </c:spPr>
          <c:cat>
            <c:numRef>
              <c:f>'[MAGDÎL Monitorizare SER 2020.xlsx] Evolutie  SER  (2)'!$W$3:$AG$3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'[MAGDÎL Monitorizare SER 2020.xlsx] Evolutie  SER  (2)'!$W$5:$AG$5</c:f>
              <c:numCache>
                <c:formatCode>General</c:formatCode>
                <c:ptCount val="11"/>
                <c:pt idx="0">
                  <c:v>0</c:v>
                </c:pt>
                <c:pt idx="1">
                  <c:v>0</c:v>
                </c:pt>
                <c:pt idx="2">
                  <c:v>0</c:v>
                </c:pt>
                <c:pt idx="3">
                  <c:v>1100</c:v>
                </c:pt>
                <c:pt idx="4">
                  <c:v>1107</c:v>
                </c:pt>
                <c:pt idx="5">
                  <c:v>1140</c:v>
                </c:pt>
                <c:pt idx="6">
                  <c:v>2340</c:v>
                </c:pt>
                <c:pt idx="7">
                  <c:v>9550</c:v>
                </c:pt>
                <c:pt idx="8">
                  <c:v>27690</c:v>
                </c:pt>
                <c:pt idx="9">
                  <c:v>37390</c:v>
                </c:pt>
                <c:pt idx="10">
                  <c:v>45087</c:v>
                </c:pt>
              </c:numCache>
            </c:numRef>
          </c:val>
          <c:extLst xmlns:c16r2="http://schemas.microsoft.com/office/drawing/2015/06/chart">
            <c:ext xmlns:c16="http://schemas.microsoft.com/office/drawing/2014/chart" uri="{C3380CC4-5D6E-409C-BE32-E72D297353CC}">
              <c16:uniqueId val="{00000000-78A2-4B01-99F8-B797EED10B86}"/>
            </c:ext>
          </c:extLst>
        </c:ser>
        <c:ser>
          <c:idx val="2"/>
          <c:order val="1"/>
          <c:tx>
            <c:strRef>
              <c:f>'[MAGDÎL Monitorizare SER 2020.xlsx] Evolutie  SER  (2)'!$V$6</c:f>
              <c:strCache>
                <c:ptCount val="1"/>
                <c:pt idx="0">
                  <c:v>Biogaz </c:v>
                </c:pt>
              </c:strCache>
            </c:strRef>
          </c:tx>
          <c:spPr>
            <a:solidFill>
              <a:schemeClr val="accent3"/>
            </a:solidFill>
            <a:ln>
              <a:noFill/>
            </a:ln>
            <a:effectLst/>
          </c:spPr>
          <c:cat>
            <c:numRef>
              <c:f>'[MAGDÎL Monitorizare SER 2020.xlsx] Evolutie  SER  (2)'!$W$3:$AG$3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'[MAGDÎL Monitorizare SER 2020.xlsx] Evolutie  SER  (2)'!$W$6:$AG$6</c:f>
              <c:numCache>
                <c:formatCode>General</c:formatCode>
                <c:ptCount val="11"/>
                <c:pt idx="0">
                  <c:v>85</c:v>
                </c:pt>
                <c:pt idx="1">
                  <c:v>85</c:v>
                </c:pt>
                <c:pt idx="2">
                  <c:v>85</c:v>
                </c:pt>
                <c:pt idx="3">
                  <c:v>405</c:v>
                </c:pt>
                <c:pt idx="4">
                  <c:v>4005</c:v>
                </c:pt>
                <c:pt idx="5">
                  <c:v>4005</c:v>
                </c:pt>
                <c:pt idx="6">
                  <c:v>4005</c:v>
                </c:pt>
                <c:pt idx="7">
                  <c:v>5709</c:v>
                </c:pt>
                <c:pt idx="8">
                  <c:v>5709</c:v>
                </c:pt>
                <c:pt idx="9">
                  <c:v>6346</c:v>
                </c:pt>
                <c:pt idx="10">
                  <c:v>6346</c:v>
                </c:pt>
              </c:numCache>
            </c:numRef>
          </c:val>
          <c:extLst xmlns:c16r2="http://schemas.microsoft.com/office/drawing/2015/06/chart">
            <c:ext xmlns:c16="http://schemas.microsoft.com/office/drawing/2014/chart" uri="{C3380CC4-5D6E-409C-BE32-E72D297353CC}">
              <c16:uniqueId val="{00000001-78A2-4B01-99F8-B797EED10B86}"/>
            </c:ext>
          </c:extLst>
        </c:ser>
        <c:ser>
          <c:idx val="0"/>
          <c:order val="2"/>
          <c:tx>
            <c:strRef>
              <c:f>'[MAGDÎL Monitorizare SER 2020.xlsx] Evolutie  SER  (2)'!$V$4</c:f>
              <c:strCache>
                <c:ptCount val="1"/>
                <c:pt idx="0">
                  <c:v>Fotovoltaic</c:v>
                </c:pt>
              </c:strCache>
            </c:strRef>
          </c:tx>
          <c:spPr>
            <a:solidFill>
              <a:schemeClr val="accent1"/>
            </a:solidFill>
            <a:ln>
              <a:noFill/>
            </a:ln>
            <a:effectLst/>
          </c:spPr>
          <c:cat>
            <c:numRef>
              <c:f>'[MAGDÎL Monitorizare SER 2020.xlsx] Evolutie  SER  (2)'!$W$3:$AG$3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'[MAGDÎL Monitorizare SER 2020.xlsx] Evolutie  SER  (2)'!$W$4:$AG$4</c:f>
              <c:numCache>
                <c:formatCode>General</c:formatCode>
                <c:ptCount val="11"/>
                <c:pt idx="0">
                  <c:v>0</c:v>
                </c:pt>
                <c:pt idx="1">
                  <c:v>0</c:v>
                </c:pt>
                <c:pt idx="2">
                  <c:v>95</c:v>
                </c:pt>
                <c:pt idx="3">
                  <c:v>95</c:v>
                </c:pt>
                <c:pt idx="4">
                  <c:v>1029.25</c:v>
                </c:pt>
                <c:pt idx="5">
                  <c:v>1827.75</c:v>
                </c:pt>
                <c:pt idx="6">
                  <c:v>2517.15</c:v>
                </c:pt>
                <c:pt idx="7">
                  <c:v>2820.65</c:v>
                </c:pt>
                <c:pt idx="8">
                  <c:v>4020.65</c:v>
                </c:pt>
                <c:pt idx="9">
                  <c:v>5020.6499999999996</c:v>
                </c:pt>
                <c:pt idx="10">
                  <c:v>5224.9500000000007</c:v>
                </c:pt>
              </c:numCache>
            </c:numRef>
          </c:val>
          <c:extLst xmlns:c16r2="http://schemas.microsoft.com/office/drawing/2015/06/chart">
            <c:ext xmlns:c16="http://schemas.microsoft.com/office/drawing/2014/chart" uri="{C3380CC4-5D6E-409C-BE32-E72D297353CC}">
              <c16:uniqueId val="{00000002-78A2-4B01-99F8-B797EED10B86}"/>
            </c:ext>
          </c:extLst>
        </c:ser>
        <c:dLbls>
          <c:showLegendKey val="0"/>
          <c:showVal val="0"/>
          <c:showCatName val="0"/>
          <c:showSerName val="0"/>
          <c:showPercent val="0"/>
          <c:showBubbleSize val="0"/>
        </c:dLbls>
        <c:axId val="833927552"/>
        <c:axId val="833928096"/>
      </c:areaChart>
      <c:catAx>
        <c:axId val="833927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crossAx val="833928096"/>
        <c:crosses val="autoZero"/>
        <c:auto val="1"/>
        <c:lblAlgn val="ctr"/>
        <c:lblOffset val="100"/>
        <c:noMultiLvlLbl val="0"/>
      </c:catAx>
      <c:valAx>
        <c:axId val="833928096"/>
        <c:scaling>
          <c:orientation val="minMax"/>
        </c:scaling>
        <c:delete val="1"/>
        <c:axPos val="l"/>
        <c:numFmt formatCode="General" sourceLinked="1"/>
        <c:majorTickMark val="none"/>
        <c:minorTickMark val="none"/>
        <c:tickLblPos val="nextTo"/>
        <c:crossAx val="833927552"/>
        <c:crosses val="autoZero"/>
        <c:crossBetween val="midCat"/>
      </c:valAx>
      <c:spPr>
        <a:noFill/>
        <a:ln w="25400">
          <a:noFill/>
        </a:ln>
        <a:effectLst/>
      </c:spPr>
    </c:plotArea>
    <c:legend>
      <c:legendPos val="b"/>
      <c:layout>
        <c:manualLayout>
          <c:xMode val="edge"/>
          <c:yMode val="edge"/>
          <c:x val="9.2925026399155231E-2"/>
          <c:y val="0.86684372609753435"/>
          <c:w val="0.8522641744755507"/>
          <c:h val="9.9171567020562526E-2"/>
        </c:manualLayout>
      </c:layout>
      <c:overlay val="0"/>
      <c:spPr>
        <a:noFill/>
        <a:ln>
          <a:noFill/>
        </a:ln>
        <a:effectLst/>
      </c:spPr>
      <c:txPr>
        <a:bodyPr rot="0" spcFirstLastPara="1" vertOverflow="ellipsis" vert="horz" wrap="square" anchor="ctr" anchorCtr="1"/>
        <a:lstStyle/>
        <a:p>
          <a:pPr>
            <a:defRPr sz="105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noFill/>
    <a:ln w="9525" cap="flat" cmpd="sng" algn="ctr">
      <a:noFill/>
      <a:round/>
    </a:ln>
    <a:effectLst/>
  </c:spPr>
  <c:txPr>
    <a:bodyPr/>
    <a:lstStyle/>
    <a:p>
      <a:pPr>
        <a:defRPr sz="1050">
          <a:solidFill>
            <a:srgbClr val="00206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602805944221"/>
          <c:y val="0.10457524239646009"/>
          <c:w val="0.52446113254550109"/>
          <c:h val="0.65459494007613828"/>
        </c:manualLayout>
      </c:layout>
      <c:lineChart>
        <c:grouping val="standard"/>
        <c:varyColors val="0"/>
        <c:ser>
          <c:idx val="0"/>
          <c:order val="0"/>
          <c:tx>
            <c:strRef>
              <c:f>Foaie1!$B$1</c:f>
              <c:strCache>
                <c:ptCount val="1"/>
                <c:pt idx="0">
                  <c:v>ținta</c:v>
                </c:pt>
              </c:strCache>
            </c:strRef>
          </c:tx>
          <c:spPr>
            <a:ln w="38079">
              <a:solidFill>
                <a:srgbClr val="002060">
                  <a:alpha val="75000"/>
                </a:srgbClr>
              </a:solidFill>
            </a:ln>
          </c:spPr>
          <c:marker>
            <c:symbol val="none"/>
          </c:marker>
          <c:cat>
            <c:numRef>
              <c:f>Foaie1!$A$2:$A$12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Foaie1!$B$2:$B$12</c:f>
              <c:numCache>
                <c:formatCode>General</c:formatCode>
                <c:ptCount val="11"/>
                <c:pt idx="0">
                  <c:v>17</c:v>
                </c:pt>
                <c:pt idx="1">
                  <c:v>17</c:v>
                </c:pt>
                <c:pt idx="2">
                  <c:v>17</c:v>
                </c:pt>
                <c:pt idx="3">
                  <c:v>17</c:v>
                </c:pt>
                <c:pt idx="4">
                  <c:v>17</c:v>
                </c:pt>
                <c:pt idx="5">
                  <c:v>17</c:v>
                </c:pt>
                <c:pt idx="6">
                  <c:v>17</c:v>
                </c:pt>
                <c:pt idx="7">
                  <c:v>17</c:v>
                </c:pt>
                <c:pt idx="8">
                  <c:v>17</c:v>
                </c:pt>
                <c:pt idx="9">
                  <c:v>17</c:v>
                </c:pt>
                <c:pt idx="10">
                  <c:v>17</c:v>
                </c:pt>
              </c:numCache>
            </c:numRef>
          </c:val>
          <c:smooth val="0"/>
          <c:extLst xmlns:c16r2="http://schemas.microsoft.com/office/drawing/2015/06/chart">
            <c:ext xmlns:c16="http://schemas.microsoft.com/office/drawing/2014/chart" uri="{C3380CC4-5D6E-409C-BE32-E72D297353CC}">
              <c16:uniqueId val="{00000000-2E4F-42BC-BA3C-5594361DF97B}"/>
            </c:ext>
          </c:extLst>
        </c:ser>
        <c:ser>
          <c:idx val="1"/>
          <c:order val="1"/>
          <c:tx>
            <c:strRef>
              <c:f>Foaie1!$C$1</c:f>
              <c:strCache>
                <c:ptCount val="1"/>
                <c:pt idx="0">
                  <c:v>consumul real</c:v>
                </c:pt>
              </c:strCache>
            </c:strRef>
          </c:tx>
          <c:spPr>
            <a:ln w="57150">
              <a:solidFill>
                <a:srgbClr val="FF0000"/>
              </a:solidFill>
            </a:ln>
          </c:spPr>
          <c:marker>
            <c:symbol val="none"/>
          </c:marker>
          <c:dLbls>
            <c:dLbl>
              <c:idx val="0"/>
              <c:delete val="1"/>
              <c:extLst xmlns:c16r2="http://schemas.microsoft.com/office/drawing/2015/06/chart">
                <c:ext xmlns:c16="http://schemas.microsoft.com/office/drawing/2014/chart" uri="{C3380CC4-5D6E-409C-BE32-E72D297353CC}">
                  <c16:uniqueId val="{00000001-2E4F-42BC-BA3C-5594361DF97B}"/>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2-2E4F-42BC-BA3C-5594361DF97B}"/>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3-2E4F-42BC-BA3C-5594361DF97B}"/>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4-2E4F-42BC-BA3C-5594361DF97B}"/>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5-2E4F-42BC-BA3C-5594361DF97B}"/>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6-2E4F-42BC-BA3C-5594361DF97B}"/>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7-2E4F-42BC-BA3C-5594361DF97B}"/>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8-2E4F-42BC-BA3C-5594361DF97B}"/>
                </c:ext>
                <c:ext xmlns:c15="http://schemas.microsoft.com/office/drawing/2012/chart" uri="{CE6537A1-D6FC-4f65-9D91-7224C49458BB}"/>
              </c:extLst>
            </c:dLbl>
            <c:dLbl>
              <c:idx val="8"/>
              <c:layout>
                <c:manualLayout>
                  <c:x val="-1.7039403620873271E-2"/>
                  <c:y val="5.26315789473683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4F-42BC-BA3C-5594361DF97B}"/>
                </c:ext>
                <c:ext xmlns:c15="http://schemas.microsoft.com/office/drawing/2012/chart" uri="{CE6537A1-D6FC-4f65-9D91-7224C49458BB}"/>
              </c:extLst>
            </c:dLbl>
            <c:numFmt formatCode="0.00%" sourceLinked="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trendline>
            <c:name>trend</c:name>
            <c:spPr>
              <a:ln w="12693">
                <a:solidFill>
                  <a:sysClr val="windowText" lastClr="000000"/>
                </a:solidFill>
              </a:ln>
            </c:spPr>
            <c:trendlineType val="linear"/>
            <c:dispRSqr val="0"/>
            <c:dispEq val="0"/>
          </c:trendline>
          <c:cat>
            <c:numRef>
              <c:f>Foaie1!$A$2:$A$12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Foaie1!$C$2:$C$12</c:f>
              <c:numCache>
                <c:formatCode>0.00</c:formatCode>
                <c:ptCount val="11"/>
                <c:pt idx="0">
                  <c:v>21.26</c:v>
                </c:pt>
                <c:pt idx="1">
                  <c:v>21.97</c:v>
                </c:pt>
                <c:pt idx="2">
                  <c:v>24.32</c:v>
                </c:pt>
                <c:pt idx="3">
                  <c:v>24.38</c:v>
                </c:pt>
                <c:pt idx="4">
                  <c:v>26.12</c:v>
                </c:pt>
                <c:pt idx="5" formatCode="General">
                  <c:v>26.16</c:v>
                </c:pt>
                <c:pt idx="6" formatCode="General">
                  <c:v>26.85</c:v>
                </c:pt>
                <c:pt idx="7" formatCode="General">
                  <c:v>27.83</c:v>
                </c:pt>
                <c:pt idx="8" formatCode="General">
                  <c:v>27.6</c:v>
                </c:pt>
                <c:pt idx="9" formatCode="General">
                  <c:v>23.84</c:v>
                </c:pt>
              </c:numCache>
            </c:numRef>
          </c:val>
          <c:smooth val="1"/>
          <c:extLst xmlns:c16r2="http://schemas.microsoft.com/office/drawing/2015/06/chart">
            <c:ext xmlns:c16="http://schemas.microsoft.com/office/drawing/2014/chart" uri="{C3380CC4-5D6E-409C-BE32-E72D297353CC}">
              <c16:uniqueId val="{0000000B-2E4F-42BC-BA3C-5594361DF97B}"/>
            </c:ext>
          </c:extLst>
        </c:ser>
        <c:dLbls>
          <c:showLegendKey val="0"/>
          <c:showVal val="0"/>
          <c:showCatName val="0"/>
          <c:showSerName val="0"/>
          <c:showPercent val="0"/>
          <c:showBubbleSize val="0"/>
        </c:dLbls>
        <c:smooth val="0"/>
        <c:axId val="833930816"/>
        <c:axId val="833931360"/>
      </c:lineChart>
      <c:dateAx>
        <c:axId val="833930816"/>
        <c:scaling>
          <c:orientation val="minMax"/>
        </c:scaling>
        <c:delete val="0"/>
        <c:axPos val="b"/>
        <c:numFmt formatCode="General" sourceLinked="0"/>
        <c:majorTickMark val="out"/>
        <c:minorTickMark val="none"/>
        <c:tickLblPos val="low"/>
        <c:spPr>
          <a:ln w="25400">
            <a:solidFill>
              <a:sysClr val="windowText" lastClr="000000"/>
            </a:solidFill>
          </a:ln>
        </c:spPr>
        <c:txPr>
          <a:bodyPr/>
          <a:lstStyle/>
          <a:p>
            <a:pPr>
              <a:defRPr sz="1050"/>
            </a:pPr>
            <a:endParaRPr lang="en-US"/>
          </a:p>
        </c:txPr>
        <c:crossAx val="833931360"/>
        <c:crosses val="autoZero"/>
        <c:auto val="0"/>
        <c:lblOffset val="100"/>
        <c:baseTimeUnit val="days"/>
        <c:majorUnit val="2"/>
        <c:majorTimeUnit val="days"/>
      </c:dateAx>
      <c:valAx>
        <c:axId val="833931360"/>
        <c:scaling>
          <c:orientation val="minMax"/>
          <c:max val="30"/>
          <c:min val="15"/>
        </c:scaling>
        <c:delete val="0"/>
        <c:axPos val="l"/>
        <c:majorGridlines/>
        <c:minorGridlines>
          <c:spPr>
            <a:ln w="6347">
              <a:solidFill>
                <a:sysClr val="windowText" lastClr="000000">
                  <a:tint val="50000"/>
                  <a:shade val="95000"/>
                  <a:satMod val="105000"/>
                  <a:alpha val="63000"/>
                </a:sysClr>
              </a:solidFill>
              <a:prstDash val="dash"/>
            </a:ln>
          </c:spPr>
        </c:minorGridlines>
        <c:numFmt formatCode="0%" sourceLinked="0"/>
        <c:majorTickMark val="out"/>
        <c:minorTickMark val="none"/>
        <c:tickLblPos val="nextTo"/>
        <c:spPr>
          <a:ln w="25386">
            <a:solidFill>
              <a:sysClr val="windowText" lastClr="000000"/>
            </a:solidFill>
          </a:ln>
        </c:spPr>
        <c:txPr>
          <a:bodyPr/>
          <a:lstStyle/>
          <a:p>
            <a:pPr>
              <a:defRPr sz="1050" b="1"/>
            </a:pPr>
            <a:endParaRPr lang="en-US"/>
          </a:p>
        </c:txPr>
        <c:crossAx val="833930816"/>
        <c:crosses val="autoZero"/>
        <c:crossBetween val="midCat"/>
        <c:minorUnit val="2.5"/>
        <c:dispUnits>
          <c:builtInUnit val="hundreds"/>
          <c:dispUnitsLbl>
            <c:layout>
              <c:manualLayout>
                <c:xMode val="edge"/>
                <c:yMode val="edge"/>
                <c:x val="2.1514963690763139E-2"/>
                <c:y val="8.8312842473638159E-2"/>
              </c:manualLayout>
            </c:layout>
            <c:tx>
              <c:rich>
                <a:bodyPr rot="-5400000" vert="horz"/>
                <a:lstStyle/>
                <a:p>
                  <a:pPr algn="just">
                    <a:defRPr sz="1050"/>
                  </a:pPr>
                  <a:r>
                    <a:rPr lang="ro-RO" sz="1050" baseline="0" dirty="0"/>
                    <a:t>PONDEREA SER ÎN CFBE</a:t>
                  </a:r>
                  <a:endParaRPr lang="ro-RO" sz="1050" dirty="0"/>
                </a:p>
              </c:rich>
            </c:tx>
          </c:dispUnitsLbl>
        </c:dispUnits>
      </c:valAx>
    </c:plotArea>
    <c:legend>
      <c:legendPos val="r"/>
      <c:layout>
        <c:manualLayout>
          <c:xMode val="edge"/>
          <c:yMode val="edge"/>
          <c:x val="1.43577253931271E-2"/>
          <c:y val="0.84829611992831222"/>
          <c:w val="0.98067519620434707"/>
          <c:h val="0.14985403140396925"/>
        </c:manualLayout>
      </c:layout>
      <c:overlay val="0"/>
      <c:txPr>
        <a:bodyPr/>
        <a:lstStyle/>
        <a:p>
          <a:pPr>
            <a:defRPr sz="10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txPr>
    <a:bodyPr/>
    <a:lstStyle/>
    <a:p>
      <a:pPr>
        <a:defRPr sz="1800">
          <a:solidFill>
            <a:srgbClr val="002060"/>
          </a:solidFill>
          <a:latin typeface="Garamond"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827181549521455"/>
          <c:y val="3.0438612185912269E-2"/>
          <c:w val="0.71875517744482886"/>
          <c:h val="0.60967084595745424"/>
        </c:manualLayout>
      </c:layout>
      <c:lineChart>
        <c:grouping val="standard"/>
        <c:varyColors val="0"/>
        <c:ser>
          <c:idx val="0"/>
          <c:order val="0"/>
          <c:tx>
            <c:strRef>
              <c:f>Foaie1!$B$1</c:f>
              <c:strCache>
                <c:ptCount val="1"/>
                <c:pt idx="0">
                  <c:v>ținta</c:v>
                </c:pt>
              </c:strCache>
            </c:strRef>
          </c:tx>
          <c:spPr>
            <a:ln w="38079">
              <a:solidFill>
                <a:srgbClr val="002060">
                  <a:alpha val="75000"/>
                </a:srgbClr>
              </a:solidFill>
            </a:ln>
          </c:spPr>
          <c:marker>
            <c:symbol val="none"/>
          </c:marker>
          <c:cat>
            <c:numRef>
              <c:f>Foaie1!$A$2:$A$15</c:f>
              <c:numCache>
                <c:formatCode>General</c:formatCode>
                <c:ptCount val="14"/>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Foaie1!$B$2:$B$15</c:f>
              <c:numCache>
                <c:formatCode>General</c:formatCode>
                <c:ptCount val="14"/>
                <c:pt idx="1">
                  <c:v>10</c:v>
                </c:pt>
                <c:pt idx="2">
                  <c:v>10</c:v>
                </c:pt>
                <c:pt idx="3">
                  <c:v>10</c:v>
                </c:pt>
                <c:pt idx="4">
                  <c:v>10</c:v>
                </c:pt>
                <c:pt idx="5">
                  <c:v>10</c:v>
                </c:pt>
                <c:pt idx="6">
                  <c:v>10</c:v>
                </c:pt>
                <c:pt idx="7">
                  <c:v>10</c:v>
                </c:pt>
                <c:pt idx="8">
                  <c:v>10</c:v>
                </c:pt>
                <c:pt idx="9">
                  <c:v>10</c:v>
                </c:pt>
                <c:pt idx="10">
                  <c:v>10</c:v>
                </c:pt>
                <c:pt idx="11">
                  <c:v>10</c:v>
                </c:pt>
              </c:numCache>
            </c:numRef>
          </c:val>
          <c:smooth val="0"/>
          <c:extLst xmlns:c16r2="http://schemas.microsoft.com/office/drawing/2015/06/chart">
            <c:ext xmlns:c16="http://schemas.microsoft.com/office/drawing/2014/chart" uri="{C3380CC4-5D6E-409C-BE32-E72D297353CC}">
              <c16:uniqueId val="{00000000-8AC0-41E0-BC01-A92B467026AE}"/>
            </c:ext>
          </c:extLst>
        </c:ser>
        <c:ser>
          <c:idx val="1"/>
          <c:order val="1"/>
          <c:tx>
            <c:strRef>
              <c:f>Foaie1!$C$1</c:f>
              <c:strCache>
                <c:ptCount val="1"/>
                <c:pt idx="0">
                  <c:v>consum real</c:v>
                </c:pt>
              </c:strCache>
            </c:strRef>
          </c:tx>
          <c:spPr>
            <a:ln w="38079">
              <a:solidFill>
                <a:srgbClr val="FF0000"/>
              </a:solidFill>
            </a:ln>
          </c:spPr>
          <c:marker>
            <c:symbol val="none"/>
          </c:marker>
          <c:dLbls>
            <c:dLbl>
              <c:idx val="0"/>
              <c:delete val="1"/>
              <c:extLst xmlns:c16r2="http://schemas.microsoft.com/office/drawing/2015/06/chart">
                <c:ext xmlns:c16="http://schemas.microsoft.com/office/drawing/2014/chart" uri="{C3380CC4-5D6E-409C-BE32-E72D297353CC}">
                  <c16:uniqueId val="{00000001-8AC0-41E0-BC01-A92B467026AE}"/>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2-8AC0-41E0-BC01-A92B467026AE}"/>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3-8AC0-41E0-BC01-A92B467026AE}"/>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4-8AC0-41E0-BC01-A92B467026AE}"/>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5-8AC0-41E0-BC01-A92B467026AE}"/>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6-8AC0-41E0-BC01-A92B467026AE}"/>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7-8AC0-41E0-BC01-A92B467026AE}"/>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8-8AC0-41E0-BC01-A92B467026AE}"/>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9-8AC0-41E0-BC01-A92B467026AE}"/>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1-1629-454F-8429-D3E3422D28F0}"/>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Foaie1!$A$2:$A$15</c:f>
              <c:numCache>
                <c:formatCode>General</c:formatCode>
                <c:ptCount val="14"/>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Foaie1!$C$2:$C$15</c:f>
              <c:numCache>
                <c:formatCode>0.00</c:formatCode>
                <c:ptCount val="14"/>
                <c:pt idx="1">
                  <c:v>1.7</c:v>
                </c:pt>
                <c:pt idx="2">
                  <c:v>1.7</c:v>
                </c:pt>
                <c:pt idx="3">
                  <c:v>1.7</c:v>
                </c:pt>
                <c:pt idx="4">
                  <c:v>1.7</c:v>
                </c:pt>
                <c:pt idx="5">
                  <c:v>1.93</c:v>
                </c:pt>
                <c:pt idx="6" formatCode="General">
                  <c:v>2</c:v>
                </c:pt>
                <c:pt idx="7" formatCode="General">
                  <c:v>2.04</c:v>
                </c:pt>
                <c:pt idx="8" formatCode="General">
                  <c:v>2.16</c:v>
                </c:pt>
                <c:pt idx="9" formatCode="General">
                  <c:v>2.59</c:v>
                </c:pt>
                <c:pt idx="10" formatCode="General">
                  <c:v>3.04</c:v>
                </c:pt>
              </c:numCache>
            </c:numRef>
          </c:val>
          <c:smooth val="0"/>
          <c:extLst xmlns:c16r2="http://schemas.microsoft.com/office/drawing/2015/06/chart">
            <c:ext xmlns:c16="http://schemas.microsoft.com/office/drawing/2014/chart" uri="{C3380CC4-5D6E-409C-BE32-E72D297353CC}">
              <c16:uniqueId val="{0000000B-8AC0-41E0-BC01-A92B467026AE}"/>
            </c:ext>
          </c:extLst>
        </c:ser>
        <c:ser>
          <c:idx val="2"/>
          <c:order val="2"/>
          <c:tx>
            <c:strRef>
              <c:f>Foaie1!$D$1</c:f>
              <c:strCache>
                <c:ptCount val="1"/>
                <c:pt idx="0">
                  <c:v>tendință așteptată</c:v>
                </c:pt>
              </c:strCache>
            </c:strRef>
          </c:tx>
          <c:marker>
            <c:symbol val="none"/>
          </c:marker>
          <c:dLbls>
            <c:dLbl>
              <c:idx val="9"/>
              <c:layout>
                <c:manualLayout>
                  <c:x val="-9.8289042591918452E-2"/>
                  <c:y val="-9.2759598041741873E-2"/>
                </c:manualLayout>
              </c:layout>
              <c:numFmt formatCode="0.0%" sourceLinked="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CBD-4F2C-A718-3C5AAB697292}"/>
                </c:ext>
                <c:ext xmlns:c15="http://schemas.microsoft.com/office/drawing/2012/chart" uri="{CE6537A1-D6FC-4f65-9D91-7224C49458BB}"/>
              </c:extLst>
            </c:dLbl>
            <c:dLbl>
              <c:idx val="12"/>
              <c:layout>
                <c:manualLayout>
                  <c:x val="-6.552602839461244E-2"/>
                  <c:y val="-5.6686421025508887E-2"/>
                </c:manualLayout>
              </c:layout>
              <c:numFmt formatCode="0.0%" sourceLinked="0"/>
              <c:spPr>
                <a:noFill/>
                <a:ln>
                  <a:noFill/>
                </a:ln>
                <a:effectLst/>
              </c:spPr>
              <c:txPr>
                <a:bodyPr wrap="square" lIns="38100" tIns="19050" rIns="38100" bIns="19050" anchor="ctr">
                  <a:spAutoFit/>
                </a:bodyPr>
                <a:lstStyle/>
                <a:p>
                  <a:pPr>
                    <a:defRPr b="1">
                      <a:solidFill>
                        <a:schemeClr val="accent6">
                          <a:lumMod val="50000"/>
                        </a:schemeClr>
                      </a:solidFill>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2A0-4EBE-98F5-B822B8D7DF91}"/>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numRef>
              <c:f>Foaie1!$A$2:$A$15</c:f>
              <c:numCache>
                <c:formatCode>General</c:formatCode>
                <c:ptCount val="14"/>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Foaie1!$D$2:$D$15</c:f>
              <c:numCache>
                <c:formatCode>General</c:formatCode>
                <c:ptCount val="14"/>
                <c:pt idx="10">
                  <c:v>3</c:v>
                </c:pt>
                <c:pt idx="11">
                  <c:v>3.3</c:v>
                </c:pt>
                <c:pt idx="12">
                  <c:v>3.9</c:v>
                </c:pt>
                <c:pt idx="13">
                  <c:v>5.5</c:v>
                </c:pt>
              </c:numCache>
            </c:numRef>
          </c:val>
          <c:smooth val="1"/>
          <c:extLst xmlns:c16r2="http://schemas.microsoft.com/office/drawing/2015/06/chart">
            <c:ext xmlns:c16="http://schemas.microsoft.com/office/drawing/2014/chart" uri="{C3380CC4-5D6E-409C-BE32-E72D297353CC}">
              <c16:uniqueId val="{00000002-80A0-464A-8C98-4A2C50E6856A}"/>
            </c:ext>
          </c:extLst>
        </c:ser>
        <c:dLbls>
          <c:showLegendKey val="0"/>
          <c:showVal val="0"/>
          <c:showCatName val="0"/>
          <c:showSerName val="0"/>
          <c:showPercent val="0"/>
          <c:showBubbleSize val="0"/>
        </c:dLbls>
        <c:smooth val="0"/>
        <c:axId val="840550576"/>
        <c:axId val="840546224"/>
      </c:lineChart>
      <c:dateAx>
        <c:axId val="840550576"/>
        <c:scaling>
          <c:orientation val="minMax"/>
        </c:scaling>
        <c:delete val="0"/>
        <c:axPos val="b"/>
        <c:numFmt formatCode="General" sourceLinked="0"/>
        <c:majorTickMark val="out"/>
        <c:minorTickMark val="none"/>
        <c:tickLblPos val="low"/>
        <c:spPr>
          <a:ln w="25400">
            <a:solidFill>
              <a:sysClr val="windowText" lastClr="000000"/>
            </a:solidFill>
          </a:ln>
        </c:spPr>
        <c:txPr>
          <a:bodyPr/>
          <a:lstStyle/>
          <a:p>
            <a:pPr>
              <a:defRPr sz="1050">
                <a:solidFill>
                  <a:srgbClr val="002060"/>
                </a:solidFill>
              </a:defRPr>
            </a:pPr>
            <a:endParaRPr lang="en-US"/>
          </a:p>
        </c:txPr>
        <c:crossAx val="840546224"/>
        <c:crosses val="autoZero"/>
        <c:auto val="0"/>
        <c:lblOffset val="100"/>
        <c:baseTimeUnit val="days"/>
        <c:majorUnit val="2"/>
        <c:majorTimeUnit val="days"/>
      </c:dateAx>
      <c:valAx>
        <c:axId val="840546224"/>
        <c:scaling>
          <c:orientation val="minMax"/>
        </c:scaling>
        <c:delete val="0"/>
        <c:axPos val="l"/>
        <c:majorGridlines/>
        <c:minorGridlines>
          <c:spPr>
            <a:ln w="6347">
              <a:solidFill>
                <a:sysClr val="windowText" lastClr="000000">
                  <a:tint val="50000"/>
                  <a:shade val="95000"/>
                  <a:satMod val="105000"/>
                  <a:alpha val="63000"/>
                </a:sysClr>
              </a:solidFill>
              <a:prstDash val="dash"/>
            </a:ln>
          </c:spPr>
        </c:minorGridlines>
        <c:title>
          <c:tx>
            <c:rich>
              <a:bodyPr/>
              <a:lstStyle/>
              <a:p>
                <a:pPr>
                  <a:defRPr sz="1050"/>
                </a:pPr>
                <a:r>
                  <a:rPr lang="ro-RO" sz="1050"/>
                  <a:t>PONDEREA  E-ESR</a:t>
                </a:r>
                <a:r>
                  <a:rPr lang="ro-RO" sz="1050" baseline="0"/>
                  <a:t> ÎN  CFBEE             </a:t>
                </a:r>
                <a:endParaRPr lang="en-US" sz="1050"/>
              </a:p>
            </c:rich>
          </c:tx>
          <c:layout>
            <c:manualLayout>
              <c:xMode val="edge"/>
              <c:yMode val="edge"/>
              <c:x val="0"/>
              <c:y val="3.8178347422961549E-2"/>
            </c:manualLayout>
          </c:layout>
          <c:overlay val="0"/>
        </c:title>
        <c:numFmt formatCode="0%" sourceLinked="0"/>
        <c:majorTickMark val="out"/>
        <c:minorTickMark val="none"/>
        <c:tickLblPos val="nextTo"/>
        <c:spPr>
          <a:ln w="25386">
            <a:solidFill>
              <a:sysClr val="windowText" lastClr="000000"/>
            </a:solidFill>
          </a:ln>
        </c:spPr>
        <c:txPr>
          <a:bodyPr/>
          <a:lstStyle/>
          <a:p>
            <a:pPr>
              <a:defRPr sz="1050" b="1">
                <a:solidFill>
                  <a:sysClr val="windowText" lastClr="000000"/>
                </a:solidFill>
              </a:defRPr>
            </a:pPr>
            <a:endParaRPr lang="en-US"/>
          </a:p>
        </c:txPr>
        <c:crossAx val="840550576"/>
        <c:crosses val="autoZero"/>
        <c:crossBetween val="midCat"/>
        <c:minorUnit val="2.5"/>
        <c:dispUnits>
          <c:builtInUnit val="hundreds"/>
        </c:dispUnits>
      </c:valAx>
    </c:plotArea>
    <c:legend>
      <c:legendPos val="r"/>
      <c:legendEntry>
        <c:idx val="0"/>
        <c:delete val="1"/>
      </c:legendEntry>
      <c:legendEntry>
        <c:idx val="1"/>
        <c:delete val="1"/>
      </c:legendEntry>
      <c:legendEntry>
        <c:idx val="2"/>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legendEntry>
      <c:layout>
        <c:manualLayout>
          <c:xMode val="edge"/>
          <c:yMode val="edge"/>
          <c:x val="4.0043684018929743E-2"/>
          <c:y val="0.75419599218482125"/>
          <c:w val="0.95494612590972527"/>
          <c:h val="0.12212454375952297"/>
        </c:manualLayout>
      </c:layout>
      <c:overlay val="0"/>
      <c:spPr>
        <a:noFill/>
        <a:ln>
          <a:noFill/>
        </a:ln>
      </c:spPr>
      <c:txPr>
        <a:bodyPr/>
        <a:lstStyle/>
        <a:p>
          <a:pPr>
            <a:defRPr sz="1050">
              <a:solidFill>
                <a:sysClr val="windowText" lastClr="000000"/>
              </a:solidFill>
            </a:defRPr>
          </a:pPr>
          <a:endParaRPr lang="en-US"/>
        </a:p>
      </c:txPr>
    </c:legend>
    <c:plotVisOnly val="1"/>
    <c:dispBlanksAs val="gap"/>
    <c:showDLblsOverMax val="0"/>
  </c:chart>
  <c:spPr>
    <a:noFill/>
    <a:ln>
      <a:noFill/>
    </a:ln>
  </c:spPr>
  <c:txPr>
    <a:bodyPr/>
    <a:lstStyle/>
    <a:p>
      <a:pPr>
        <a:defRPr sz="1100">
          <a:solidFill>
            <a:srgbClr val="002060"/>
          </a:solidFill>
          <a:latin typeface="Garamond"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011382496008529"/>
          <c:y val="5.1547918489355499E-2"/>
          <c:w val="0.71875517744482886"/>
          <c:h val="0.66754110163312919"/>
        </c:manualLayout>
      </c:layout>
      <c:lineChart>
        <c:grouping val="standard"/>
        <c:varyColors val="0"/>
        <c:ser>
          <c:idx val="0"/>
          <c:order val="0"/>
          <c:tx>
            <c:strRef>
              <c:f>Foaie1!$B$1</c:f>
              <c:strCache>
                <c:ptCount val="1"/>
                <c:pt idx="0">
                  <c:v>ținta</c:v>
                </c:pt>
              </c:strCache>
            </c:strRef>
          </c:tx>
          <c:spPr>
            <a:ln w="38079">
              <a:solidFill>
                <a:srgbClr val="002060">
                  <a:alpha val="75000"/>
                </a:srgbClr>
              </a:solidFill>
            </a:ln>
          </c:spPr>
          <c:marker>
            <c:symbol val="none"/>
          </c:marker>
          <c:cat>
            <c:numRef>
              <c:f>Foaie1!$A$2:$A$12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Foaie1!$B$2:$B$12</c:f>
              <c:numCache>
                <c:formatCode>General</c:formatCode>
                <c:ptCount val="11"/>
                <c:pt idx="0">
                  <c:v>10</c:v>
                </c:pt>
                <c:pt idx="1">
                  <c:v>10</c:v>
                </c:pt>
                <c:pt idx="2">
                  <c:v>10</c:v>
                </c:pt>
                <c:pt idx="3">
                  <c:v>10</c:v>
                </c:pt>
                <c:pt idx="4">
                  <c:v>10</c:v>
                </c:pt>
                <c:pt idx="5">
                  <c:v>10</c:v>
                </c:pt>
              </c:numCache>
            </c:numRef>
          </c:val>
          <c:smooth val="0"/>
          <c:extLst xmlns:c16r2="http://schemas.microsoft.com/office/drawing/2015/06/chart">
            <c:ext xmlns:c16="http://schemas.microsoft.com/office/drawing/2014/chart" uri="{C3380CC4-5D6E-409C-BE32-E72D297353CC}">
              <c16:uniqueId val="{00000000-DA91-4DD2-997F-9E3B096F88A1}"/>
            </c:ext>
          </c:extLst>
        </c:ser>
        <c:ser>
          <c:idx val="1"/>
          <c:order val="1"/>
          <c:tx>
            <c:strRef>
              <c:f>Foaie1!$C$1</c:f>
              <c:strCache>
                <c:ptCount val="1"/>
                <c:pt idx="0">
                  <c:v>consum real</c:v>
                </c:pt>
              </c:strCache>
            </c:strRef>
          </c:tx>
          <c:spPr>
            <a:ln w="38079">
              <a:solidFill>
                <a:srgbClr val="FF0000"/>
              </a:solidFill>
            </a:ln>
          </c:spPr>
          <c:marker>
            <c:symbol val="none"/>
          </c:marker>
          <c:dLbls>
            <c:dLbl>
              <c:idx val="0"/>
              <c:delete val="1"/>
              <c:extLst xmlns:c16r2="http://schemas.microsoft.com/office/drawing/2015/06/chart">
                <c:ext xmlns:c16="http://schemas.microsoft.com/office/drawing/2014/chart" uri="{C3380CC4-5D6E-409C-BE32-E72D297353CC}">
                  <c16:uniqueId val="{00000001-DA91-4DD2-997F-9E3B096F88A1}"/>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2-DA91-4DD2-997F-9E3B096F88A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3-DA91-4DD2-997F-9E3B096F88A1}"/>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4-DA91-4DD2-997F-9E3B096F88A1}"/>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5-DA91-4DD2-997F-9E3B096F88A1}"/>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6-DA91-4DD2-997F-9E3B096F88A1}"/>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7-DA91-4DD2-997F-9E3B096F88A1}"/>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8-DA91-4DD2-997F-9E3B096F88A1}"/>
                </c:ext>
                <c:ext xmlns:c15="http://schemas.microsoft.com/office/drawing/2012/chart" uri="{CE6537A1-D6FC-4f65-9D91-7224C49458BB}"/>
              </c:extLst>
            </c:dLbl>
            <c:dLbl>
              <c:idx val="8"/>
              <c:layout>
                <c:manualLayout>
                  <c:x val="-0.12719072201886675"/>
                  <c:y val="-8.2111315575375335E-2"/>
                </c:manualLayout>
              </c:layout>
              <c:numFmt formatCode="0.00%" sourceLinked="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A91-4DD2-997F-9E3B096F88A1}"/>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Foaie1!$A$2:$A$12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Foaie1!$C$2:$C$12</c:f>
              <c:numCache>
                <c:formatCode>General</c:formatCode>
                <c:ptCount val="11"/>
                <c:pt idx="0">
                  <c:v>2</c:v>
                </c:pt>
                <c:pt idx="1">
                  <c:v>2.04</c:v>
                </c:pt>
                <c:pt idx="2">
                  <c:v>2.16</c:v>
                </c:pt>
                <c:pt idx="3">
                  <c:v>2.59</c:v>
                </c:pt>
                <c:pt idx="4">
                  <c:v>3.04</c:v>
                </c:pt>
              </c:numCache>
            </c:numRef>
          </c:val>
          <c:smooth val="0"/>
          <c:extLst xmlns:c16r2="http://schemas.microsoft.com/office/drawing/2015/06/chart">
            <c:ext xmlns:c16="http://schemas.microsoft.com/office/drawing/2014/chart" uri="{C3380CC4-5D6E-409C-BE32-E72D297353CC}">
              <c16:uniqueId val="{0000000A-DA91-4DD2-997F-9E3B096F88A1}"/>
            </c:ext>
          </c:extLst>
        </c:ser>
        <c:ser>
          <c:idx val="2"/>
          <c:order val="2"/>
          <c:tx>
            <c:strRef>
              <c:f>Foaie1!$D$1</c:f>
              <c:strCache>
                <c:ptCount val="1"/>
                <c:pt idx="0">
                  <c:v>tendință așteptată</c:v>
                </c:pt>
              </c:strCache>
            </c:strRef>
          </c:tx>
          <c:spPr>
            <a:ln>
              <a:solidFill>
                <a:srgbClr val="4472C4">
                  <a:lumMod val="75000"/>
                </a:srgbClr>
              </a:solidFill>
            </a:ln>
          </c:spPr>
          <c:marker>
            <c:symbol val="none"/>
          </c:marker>
          <c:dLbls>
            <c:dLbl>
              <c:idx val="12"/>
              <c:layout>
                <c:manualLayout>
                  <c:x val="-6.5526028394612301E-2"/>
                  <c:y val="-2.5766555011594996E-2"/>
                </c:manualLayout>
              </c:layout>
              <c:numFmt formatCode="0.00%" sourceLinked="0"/>
              <c:spPr>
                <a:noFill/>
                <a:ln>
                  <a:noFill/>
                </a:ln>
                <a:effectLst/>
              </c:spPr>
              <c:txPr>
                <a:bodyPr wrap="square" lIns="38100" tIns="19050" rIns="38100" bIns="19050" anchor="ctr">
                  <a:spAutoFit/>
                </a:bodyPr>
                <a:lstStyle/>
                <a:p>
                  <a:pPr>
                    <a:defRPr b="1">
                      <a:solidFill>
                        <a:schemeClr val="accent6">
                          <a:lumMod val="50000"/>
                        </a:schemeClr>
                      </a:solidFill>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A91-4DD2-997F-9E3B096F88A1}"/>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numRef>
              <c:f>Foaie1!$A$2:$A$12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Foaie1!$D$2:$D$12</c:f>
              <c:numCache>
                <c:formatCode>General</c:formatCode>
                <c:ptCount val="11"/>
                <c:pt idx="3">
                  <c:v>2.59</c:v>
                </c:pt>
                <c:pt idx="4">
                  <c:v>3.04</c:v>
                </c:pt>
                <c:pt idx="5">
                  <c:v>3.3</c:v>
                </c:pt>
                <c:pt idx="6">
                  <c:v>3.9</c:v>
                </c:pt>
                <c:pt idx="7">
                  <c:v>5.5</c:v>
                </c:pt>
              </c:numCache>
            </c:numRef>
          </c:val>
          <c:smooth val="1"/>
          <c:extLst xmlns:c16r2="http://schemas.microsoft.com/office/drawing/2015/06/chart">
            <c:ext xmlns:c16="http://schemas.microsoft.com/office/drawing/2014/chart" uri="{C3380CC4-5D6E-409C-BE32-E72D297353CC}">
              <c16:uniqueId val="{0000000C-DA91-4DD2-997F-9E3B096F88A1}"/>
            </c:ext>
          </c:extLst>
        </c:ser>
        <c:ser>
          <c:idx val="3"/>
          <c:order val="3"/>
          <c:tx>
            <c:strRef>
              <c:f>Foaie1!$E$1</c:f>
              <c:strCache>
                <c:ptCount val="1"/>
                <c:pt idx="0">
                  <c:v>s. optimist</c:v>
                </c:pt>
              </c:strCache>
            </c:strRef>
          </c:tx>
          <c:spPr>
            <a:ln>
              <a:solidFill>
                <a:srgbClr val="70AD47">
                  <a:lumMod val="50000"/>
                </a:srgbClr>
              </a:solidFill>
            </a:ln>
          </c:spPr>
          <c:marker>
            <c:symbol val="none"/>
          </c:marker>
          <c:dLbls>
            <c:dLbl>
              <c:idx val="10"/>
              <c:layout>
                <c:manualLayout>
                  <c:x val="-0.16017473607571897"/>
                  <c:y val="1.7361111111111112E-2"/>
                </c:manualLayout>
              </c:layout>
              <c:numFmt formatCode="0%" sourceLinked="0"/>
              <c:spPr>
                <a:noFill/>
                <a:ln>
                  <a:noFill/>
                </a:ln>
                <a:effectLst/>
              </c:spPr>
              <c:txPr>
                <a:bodyPr wrap="square" lIns="38100" tIns="19050" rIns="38100" bIns="19050" anchor="ctr">
                  <a:spAutoFit/>
                </a:bodyPr>
                <a:lstStyle/>
                <a:p>
                  <a:pPr>
                    <a:defRPr b="1">
                      <a:solidFill>
                        <a:schemeClr val="accent6">
                          <a:lumMod val="50000"/>
                        </a:schemeClr>
                      </a:solidFill>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A91-4DD2-997F-9E3B096F88A1}"/>
                </c:ext>
                <c:ext xmlns:c15="http://schemas.microsoft.com/office/drawing/2012/chart" uri="{CE6537A1-D6FC-4f65-9D91-7224C49458BB}">
                  <c15:layout/>
                </c:ext>
              </c:extLst>
            </c:dLbl>
            <c:numFmt formatCode="0%" sourceLinked="0"/>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numRef>
              <c:f>Foaie1!$A$2:$A$12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Foaie1!$E$2:$E$12</c:f>
              <c:numCache>
                <c:formatCode>General</c:formatCode>
                <c:ptCount val="11"/>
                <c:pt idx="7">
                  <c:v>5.9</c:v>
                </c:pt>
                <c:pt idx="8">
                  <c:v>13.4</c:v>
                </c:pt>
                <c:pt idx="9">
                  <c:v>23.4</c:v>
                </c:pt>
                <c:pt idx="10">
                  <c:v>30</c:v>
                </c:pt>
              </c:numCache>
            </c:numRef>
          </c:val>
          <c:smooth val="0"/>
          <c:extLst xmlns:c16r2="http://schemas.microsoft.com/office/drawing/2015/06/chart">
            <c:ext xmlns:c16="http://schemas.microsoft.com/office/drawing/2014/chart" uri="{C3380CC4-5D6E-409C-BE32-E72D297353CC}">
              <c16:uniqueId val="{0000000E-DA91-4DD2-997F-9E3B096F88A1}"/>
            </c:ext>
          </c:extLst>
        </c:ser>
        <c:ser>
          <c:idx val="4"/>
          <c:order val="4"/>
          <c:tx>
            <c:strRef>
              <c:f>Foaie1!$F$1</c:f>
              <c:strCache>
                <c:ptCount val="1"/>
                <c:pt idx="0">
                  <c:v>s. pesimist</c:v>
                </c:pt>
              </c:strCache>
            </c:strRef>
          </c:tx>
          <c:spPr>
            <a:ln>
              <a:solidFill>
                <a:srgbClr val="70AD47">
                  <a:lumMod val="60000"/>
                  <a:lumOff val="40000"/>
                </a:srgbClr>
              </a:solidFill>
            </a:ln>
          </c:spPr>
          <c:marker>
            <c:symbol val="none"/>
          </c:marker>
          <c:dLbls>
            <c:dLbl>
              <c:idx val="10"/>
              <c:layout>
                <c:manualLayout>
                  <c:x val="-0.2147797597378959"/>
                  <c:y val="3.4722222222222224E-2"/>
                </c:manualLayout>
              </c:layout>
              <c:numFmt formatCode="0.00%" sourceLinked="0"/>
              <c:spPr>
                <a:noFill/>
                <a:ln>
                  <a:noFill/>
                </a:ln>
                <a:effectLst/>
              </c:spPr>
              <c:txPr>
                <a:bodyPr wrap="square" lIns="38100" tIns="19050" rIns="38100" bIns="19050" anchor="ctr">
                  <a:spAutoFit/>
                </a:bodyPr>
                <a:lstStyle/>
                <a:p>
                  <a:pPr>
                    <a:defRPr b="1">
                      <a:solidFill>
                        <a:schemeClr val="accent6">
                          <a:lumMod val="75000"/>
                        </a:schemeClr>
                      </a:solidFill>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A91-4DD2-997F-9E3B096F88A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b="1"/>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numRef>
              <c:f>Foaie1!$A$2:$A$12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Foaie1!$F$2:$F$12</c:f>
              <c:numCache>
                <c:formatCode>General</c:formatCode>
                <c:ptCount val="11"/>
                <c:pt idx="7">
                  <c:v>5.0999999999999996</c:v>
                </c:pt>
                <c:pt idx="8">
                  <c:v>10.26</c:v>
                </c:pt>
                <c:pt idx="9">
                  <c:v>17.809999999999999</c:v>
                </c:pt>
                <c:pt idx="10">
                  <c:v>20.66</c:v>
                </c:pt>
              </c:numCache>
            </c:numRef>
          </c:val>
          <c:smooth val="0"/>
          <c:extLst xmlns:c16r2="http://schemas.microsoft.com/office/drawing/2015/06/chart">
            <c:ext xmlns:c16="http://schemas.microsoft.com/office/drawing/2014/chart" uri="{C3380CC4-5D6E-409C-BE32-E72D297353CC}">
              <c16:uniqueId val="{0000000F-DA91-4DD2-997F-9E3B096F88A1}"/>
            </c:ext>
          </c:extLst>
        </c:ser>
        <c:dLbls>
          <c:showLegendKey val="0"/>
          <c:showVal val="0"/>
          <c:showCatName val="0"/>
          <c:showSerName val="0"/>
          <c:showPercent val="0"/>
          <c:showBubbleSize val="0"/>
        </c:dLbls>
        <c:smooth val="0"/>
        <c:axId val="840547312"/>
        <c:axId val="840549488"/>
      </c:lineChart>
      <c:dateAx>
        <c:axId val="840547312"/>
        <c:scaling>
          <c:orientation val="minMax"/>
        </c:scaling>
        <c:delete val="0"/>
        <c:axPos val="b"/>
        <c:numFmt formatCode="General" sourceLinked="0"/>
        <c:majorTickMark val="out"/>
        <c:minorTickMark val="none"/>
        <c:tickLblPos val="low"/>
        <c:spPr>
          <a:ln w="25400">
            <a:solidFill>
              <a:sysClr val="windowText" lastClr="000000"/>
            </a:solidFill>
          </a:ln>
        </c:spPr>
        <c:txPr>
          <a:bodyPr/>
          <a:lstStyle/>
          <a:p>
            <a:pPr>
              <a:defRPr sz="1050">
                <a:solidFill>
                  <a:srgbClr val="002060"/>
                </a:solidFill>
              </a:defRPr>
            </a:pPr>
            <a:endParaRPr lang="en-US"/>
          </a:p>
        </c:txPr>
        <c:crossAx val="840549488"/>
        <c:crosses val="autoZero"/>
        <c:auto val="0"/>
        <c:lblOffset val="100"/>
        <c:baseTimeUnit val="days"/>
        <c:majorUnit val="2"/>
        <c:majorTimeUnit val="days"/>
      </c:dateAx>
      <c:valAx>
        <c:axId val="840549488"/>
        <c:scaling>
          <c:orientation val="minMax"/>
        </c:scaling>
        <c:delete val="0"/>
        <c:axPos val="l"/>
        <c:majorGridlines/>
        <c:minorGridlines>
          <c:spPr>
            <a:ln w="6347">
              <a:solidFill>
                <a:sysClr val="windowText" lastClr="000000">
                  <a:tint val="50000"/>
                  <a:shade val="95000"/>
                  <a:satMod val="105000"/>
                  <a:alpha val="63000"/>
                </a:sysClr>
              </a:solidFill>
              <a:prstDash val="dash"/>
            </a:ln>
          </c:spPr>
        </c:minorGridlines>
        <c:title>
          <c:tx>
            <c:rich>
              <a:bodyPr/>
              <a:lstStyle/>
              <a:p>
                <a:pPr>
                  <a:defRPr sz="1050"/>
                </a:pPr>
                <a:r>
                  <a:rPr lang="ro-RO" sz="1050"/>
                  <a:t>PONDEREA  E-ESR</a:t>
                </a:r>
                <a:r>
                  <a:rPr lang="ro-RO" sz="1050" baseline="0"/>
                  <a:t> ÎN  CFBEE             </a:t>
                </a:r>
                <a:endParaRPr lang="en-US" sz="1050"/>
              </a:p>
            </c:rich>
          </c:tx>
          <c:layout>
            <c:manualLayout>
              <c:xMode val="edge"/>
              <c:yMode val="edge"/>
              <c:x val="0"/>
              <c:y val="3.8178347422961549E-2"/>
            </c:manualLayout>
          </c:layout>
          <c:overlay val="0"/>
        </c:title>
        <c:numFmt formatCode="0%" sourceLinked="0"/>
        <c:majorTickMark val="out"/>
        <c:minorTickMark val="none"/>
        <c:tickLblPos val="nextTo"/>
        <c:spPr>
          <a:ln w="25386">
            <a:solidFill>
              <a:sysClr val="windowText" lastClr="000000"/>
            </a:solidFill>
          </a:ln>
        </c:spPr>
        <c:txPr>
          <a:bodyPr/>
          <a:lstStyle/>
          <a:p>
            <a:pPr>
              <a:defRPr sz="1050" b="1">
                <a:solidFill>
                  <a:sysClr val="windowText" lastClr="000000"/>
                </a:solidFill>
              </a:defRPr>
            </a:pPr>
            <a:endParaRPr lang="en-US"/>
          </a:p>
        </c:txPr>
        <c:crossAx val="840547312"/>
        <c:crosses val="autoZero"/>
        <c:crossBetween val="midCat"/>
        <c:minorUnit val="2.5"/>
        <c:dispUnits>
          <c:builtInUnit val="hundreds"/>
        </c:dispUnits>
      </c:valAx>
    </c:plotArea>
    <c:legend>
      <c:legendPos val="r"/>
      <c:legendEntry>
        <c:idx val="0"/>
        <c:delete val="1"/>
      </c:legendEntry>
      <c:legendEntry>
        <c:idx val="1"/>
        <c:delete val="1"/>
      </c:legendEntry>
      <c:legendEntry>
        <c:idx val="2"/>
        <c:txPr>
          <a:bodyPr/>
          <a:lstStyle/>
          <a:p>
            <a:pPr>
              <a:defRPr sz="1000">
                <a:solidFill>
                  <a:sysClr val="windowText" lastClr="000000"/>
                </a:solidFill>
                <a:latin typeface="Garamond" panose="02020404030301010803" pitchFamily="18" charset="0"/>
                <a:cs typeface="Times New Roman" panose="02020603050405020304" pitchFamily="18" charset="0"/>
              </a:defRPr>
            </a:pPr>
            <a:endParaRPr lang="en-US"/>
          </a:p>
        </c:txPr>
      </c:legendEntry>
      <c:layout>
        <c:manualLayout>
          <c:xMode val="edge"/>
          <c:yMode val="edge"/>
          <c:x val="3.6403349108117947E-2"/>
          <c:y val="0.84615503791192759"/>
          <c:w val="0.95495157208006431"/>
          <c:h val="0.14273778776879895"/>
        </c:manualLayout>
      </c:layout>
      <c:overlay val="0"/>
      <c:spPr>
        <a:noFill/>
        <a:ln>
          <a:noFill/>
        </a:ln>
      </c:spPr>
      <c:txPr>
        <a:bodyPr/>
        <a:lstStyle/>
        <a:p>
          <a:pPr>
            <a:defRPr sz="1050">
              <a:solidFill>
                <a:sysClr val="windowText" lastClr="000000"/>
              </a:solidFill>
              <a:latin typeface="Garamond" panose="02020404030301010803" pitchFamily="18" charset="0"/>
            </a:defRPr>
          </a:pPr>
          <a:endParaRPr lang="en-US"/>
        </a:p>
      </c:txPr>
    </c:legend>
    <c:plotVisOnly val="1"/>
    <c:dispBlanksAs val="gap"/>
    <c:showDLblsOverMax val="0"/>
  </c:chart>
  <c:spPr>
    <a:noFill/>
    <a:ln>
      <a:noFill/>
    </a:ln>
  </c:spPr>
  <c:txPr>
    <a:bodyPr/>
    <a:lstStyle/>
    <a:p>
      <a:pPr>
        <a:defRPr sz="1100">
          <a:solidFill>
            <a:srgbClr val="002060"/>
          </a:solidFill>
          <a:latin typeface="Garamond"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0.38634</cdr:x>
      <cdr:y>0.41765</cdr:y>
    </cdr:from>
    <cdr:to>
      <cdr:x>0.59418</cdr:x>
      <cdr:y>0.59007</cdr:y>
    </cdr:to>
    <cdr:sp macro="" textlink="">
      <cdr:nvSpPr>
        <cdr:cNvPr id="2" name="Text Box 1"/>
        <cdr:cNvSpPr txBox="1"/>
      </cdr:nvSpPr>
      <cdr:spPr>
        <a:xfrm xmlns:a="http://schemas.openxmlformats.org/drawingml/2006/main">
          <a:off x="1256307" y="866693"/>
          <a:ext cx="675861" cy="3578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200" b="1">
              <a:solidFill>
                <a:srgbClr val="002060"/>
              </a:solidFill>
              <a:latin typeface="Times New Roman" panose="02020603050405020304" pitchFamily="18" charset="0"/>
              <a:cs typeface="Times New Roman" panose="02020603050405020304" pitchFamily="18" charset="0"/>
            </a:rPr>
            <a:t>72.9</a:t>
          </a:r>
          <a:r>
            <a:rPr lang="ro-RO" sz="1200" b="1" baseline="0">
              <a:solidFill>
                <a:srgbClr val="002060"/>
              </a:solidFill>
              <a:latin typeface="Times New Roman" panose="02020603050405020304" pitchFamily="18" charset="0"/>
              <a:cs typeface="Times New Roman" panose="02020603050405020304" pitchFamily="18" charset="0"/>
            </a:rPr>
            <a:t> MW </a:t>
          </a:r>
          <a:endParaRPr lang="en-US" sz="1200" b="1">
            <a:solidFill>
              <a:srgbClr val="002060"/>
            </a:solidFill>
            <a:latin typeface="Times New Roman" panose="02020603050405020304" pitchFamily="18" charset="0"/>
            <a:cs typeface="Times New Roman" panose="02020603050405020304" pitchFamily="18" charset="0"/>
          </a:endParaRPr>
        </a:p>
      </cdr:txBody>
    </cdr:sp>
  </cdr:relSizeAnchor>
</c:userShapes>
</file>

<file path=word/theme/_rels/themeOverride2.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6">
    <a:dk1>
      <a:srgbClr val="7A7A7A"/>
    </a:dk1>
    <a:lt1>
      <a:srgbClr val="FFFFFF"/>
    </a:lt1>
    <a:dk2>
      <a:srgbClr val="D1282E"/>
    </a:dk2>
    <a:lt2>
      <a:srgbClr val="B6CCAE"/>
    </a:lt2>
    <a:accent1>
      <a:srgbClr val="7A7A7A"/>
    </a:accent1>
    <a:accent2>
      <a:srgbClr val="F5C201"/>
    </a:accent2>
    <a:accent3>
      <a:srgbClr val="76975D"/>
    </a:accent3>
    <a:accent4>
      <a:srgbClr val="989AAC"/>
    </a:accent4>
    <a:accent5>
      <a:srgbClr val="DC5924"/>
    </a:accent5>
    <a:accent6>
      <a:srgbClr val="92D050"/>
    </a:accent6>
    <a:hlink>
      <a:srgbClr val="FFEFC1"/>
    </a:hlink>
    <a:folHlink>
      <a:srgbClr val="908F63"/>
    </a:folHlink>
  </a:clrScheme>
  <a:fontScheme name="Custom 1">
    <a:majorFont>
      <a:latin typeface="Arial Black"/>
      <a:ea typeface=""/>
      <a:cs typeface=""/>
    </a:majorFont>
    <a:minorFont>
      <a:latin typeface="Corbel"/>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Override>
</file>

<file path=word/theme/themeOverride3.xml><?xml version="1.0" encoding="utf-8"?>
<a:themeOverride xmlns:a="http://schemas.openxmlformats.org/drawingml/2006/main">
  <a:clrScheme name="Custom 6">
    <a:dk1>
      <a:srgbClr val="7A7A7A"/>
    </a:dk1>
    <a:lt1>
      <a:srgbClr val="FFFFFF"/>
    </a:lt1>
    <a:dk2>
      <a:srgbClr val="D1282E"/>
    </a:dk2>
    <a:lt2>
      <a:srgbClr val="B6CCAE"/>
    </a:lt2>
    <a:accent1>
      <a:srgbClr val="7A7A7A"/>
    </a:accent1>
    <a:accent2>
      <a:srgbClr val="F5C201"/>
    </a:accent2>
    <a:accent3>
      <a:srgbClr val="76975D"/>
    </a:accent3>
    <a:accent4>
      <a:srgbClr val="989AAC"/>
    </a:accent4>
    <a:accent5>
      <a:srgbClr val="DC5924"/>
    </a:accent5>
    <a:accent6>
      <a:srgbClr val="92D050"/>
    </a:accent6>
    <a:hlink>
      <a:srgbClr val="FFEFC1"/>
    </a:hlink>
    <a:folHlink>
      <a:srgbClr val="908F63"/>
    </a:folHlink>
  </a:clrScheme>
  <a:fontScheme name="Custom 1">
    <a:majorFont>
      <a:latin typeface="Arial Black"/>
      <a:ea typeface=""/>
      <a:cs typeface=""/>
    </a:majorFont>
    <a:minorFont>
      <a:latin typeface="Corbel"/>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Override>
</file>

<file path=word/theme/themeOverride4.xml><?xml version="1.0" encoding="utf-8"?>
<a:themeOverride xmlns:a="http://schemas.openxmlformats.org/drawingml/2006/main">
  <a:clrScheme name="Custom 6">
    <a:dk1>
      <a:srgbClr val="7A7A7A"/>
    </a:dk1>
    <a:lt1>
      <a:srgbClr val="FFFFFF"/>
    </a:lt1>
    <a:dk2>
      <a:srgbClr val="D1282E"/>
    </a:dk2>
    <a:lt2>
      <a:srgbClr val="B6CCAE"/>
    </a:lt2>
    <a:accent1>
      <a:srgbClr val="7A7A7A"/>
    </a:accent1>
    <a:accent2>
      <a:srgbClr val="F5C201"/>
    </a:accent2>
    <a:accent3>
      <a:srgbClr val="76975D"/>
    </a:accent3>
    <a:accent4>
      <a:srgbClr val="989AAC"/>
    </a:accent4>
    <a:accent5>
      <a:srgbClr val="DC5924"/>
    </a:accent5>
    <a:accent6>
      <a:srgbClr val="92D050"/>
    </a:accent6>
    <a:hlink>
      <a:srgbClr val="FFEFC1"/>
    </a:hlink>
    <a:folHlink>
      <a:srgbClr val="908F63"/>
    </a:folHlink>
  </a:clrScheme>
  <a:fontScheme name="Custom 1">
    <a:majorFont>
      <a:latin typeface="Arial Black"/>
      <a:ea typeface=""/>
      <a:cs typeface=""/>
    </a:majorFont>
    <a:minorFont>
      <a:latin typeface="Corbel"/>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A9CE-3EEF-4D24-8A5A-32715A4E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5477</Words>
  <Characters>31225</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36629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Baiesu</dc:creator>
  <cp:lastModifiedBy>Nicolae</cp:lastModifiedBy>
  <cp:revision>22</cp:revision>
  <cp:lastPrinted>2020-05-12T12:17:00Z</cp:lastPrinted>
  <dcterms:created xsi:type="dcterms:W3CDTF">2021-01-27T11:44:00Z</dcterms:created>
  <dcterms:modified xsi:type="dcterms:W3CDTF">2021-10-07T07:20:00Z</dcterms:modified>
</cp:coreProperties>
</file>