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26" w:type="pct"/>
        <w:tblInd w:w="270" w:type="dxa"/>
        <w:tblLayout w:type="fixed"/>
        <w:tblLook w:val="04A0" w:firstRow="1" w:lastRow="0" w:firstColumn="1" w:lastColumn="0" w:noHBand="0" w:noVBand="1"/>
      </w:tblPr>
      <w:tblGrid>
        <w:gridCol w:w="4766"/>
        <w:gridCol w:w="1534"/>
        <w:gridCol w:w="1444"/>
        <w:gridCol w:w="2051"/>
      </w:tblGrid>
      <w:tr w:rsidR="0058391B" w:rsidRPr="00F96C4E" w:rsidTr="00C02A28">
        <w:tc>
          <w:tcPr>
            <w:tcW w:w="5000" w:type="pct"/>
            <w:gridSpan w:val="4"/>
            <w:tcMar>
              <w:top w:w="15" w:type="dxa"/>
              <w:left w:w="45" w:type="dxa"/>
              <w:bottom w:w="15" w:type="dxa"/>
              <w:right w:w="45" w:type="dxa"/>
            </w:tcMar>
          </w:tcPr>
          <w:p w:rsidR="009D61A0" w:rsidRPr="00F96C4E" w:rsidRDefault="009D61A0">
            <w:pPr>
              <w:pStyle w:val="cb"/>
              <w:rPr>
                <w:lang w:val="ro-RO"/>
              </w:rPr>
            </w:pPr>
          </w:p>
          <w:p w:rsidR="0058391B" w:rsidRPr="00F96C4E" w:rsidRDefault="0058391B">
            <w:pPr>
              <w:pStyle w:val="cb"/>
              <w:rPr>
                <w:lang w:val="ro-RO"/>
              </w:rPr>
            </w:pPr>
            <w:r w:rsidRPr="00F96C4E">
              <w:rPr>
                <w:lang w:val="ro-RO"/>
              </w:rPr>
              <w:t>ANALIZA IMPACTULUI DE REGLEMENTARE</w:t>
            </w:r>
          </w:p>
          <w:p w:rsidR="0058391B" w:rsidRPr="00F96C4E" w:rsidRDefault="0058391B" w:rsidP="00982652">
            <w:pPr>
              <w:jc w:val="center"/>
              <w:rPr>
                <w:b/>
                <w:lang w:val="ro-RO"/>
              </w:rPr>
            </w:pPr>
            <w:r w:rsidRPr="00F96C4E">
              <w:rPr>
                <w:b/>
                <w:lang w:val="ro-RO"/>
              </w:rPr>
              <w:t xml:space="preserve">la proiectul </w:t>
            </w:r>
            <w:r w:rsidR="00982652">
              <w:rPr>
                <w:b/>
                <w:lang w:val="ro-RO"/>
              </w:rPr>
              <w:t xml:space="preserve">de hotărîre de </w:t>
            </w:r>
            <w:r w:rsidRPr="00F96C4E">
              <w:rPr>
                <w:b/>
                <w:lang w:val="ro-RO"/>
              </w:rPr>
              <w:t xml:space="preserve"> Guvern</w:t>
            </w:r>
            <w:r w:rsidR="00982652">
              <w:rPr>
                <w:b/>
                <w:lang w:val="ro-RO"/>
              </w:rPr>
              <w:t xml:space="preserve"> </w:t>
            </w:r>
            <w:r w:rsidRPr="00F96C4E">
              <w:rPr>
                <w:b/>
                <w:lang w:val="ro-RO"/>
              </w:rPr>
              <w:t xml:space="preserve"> </w:t>
            </w:r>
            <w:r w:rsidR="00982652" w:rsidRPr="00982652">
              <w:rPr>
                <w:b/>
                <w:lang w:val="ro-RO"/>
              </w:rPr>
              <w:t>pentru aprobarea Reglementării tehnice privind echipamentele individuale de protecție</w:t>
            </w:r>
          </w:p>
        </w:tc>
      </w:tr>
      <w:tr w:rsidR="007C3E53" w:rsidRPr="00F96C4E" w:rsidTr="00C02A28">
        <w:tc>
          <w:tcPr>
            <w:tcW w:w="2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rsidP="00676CE8">
            <w:pPr>
              <w:rPr>
                <w:lang w:val="ro-RO"/>
              </w:rPr>
            </w:pPr>
            <w:r w:rsidRPr="00F96C4E">
              <w:rPr>
                <w:b/>
                <w:bCs/>
                <w:lang w:val="ro-RO"/>
              </w:rPr>
              <w:t>Titlul analizei impactului</w:t>
            </w:r>
            <w:r w:rsidRPr="00F96C4E">
              <w:rPr>
                <w:b/>
                <w:bCs/>
                <w:lang w:val="ro-RO"/>
              </w:rPr>
              <w:br/>
            </w:r>
          </w:p>
        </w:tc>
        <w:tc>
          <w:tcPr>
            <w:tcW w:w="256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982652" w:rsidP="00E07FE1">
            <w:pPr>
              <w:tabs>
                <w:tab w:val="left" w:pos="540"/>
                <w:tab w:val="left" w:pos="567"/>
              </w:tabs>
              <w:rPr>
                <w:lang w:val="ro-RO"/>
              </w:rPr>
            </w:pPr>
            <w:r>
              <w:rPr>
                <w:lang w:val="ro-RO"/>
              </w:rPr>
              <w:t xml:space="preserve">Analiza de impact la proiectul de hotărîre de Guvern </w:t>
            </w:r>
            <w:r w:rsidRPr="00FC0D9D">
              <w:rPr>
                <w:lang w:val="ro-RO"/>
              </w:rPr>
              <w:t>pentru aprobarea Reglementării tehnice privind echipamentele individuale de protecție</w:t>
            </w:r>
          </w:p>
        </w:tc>
      </w:tr>
      <w:tr w:rsidR="007C3E53" w:rsidRPr="00F96C4E" w:rsidTr="00C02A28">
        <w:tc>
          <w:tcPr>
            <w:tcW w:w="2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pPr>
              <w:rPr>
                <w:lang w:val="ro-RO"/>
              </w:rPr>
            </w:pPr>
            <w:r w:rsidRPr="00F96C4E">
              <w:rPr>
                <w:b/>
                <w:bCs/>
                <w:lang w:val="ro-RO"/>
              </w:rPr>
              <w:t>Data:</w:t>
            </w:r>
          </w:p>
        </w:tc>
        <w:tc>
          <w:tcPr>
            <w:tcW w:w="256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rsidP="008B6FBA">
            <w:pPr>
              <w:rPr>
                <w:lang w:val="ro-RO"/>
              </w:rPr>
            </w:pPr>
            <w:r w:rsidRPr="00F96C4E">
              <w:rPr>
                <w:lang w:val="ro-RO"/>
              </w:rPr>
              <w:t>20</w:t>
            </w:r>
            <w:r w:rsidR="00982652">
              <w:rPr>
                <w:lang w:val="ro-RO"/>
              </w:rPr>
              <w:t>21</w:t>
            </w:r>
          </w:p>
        </w:tc>
      </w:tr>
      <w:tr w:rsidR="007C3E53" w:rsidRPr="00F96C4E" w:rsidTr="00C02A28">
        <w:tc>
          <w:tcPr>
            <w:tcW w:w="2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pPr>
              <w:rPr>
                <w:lang w:val="ro-RO"/>
              </w:rPr>
            </w:pPr>
            <w:r w:rsidRPr="00F96C4E">
              <w:rPr>
                <w:b/>
                <w:bCs/>
                <w:lang w:val="ro-RO"/>
              </w:rPr>
              <w:t>Autoritatea administraţiei publice autor:</w:t>
            </w:r>
          </w:p>
        </w:tc>
        <w:tc>
          <w:tcPr>
            <w:tcW w:w="256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rsidP="00A12528">
            <w:pPr>
              <w:rPr>
                <w:lang w:val="ro-RO"/>
              </w:rPr>
            </w:pPr>
            <w:r w:rsidRPr="00F96C4E">
              <w:rPr>
                <w:lang w:val="ro-RO"/>
              </w:rPr>
              <w:t>Ministerul Economiei</w:t>
            </w:r>
            <w:r w:rsidR="008B6FBA" w:rsidRPr="00F96C4E">
              <w:rPr>
                <w:lang w:val="ro-RO"/>
              </w:rPr>
              <w:t xml:space="preserve"> </w:t>
            </w:r>
          </w:p>
        </w:tc>
      </w:tr>
      <w:tr w:rsidR="007C3E53" w:rsidRPr="00F96C4E" w:rsidTr="00C02A28">
        <w:tc>
          <w:tcPr>
            <w:tcW w:w="2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pPr>
              <w:rPr>
                <w:lang w:val="ro-RO"/>
              </w:rPr>
            </w:pPr>
            <w:r w:rsidRPr="00F96C4E">
              <w:rPr>
                <w:b/>
                <w:bCs/>
                <w:lang w:val="ro-RO"/>
              </w:rPr>
              <w:t>Subdiviziunea:</w:t>
            </w:r>
          </w:p>
        </w:tc>
        <w:tc>
          <w:tcPr>
            <w:tcW w:w="256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rsidP="005C12F5">
            <w:pPr>
              <w:tabs>
                <w:tab w:val="left" w:pos="870"/>
              </w:tabs>
              <w:rPr>
                <w:lang w:val="ro-RO"/>
              </w:rPr>
            </w:pPr>
            <w:r w:rsidRPr="00F96C4E">
              <w:rPr>
                <w:lang w:val="ro-RO"/>
              </w:rPr>
              <w:t xml:space="preserve">Direcția </w:t>
            </w:r>
            <w:r w:rsidR="001444AE" w:rsidRPr="00F96C4E">
              <w:rPr>
                <w:lang w:val="ro-RO"/>
              </w:rPr>
              <w:t>infrastructura</w:t>
            </w:r>
            <w:r w:rsidR="00F71E66" w:rsidRPr="00F96C4E">
              <w:rPr>
                <w:lang w:val="ro-RO"/>
              </w:rPr>
              <w:t xml:space="preserve"> calității</w:t>
            </w:r>
            <w:r w:rsidR="001444AE" w:rsidRPr="00F96C4E">
              <w:rPr>
                <w:lang w:val="ro-RO"/>
              </w:rPr>
              <w:t xml:space="preserve"> și </w:t>
            </w:r>
            <w:r w:rsidR="005C12F5">
              <w:rPr>
                <w:lang w:val="ro-RO"/>
              </w:rPr>
              <w:t>supravegherea pieței</w:t>
            </w:r>
          </w:p>
        </w:tc>
      </w:tr>
      <w:tr w:rsidR="007C3E53" w:rsidRPr="00F96C4E" w:rsidTr="00C02A28">
        <w:tc>
          <w:tcPr>
            <w:tcW w:w="2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pPr>
              <w:rPr>
                <w:lang w:val="ro-RO"/>
              </w:rPr>
            </w:pPr>
            <w:r w:rsidRPr="00F96C4E">
              <w:rPr>
                <w:b/>
                <w:bCs/>
                <w:lang w:val="ro-RO"/>
              </w:rPr>
              <w:t>Persoana responsabilă şi informaţia de contact:</w:t>
            </w:r>
          </w:p>
        </w:tc>
        <w:tc>
          <w:tcPr>
            <w:tcW w:w="256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82652" w:rsidRPr="00982652" w:rsidRDefault="00982652" w:rsidP="00982652">
            <w:pPr>
              <w:rPr>
                <w:lang w:val="ro-RO"/>
              </w:rPr>
            </w:pPr>
            <w:r w:rsidRPr="00982652">
              <w:rPr>
                <w:lang w:val="ro-RO"/>
              </w:rPr>
              <w:t>Viorica Bejan, tel. (022) 250-642</w:t>
            </w:r>
          </w:p>
          <w:p w:rsidR="0058391B" w:rsidRPr="00F96C4E" w:rsidRDefault="00982652" w:rsidP="00982652">
            <w:pPr>
              <w:rPr>
                <w:lang w:val="ro-RO"/>
              </w:rPr>
            </w:pPr>
            <w:r w:rsidRPr="00982652">
              <w:rPr>
                <w:lang w:val="ro-RO"/>
              </w:rPr>
              <w:t>email: viorica.bejan@mei.gov.md</w:t>
            </w:r>
          </w:p>
        </w:tc>
      </w:tr>
      <w:tr w:rsidR="0058391B" w:rsidRPr="00F96C4E" w:rsidTr="00C02A28">
        <w:trPr>
          <w:trHeight w:val="444"/>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1444AE" w:rsidP="00697015">
            <w:pPr>
              <w:rPr>
                <w:lang w:val="ro-RO"/>
              </w:rPr>
            </w:pPr>
            <w:r w:rsidRPr="00F96C4E">
              <w:rPr>
                <w:b/>
                <w:bCs/>
                <w:lang w:val="ro-RO"/>
              </w:rPr>
              <w:t>Compartimentele analizei impactului</w:t>
            </w:r>
          </w:p>
        </w:tc>
      </w:tr>
      <w:tr w:rsidR="0058391B"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07304C">
            <w:pPr>
              <w:rPr>
                <w:lang w:val="ro-RO"/>
              </w:rPr>
            </w:pPr>
            <w:r w:rsidRPr="00F96C4E">
              <w:rPr>
                <w:b/>
                <w:bCs/>
                <w:lang w:val="ro-RO"/>
              </w:rPr>
              <w:t>1</w:t>
            </w:r>
            <w:r w:rsidR="0058391B" w:rsidRPr="00F96C4E">
              <w:rPr>
                <w:b/>
                <w:bCs/>
                <w:lang w:val="ro-RO"/>
              </w:rPr>
              <w:t>. Definirea problemei</w:t>
            </w:r>
          </w:p>
        </w:tc>
      </w:tr>
      <w:tr w:rsidR="00697015"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97015" w:rsidRPr="005228D0" w:rsidRDefault="00697015">
            <w:pPr>
              <w:rPr>
                <w:bCs/>
                <w:i/>
                <w:lang w:val="ro-RO"/>
              </w:rPr>
            </w:pPr>
            <w:r w:rsidRPr="005228D0">
              <w:rPr>
                <w:bCs/>
                <w:i/>
                <w:lang w:val="ro-RO"/>
              </w:rPr>
              <w:t xml:space="preserve">a) Determinați clar şi concis problema şi/sau problemele care urmează să fie </w:t>
            </w:r>
            <w:proofErr w:type="spellStart"/>
            <w:r w:rsidRPr="005228D0">
              <w:rPr>
                <w:bCs/>
                <w:i/>
                <w:lang w:val="ro-RO"/>
              </w:rPr>
              <w:t>soluţionate</w:t>
            </w:r>
            <w:proofErr w:type="spellEnd"/>
          </w:p>
        </w:tc>
      </w:tr>
      <w:tr w:rsidR="00B563ED"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5303" w:rsidRDefault="00982652" w:rsidP="00630499">
            <w:pPr>
              <w:tabs>
                <w:tab w:val="left" w:pos="490"/>
              </w:tabs>
              <w:ind w:left="252" w:right="104"/>
              <w:jc w:val="both"/>
              <w:rPr>
                <w:lang w:val="ro-RO"/>
              </w:rPr>
            </w:pPr>
            <w:r w:rsidRPr="00982652">
              <w:rPr>
                <w:lang w:val="ro-RO"/>
              </w:rPr>
              <w:t>Analiza de impact și  pos</w:t>
            </w:r>
            <w:r w:rsidR="003B5303">
              <w:rPr>
                <w:lang w:val="ro-RO"/>
              </w:rPr>
              <w:t xml:space="preserve">ibila intervenție se bazează pe analiza aplicării cadrului legal existent privind echipamentele individuale de protecție. </w:t>
            </w:r>
            <w:r w:rsidR="003B5303" w:rsidRPr="003B5303">
              <w:rPr>
                <w:lang w:val="ro-RO"/>
              </w:rPr>
              <w:t>Actualmente este în vigoare Hotărîrea Guvernului nr.1289/2016 pentru aprobarea Reglementării tehnice privind echipamentul individual de protecție, care transpune Directiva Comunităţii Europene 89/686/CEE din 21 decembrie 1989 privind ajustarea legislaţiei statelor membre referitoare la echipamentul individual de protecţie</w:t>
            </w:r>
            <w:r w:rsidR="00654F98">
              <w:rPr>
                <w:lang w:val="ro-RO"/>
              </w:rPr>
              <w:t xml:space="preserve"> (EIP)</w:t>
            </w:r>
            <w:r w:rsidR="003B5303" w:rsidRPr="003B5303">
              <w:rPr>
                <w:lang w:val="ro-RO"/>
              </w:rPr>
              <w:t xml:space="preserve">.   Directiva Comunităţii Europene 89/686/CEE a fost abrogată  la data de 21 aprilie 2018 odată cu punerea în aplicare  a Regulamentului  (UE) 2016/425. </w:t>
            </w:r>
          </w:p>
          <w:p w:rsidR="003B5303" w:rsidRDefault="00CA2605" w:rsidP="00630499">
            <w:pPr>
              <w:tabs>
                <w:tab w:val="left" w:pos="490"/>
              </w:tabs>
              <w:ind w:left="252" w:right="104"/>
              <w:jc w:val="both"/>
              <w:rPr>
                <w:lang w:val="ro-RO"/>
              </w:rPr>
            </w:pPr>
            <w:r w:rsidRPr="00CA2605">
              <w:rPr>
                <w:lang w:val="ro-RO"/>
              </w:rPr>
              <w:t xml:space="preserve">Urmare a analizei cadrului legal existent  și modului de punere în aplicare a acestuia </w:t>
            </w:r>
            <w:r>
              <w:rPr>
                <w:lang w:val="ro-RO"/>
              </w:rPr>
              <w:t>este necesară abordarea următoarelor aspecte</w:t>
            </w:r>
            <w:r w:rsidRPr="00CA2605">
              <w:rPr>
                <w:lang w:val="ro-RO"/>
              </w:rPr>
              <w:t>:</w:t>
            </w:r>
          </w:p>
          <w:p w:rsidR="00CA2605" w:rsidRPr="00CA2605" w:rsidRDefault="00CA2605" w:rsidP="00654F98">
            <w:pPr>
              <w:pStyle w:val="ListParagraph"/>
              <w:numPr>
                <w:ilvl w:val="0"/>
                <w:numId w:val="24"/>
              </w:numPr>
              <w:tabs>
                <w:tab w:val="left" w:pos="394"/>
              </w:tabs>
              <w:ind w:left="252" w:right="104" w:firstLine="0"/>
              <w:jc w:val="both"/>
              <w:rPr>
                <w:lang w:val="ro-RO"/>
              </w:rPr>
            </w:pPr>
            <w:r>
              <w:rPr>
                <w:lang w:val="ro-RO"/>
              </w:rPr>
              <w:t xml:space="preserve">alinierea cerințelor </w:t>
            </w:r>
            <w:r w:rsidR="00AB7059">
              <w:rPr>
                <w:lang w:val="ro-RO"/>
              </w:rPr>
              <w:t>hotărârii Guvernului</w:t>
            </w:r>
            <w:r>
              <w:rPr>
                <w:lang w:val="ro-RO"/>
              </w:rPr>
              <w:t xml:space="preserve"> cu prevederile Legii nr. 235/2011 privind </w:t>
            </w:r>
            <w:r w:rsidRPr="00CA2605">
              <w:rPr>
                <w:lang w:val="ro-RO"/>
              </w:rPr>
              <w:t>activitățile de acreditare și evaluare a conformităț</w:t>
            </w:r>
            <w:r>
              <w:rPr>
                <w:lang w:val="ro-RO"/>
              </w:rPr>
              <w:t xml:space="preserve">ii și </w:t>
            </w:r>
            <w:r w:rsidRPr="00CA2605">
              <w:rPr>
                <w:lang w:val="ro-RO"/>
              </w:rPr>
              <w:t xml:space="preserve"> Leg</w:t>
            </w:r>
            <w:r>
              <w:rPr>
                <w:lang w:val="ro-RO"/>
              </w:rPr>
              <w:t>ii</w:t>
            </w:r>
            <w:r w:rsidRPr="00CA2605">
              <w:rPr>
                <w:lang w:val="ro-RO"/>
              </w:rPr>
              <w:t xml:space="preserve"> nr. 7/2016 privind supravegherea pieței în ceea ce privește comercia</w:t>
            </w:r>
            <w:r>
              <w:rPr>
                <w:lang w:val="ro-RO"/>
              </w:rPr>
              <w:t>lizarea produselor nealimentare.</w:t>
            </w:r>
          </w:p>
          <w:p w:rsidR="00654F98" w:rsidRDefault="00654F98" w:rsidP="00654F98">
            <w:pPr>
              <w:ind w:left="252" w:right="97"/>
              <w:jc w:val="both"/>
              <w:rPr>
                <w:noProof/>
              </w:rPr>
            </w:pPr>
            <w:r>
              <w:rPr>
                <w:noProof/>
              </w:rPr>
              <w:t xml:space="preserve">Un șir de </w:t>
            </w:r>
            <w:r w:rsidR="00CA2605" w:rsidRPr="000C2E1E">
              <w:rPr>
                <w:noProof/>
              </w:rPr>
              <w:t xml:space="preserve"> pro</w:t>
            </w:r>
            <w:r>
              <w:rPr>
                <w:noProof/>
              </w:rPr>
              <w:t xml:space="preserve">blemele generale identificate la </w:t>
            </w:r>
            <w:r w:rsidR="00CA2605" w:rsidRPr="000C2E1E">
              <w:rPr>
                <w:noProof/>
              </w:rPr>
              <w:t xml:space="preserve"> </w:t>
            </w:r>
            <w:r>
              <w:rPr>
                <w:noProof/>
              </w:rPr>
              <w:t xml:space="preserve">aplicarea legislației privind echipamentele individuale de protecție </w:t>
            </w:r>
            <w:r w:rsidR="00CA2605" w:rsidRPr="000C2E1E">
              <w:rPr>
                <w:noProof/>
              </w:rPr>
              <w:t>au fost</w:t>
            </w:r>
            <w:r>
              <w:rPr>
                <w:noProof/>
              </w:rPr>
              <w:t xml:space="preserve"> </w:t>
            </w:r>
            <w:r w:rsidR="00942403">
              <w:rPr>
                <w:noProof/>
              </w:rPr>
              <w:t>stabilite</w:t>
            </w:r>
            <w:r>
              <w:rPr>
                <w:noProof/>
              </w:rPr>
              <w:t xml:space="preserve"> în contextul punerii în aplicare a prevederilor legale menționate supra. </w:t>
            </w:r>
            <w:r w:rsidR="00E97CDC">
              <w:rPr>
                <w:noProof/>
              </w:rPr>
              <w:t>În așa mod se</w:t>
            </w:r>
            <w:r>
              <w:rPr>
                <w:noProof/>
              </w:rPr>
              <w:t xml:space="preserve"> observă, că EIP puse la dispoziție pe piață nu sînt conforme cu cerințele </w:t>
            </w:r>
            <w:r w:rsidR="00BE22B4">
              <w:rPr>
                <w:noProof/>
              </w:rPr>
              <w:t>hotărârii Guvernului</w:t>
            </w:r>
            <w:r>
              <w:rPr>
                <w:noProof/>
              </w:rPr>
              <w:t xml:space="preserve"> </w:t>
            </w:r>
            <w:r w:rsidR="00331175">
              <w:rPr>
                <w:noProof/>
              </w:rPr>
              <w:t>actuale</w:t>
            </w:r>
            <w:r>
              <w:rPr>
                <w:noProof/>
              </w:rPr>
              <w:t>. Problema se datorează un</w:t>
            </w:r>
            <w:r w:rsidR="00711C3A">
              <w:rPr>
                <w:noProof/>
              </w:rPr>
              <w:t>or</w:t>
            </w:r>
            <w:r>
              <w:rPr>
                <w:noProof/>
              </w:rPr>
              <w:t xml:space="preserve"> factori, cum ar fi:</w:t>
            </w:r>
          </w:p>
          <w:p w:rsidR="00654F98" w:rsidRDefault="00654F98" w:rsidP="00654F98">
            <w:pPr>
              <w:pStyle w:val="ListParagraph"/>
              <w:numPr>
                <w:ilvl w:val="0"/>
                <w:numId w:val="25"/>
              </w:numPr>
              <w:ind w:right="97"/>
              <w:jc w:val="both"/>
              <w:rPr>
                <w:noProof/>
              </w:rPr>
            </w:pPr>
            <w:r>
              <w:rPr>
                <w:noProof/>
              </w:rPr>
              <w:t xml:space="preserve">obiectul de reglementare din Hotărârea Guvernului </w:t>
            </w:r>
            <w:r w:rsidRPr="00654F98">
              <w:rPr>
                <w:noProof/>
              </w:rPr>
              <w:t xml:space="preserve">nr.1289/2016 </w:t>
            </w:r>
            <w:r>
              <w:rPr>
                <w:noProof/>
              </w:rPr>
              <w:t xml:space="preserve">este stabilit incorect, care exclude unele produse importante </w:t>
            </w:r>
            <w:r w:rsidR="00E97CDC">
              <w:rPr>
                <w:noProof/>
              </w:rPr>
              <w:t xml:space="preserve">cu </w:t>
            </w:r>
            <w:r>
              <w:rPr>
                <w:noProof/>
              </w:rPr>
              <w:t xml:space="preserve"> impa</w:t>
            </w:r>
            <w:r w:rsidR="00711C3A">
              <w:rPr>
                <w:noProof/>
              </w:rPr>
              <w:t>ct asupra siguranței oamenilor;</w:t>
            </w:r>
          </w:p>
          <w:p w:rsidR="00711C3A" w:rsidRDefault="00711C3A" w:rsidP="00654F98">
            <w:pPr>
              <w:pStyle w:val="ListParagraph"/>
              <w:numPr>
                <w:ilvl w:val="0"/>
                <w:numId w:val="25"/>
              </w:numPr>
              <w:ind w:right="97"/>
              <w:jc w:val="both"/>
              <w:rPr>
                <w:noProof/>
              </w:rPr>
            </w:pPr>
            <w:r>
              <w:rPr>
                <w:noProof/>
              </w:rPr>
              <w:t>cerințele tehnice sunt pe de o parte redundante și inutile pentru scopul final, pe de altă parte multe sunt confuze (</w:t>
            </w:r>
            <w:r w:rsidR="00331175">
              <w:rPr>
                <w:noProof/>
              </w:rPr>
              <w:t xml:space="preserve">de </w:t>
            </w:r>
            <w:r>
              <w:rPr>
                <w:noProof/>
              </w:rPr>
              <w:t>ex</w:t>
            </w:r>
            <w:r w:rsidR="00331175">
              <w:rPr>
                <w:noProof/>
              </w:rPr>
              <w:t>emplu</w:t>
            </w:r>
            <w:r>
              <w:rPr>
                <w:noProof/>
              </w:rPr>
              <w:t xml:space="preserve"> cerințe pentru poluare fonică, </w:t>
            </w:r>
            <w:r w:rsidR="00331175">
              <w:rPr>
                <w:noProof/>
              </w:rPr>
              <w:t>cerințe de confort</w:t>
            </w:r>
            <w:r>
              <w:rPr>
                <w:noProof/>
              </w:rPr>
              <w:t xml:space="preserve"> etc.);</w:t>
            </w:r>
          </w:p>
          <w:p w:rsidR="00711C3A" w:rsidRDefault="00331175" w:rsidP="00654F98">
            <w:pPr>
              <w:pStyle w:val="ListParagraph"/>
              <w:numPr>
                <w:ilvl w:val="0"/>
                <w:numId w:val="25"/>
              </w:numPr>
              <w:ind w:right="97"/>
              <w:jc w:val="both"/>
              <w:rPr>
                <w:noProof/>
              </w:rPr>
            </w:pPr>
            <w:r>
              <w:rPr>
                <w:noProof/>
              </w:rPr>
              <w:t xml:space="preserve">neclarități în privința documentației tehnice </w:t>
            </w:r>
            <w:r w:rsidR="00711C3A">
              <w:rPr>
                <w:noProof/>
              </w:rPr>
              <w:t>și proc</w:t>
            </w:r>
            <w:r>
              <w:rPr>
                <w:noProof/>
              </w:rPr>
              <w:t>edurilor</w:t>
            </w:r>
            <w:r w:rsidR="00711C3A">
              <w:rPr>
                <w:noProof/>
              </w:rPr>
              <w:t xml:space="preserve"> de evaluare a conformității (dosarul produsului), ceea ce îngreunează supravegherea pieței;</w:t>
            </w:r>
          </w:p>
          <w:p w:rsidR="00711C3A" w:rsidRDefault="00711C3A" w:rsidP="00711C3A">
            <w:pPr>
              <w:pStyle w:val="ListParagraph"/>
              <w:numPr>
                <w:ilvl w:val="0"/>
                <w:numId w:val="25"/>
              </w:numPr>
              <w:ind w:left="252" w:right="97"/>
              <w:jc w:val="both"/>
              <w:rPr>
                <w:noProof/>
              </w:rPr>
            </w:pPr>
            <w:r>
              <w:rPr>
                <w:noProof/>
              </w:rPr>
              <w:t xml:space="preserve">-     lipsa listei aprobate a </w:t>
            </w:r>
            <w:r w:rsidRPr="00711C3A">
              <w:rPr>
                <w:noProof/>
              </w:rPr>
              <w:t xml:space="preserve"> standardelor moldovenești care adoptă standardele </w:t>
            </w:r>
            <w:r>
              <w:rPr>
                <w:noProof/>
              </w:rPr>
              <w:t xml:space="preserve">europene </w:t>
            </w:r>
            <w:r w:rsidRPr="00711C3A">
              <w:rPr>
                <w:noProof/>
              </w:rPr>
              <w:t>armonizate</w:t>
            </w:r>
            <w:r>
              <w:rPr>
                <w:noProof/>
              </w:rPr>
              <w:t xml:space="preserve"> </w:t>
            </w:r>
          </w:p>
          <w:p w:rsidR="00711C3A" w:rsidRDefault="00711C3A" w:rsidP="00711C3A">
            <w:pPr>
              <w:pStyle w:val="ListParagraph"/>
              <w:ind w:left="612" w:right="97"/>
              <w:jc w:val="both"/>
              <w:rPr>
                <w:noProof/>
              </w:rPr>
            </w:pPr>
            <w:r w:rsidRPr="00711C3A">
              <w:rPr>
                <w:noProof/>
              </w:rPr>
              <w:t>ale căror referințe au fost publicate în Jurnalul Oficial al Uniunii Europene</w:t>
            </w:r>
            <w:r w:rsidR="0078162A">
              <w:rPr>
                <w:noProof/>
              </w:rPr>
              <w:t>;</w:t>
            </w:r>
          </w:p>
          <w:p w:rsidR="0078162A" w:rsidRDefault="0078162A" w:rsidP="0078162A">
            <w:pPr>
              <w:pStyle w:val="ListParagraph"/>
              <w:numPr>
                <w:ilvl w:val="0"/>
                <w:numId w:val="25"/>
              </w:numPr>
              <w:ind w:right="97"/>
              <w:jc w:val="both"/>
              <w:rPr>
                <w:noProof/>
              </w:rPr>
            </w:pPr>
            <w:r>
              <w:rPr>
                <w:noProof/>
              </w:rPr>
              <w:t xml:space="preserve">lipsa preluării în legislația națională a normelor stabilite de </w:t>
            </w:r>
            <w:r w:rsidRPr="0078162A">
              <w:rPr>
                <w:noProof/>
              </w:rPr>
              <w:t>Regulamentul  (UE) 2016/425</w:t>
            </w:r>
            <w:r>
              <w:rPr>
                <w:noProof/>
              </w:rPr>
              <w:t>.</w:t>
            </w:r>
          </w:p>
          <w:p w:rsidR="00CA2605" w:rsidRDefault="00E97CDC" w:rsidP="00E97CDC">
            <w:pPr>
              <w:pStyle w:val="ListParagraph"/>
              <w:ind w:left="252" w:right="97"/>
              <w:jc w:val="both"/>
              <w:rPr>
                <w:noProof/>
              </w:rPr>
            </w:pPr>
            <w:r>
              <w:rPr>
                <w:noProof/>
              </w:rPr>
              <w:t xml:space="preserve">2) </w:t>
            </w:r>
            <w:r w:rsidR="00CA2605" w:rsidRPr="000C2E1E">
              <w:rPr>
                <w:noProof/>
              </w:rPr>
              <w:t>EIP introdus</w:t>
            </w:r>
            <w:r w:rsidR="00711C3A">
              <w:rPr>
                <w:noProof/>
              </w:rPr>
              <w:t>e</w:t>
            </w:r>
            <w:r w:rsidR="00CA2605" w:rsidRPr="000C2E1E">
              <w:rPr>
                <w:noProof/>
              </w:rPr>
              <w:t xml:space="preserve"> pe piață  nu asigură un nivel de protecție adecvat</w:t>
            </w:r>
            <w:r w:rsidR="007B647C">
              <w:rPr>
                <w:noProof/>
              </w:rPr>
              <w:t xml:space="preserve"> pentru consumatori și utilazorii finali</w:t>
            </w:r>
            <w:r w:rsidR="00CA2605" w:rsidRPr="000C2E1E">
              <w:rPr>
                <w:noProof/>
              </w:rPr>
              <w:t xml:space="preserve">, </w:t>
            </w:r>
            <w:r w:rsidR="00711C3A">
              <w:rPr>
                <w:noProof/>
              </w:rPr>
              <w:t>iar agenții economici  se confruntă</w:t>
            </w:r>
            <w:r w:rsidR="00CA2605" w:rsidRPr="000C2E1E">
              <w:rPr>
                <w:noProof/>
              </w:rPr>
              <w:t xml:space="preserve"> cu problema cadrului juridic </w:t>
            </w:r>
            <w:r w:rsidR="00331175">
              <w:rPr>
                <w:noProof/>
              </w:rPr>
              <w:t xml:space="preserve">susceptibil </w:t>
            </w:r>
            <w:r w:rsidR="00CA2605" w:rsidRPr="000C2E1E">
              <w:rPr>
                <w:noProof/>
              </w:rPr>
              <w:t>și uneori incoerent.</w:t>
            </w:r>
          </w:p>
          <w:p w:rsidR="0018723A" w:rsidRDefault="00A90932" w:rsidP="00630499">
            <w:pPr>
              <w:tabs>
                <w:tab w:val="left" w:pos="490"/>
              </w:tabs>
              <w:ind w:left="252" w:right="104"/>
              <w:jc w:val="both"/>
              <w:rPr>
                <w:lang w:val="ro-RO"/>
              </w:rPr>
            </w:pPr>
            <w:r>
              <w:rPr>
                <w:lang w:val="ro-RO"/>
              </w:rPr>
              <w:t>3</w:t>
            </w:r>
            <w:r w:rsidR="007B647C">
              <w:rPr>
                <w:lang w:val="ro-RO"/>
              </w:rPr>
              <w:t>) r</w:t>
            </w:r>
            <w:r w:rsidR="0018723A">
              <w:rPr>
                <w:lang w:val="ro-RO"/>
              </w:rPr>
              <w:t xml:space="preserve">iscuri privind neasigurarea </w:t>
            </w:r>
            <w:r w:rsidR="0018723A" w:rsidRPr="0018723A">
              <w:rPr>
                <w:lang w:val="ro-RO"/>
              </w:rPr>
              <w:t>protecţie</w:t>
            </w:r>
            <w:r w:rsidR="0018723A">
              <w:rPr>
                <w:lang w:val="ro-RO"/>
              </w:rPr>
              <w:t xml:space="preserve">i </w:t>
            </w:r>
            <w:r w:rsidR="0018723A" w:rsidRPr="0018723A">
              <w:rPr>
                <w:lang w:val="ro-RO"/>
              </w:rPr>
              <w:t xml:space="preserve"> intereselor publice, precum sănătatea şi siguranţa în general, sănătatea şi siguranţa la locul de muncă, protecţia </w:t>
            </w:r>
            <w:r w:rsidR="00331175">
              <w:rPr>
                <w:lang w:val="ro-RO"/>
              </w:rPr>
              <w:t xml:space="preserve">utilizatorilor, </w:t>
            </w:r>
            <w:r w:rsidR="0018723A" w:rsidRPr="0018723A">
              <w:rPr>
                <w:lang w:val="ro-RO"/>
              </w:rPr>
              <w:t>consumatorilor</w:t>
            </w:r>
            <w:r w:rsidR="0018723A">
              <w:rPr>
                <w:lang w:val="ro-RO"/>
              </w:rPr>
              <w:t xml:space="preserve"> prin plasarea pe piață a EIP care nu </w:t>
            </w:r>
            <w:r w:rsidR="0018723A" w:rsidRPr="0018723A">
              <w:rPr>
                <w:lang w:val="ro-RO"/>
              </w:rPr>
              <w:t xml:space="preserve">se îndeplinesc cerinţele esenţiale </w:t>
            </w:r>
            <w:r w:rsidR="00331175">
              <w:rPr>
                <w:lang w:val="ro-RO"/>
              </w:rPr>
              <w:t>stabilite în r</w:t>
            </w:r>
            <w:r w:rsidR="0018723A">
              <w:rPr>
                <w:lang w:val="ro-RO"/>
              </w:rPr>
              <w:t>eglementarea tehnică.</w:t>
            </w:r>
          </w:p>
          <w:p w:rsidR="00982652" w:rsidRPr="00982652" w:rsidRDefault="00A90932" w:rsidP="00630499">
            <w:pPr>
              <w:tabs>
                <w:tab w:val="left" w:pos="490"/>
              </w:tabs>
              <w:ind w:left="252" w:right="104"/>
              <w:jc w:val="both"/>
              <w:rPr>
                <w:lang w:val="ro-RO"/>
              </w:rPr>
            </w:pPr>
            <w:r>
              <w:rPr>
                <w:lang w:val="ro-RO"/>
              </w:rPr>
              <w:t>4</w:t>
            </w:r>
            <w:r w:rsidR="007B647C">
              <w:rPr>
                <w:lang w:val="ro-RO"/>
              </w:rPr>
              <w:t>) r</w:t>
            </w:r>
            <w:r w:rsidR="00982652" w:rsidRPr="00982652">
              <w:rPr>
                <w:lang w:val="ro-RO"/>
              </w:rPr>
              <w:t>iscul de nerespectare a angajamentelor  Republicii Moldova stabilite prin Acordul de Asociere cu Uniunea Europeana prin nearmonizarea cadrului normativ național cu acquis-</w:t>
            </w:r>
            <w:proofErr w:type="spellStart"/>
            <w:r w:rsidR="00982652" w:rsidRPr="00982652">
              <w:rPr>
                <w:lang w:val="ro-RO"/>
              </w:rPr>
              <w:t>ul</w:t>
            </w:r>
            <w:proofErr w:type="spellEnd"/>
            <w:r w:rsidR="00982652" w:rsidRPr="00982652">
              <w:rPr>
                <w:lang w:val="ro-RO"/>
              </w:rPr>
              <w:t xml:space="preserve"> comunitar</w:t>
            </w:r>
            <w:r w:rsidR="0018723A">
              <w:rPr>
                <w:lang w:val="ro-RO"/>
              </w:rPr>
              <w:t>.</w:t>
            </w:r>
          </w:p>
          <w:p w:rsidR="008A2ADF" w:rsidRPr="00F96C4E" w:rsidRDefault="008A2ADF" w:rsidP="003A5D5F">
            <w:pPr>
              <w:jc w:val="both"/>
              <w:rPr>
                <w:bCs/>
                <w:lang w:val="ro-RO"/>
              </w:rPr>
            </w:pPr>
          </w:p>
        </w:tc>
      </w:tr>
      <w:tr w:rsidR="00B563ED" w:rsidRPr="00F96C4E" w:rsidTr="00C02A28">
        <w:trPr>
          <w:trHeight w:val="960"/>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563ED" w:rsidRPr="00F96C4E" w:rsidRDefault="006217B7" w:rsidP="00B563ED">
            <w:pPr>
              <w:tabs>
                <w:tab w:val="left" w:pos="490"/>
              </w:tabs>
              <w:jc w:val="both"/>
              <w:rPr>
                <w:lang w:val="ro-RO"/>
              </w:rPr>
            </w:pPr>
            <w:r w:rsidRPr="00630499">
              <w:rPr>
                <w:i/>
                <w:lang w:val="ro-RO"/>
              </w:rPr>
              <w:t>b)</w:t>
            </w:r>
            <w:r w:rsidRPr="005228D0">
              <w:rPr>
                <w:i/>
                <w:lang w:val="ro-RO"/>
              </w:rPr>
              <w:t xml:space="preserve"> Descrieți problema, persoanele/</w:t>
            </w:r>
            <w:proofErr w:type="spellStart"/>
            <w:r w:rsidRPr="005228D0">
              <w:rPr>
                <w:i/>
                <w:lang w:val="ro-RO"/>
              </w:rPr>
              <w:t>entităţile</w:t>
            </w:r>
            <w:proofErr w:type="spellEnd"/>
            <w:r w:rsidRPr="005228D0">
              <w:rPr>
                <w:i/>
                <w:lang w:val="ro-RO"/>
              </w:rPr>
              <w:t xml:space="preserve"> afectate și cele care contribuie la apariția problemei, cu justificarea necesității schimbării situaţiei curente şi viitoare, în baza dovezilor şi datelor colectate și examinate.</w:t>
            </w:r>
          </w:p>
        </w:tc>
      </w:tr>
      <w:tr w:rsidR="000576EE" w:rsidRPr="00F96C4E" w:rsidTr="00695917">
        <w:trPr>
          <w:trHeight w:val="1252"/>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B647C" w:rsidRDefault="007B647C" w:rsidP="007B647C">
            <w:pPr>
              <w:pStyle w:val="NormalWeb"/>
              <w:ind w:left="142" w:right="141" w:firstLine="0"/>
              <w:rPr>
                <w:lang w:val="ro-RO"/>
              </w:rPr>
            </w:pPr>
            <w:r>
              <w:rPr>
                <w:lang w:val="ro-RO"/>
              </w:rPr>
              <w:lastRenderedPageBreak/>
              <w:t>Prerogativa principală a statului și a legiuitorului în raport cu activitățile economice</w:t>
            </w:r>
            <w:r w:rsidR="00BE22B4">
              <w:rPr>
                <w:lang w:val="ro-RO"/>
              </w:rPr>
              <w:t>,</w:t>
            </w:r>
            <w:r>
              <w:rPr>
                <w:lang w:val="ro-RO"/>
              </w:rPr>
              <w:t xml:space="preserve">  care au un grad sporit de risc pentru si</w:t>
            </w:r>
            <w:r w:rsidR="00BE22B4">
              <w:rPr>
                <w:lang w:val="ro-RO"/>
              </w:rPr>
              <w:t xml:space="preserve">guranța și sănătatea populației, </w:t>
            </w:r>
            <w:r>
              <w:rPr>
                <w:lang w:val="ro-RO"/>
              </w:rPr>
              <w:t xml:space="preserve">este stabilirea unor cerințe  de sănătate și securitate pe care trebuie să le satisfacă EIP. În acest sens </w:t>
            </w:r>
            <w:r w:rsidRPr="00960F63">
              <w:rPr>
                <w:lang w:val="ro-RO"/>
              </w:rPr>
              <w:t xml:space="preserve">EIP sunt puse la dispoziție pe piață numai dacă respectă </w:t>
            </w:r>
            <w:r>
              <w:rPr>
                <w:lang w:val="ro-RO"/>
              </w:rPr>
              <w:t>cerințele respective</w:t>
            </w:r>
            <w:r w:rsidRPr="00960F63">
              <w:rPr>
                <w:lang w:val="ro-RO"/>
              </w:rPr>
              <w:t xml:space="preserve"> și nu pun în pericol sănătatea sau securitatea persoanelor, a animalelor domestice sau a bunurilor,  atunci când sunt întreținute corect și utilizate în scopul pentru care au fost proiectate</w:t>
            </w:r>
            <w:r>
              <w:rPr>
                <w:lang w:val="ro-RO"/>
              </w:rPr>
              <w:t xml:space="preserve">. </w:t>
            </w:r>
          </w:p>
          <w:p w:rsidR="007B647C" w:rsidRDefault="007B647C" w:rsidP="007B647C">
            <w:pPr>
              <w:pStyle w:val="NormalWeb"/>
              <w:ind w:left="142" w:right="141" w:firstLine="0"/>
              <w:rPr>
                <w:lang w:val="ro-RO"/>
              </w:rPr>
            </w:pPr>
          </w:p>
          <w:p w:rsidR="007B647C" w:rsidRDefault="007B647C" w:rsidP="007B647C">
            <w:pPr>
              <w:pStyle w:val="NormalWeb"/>
              <w:ind w:left="142" w:right="141" w:firstLine="0"/>
              <w:rPr>
                <w:lang w:val="ro-RO"/>
              </w:rPr>
            </w:pPr>
            <w:r w:rsidRPr="007329EA">
              <w:rPr>
                <w:lang w:val="ro-RO"/>
              </w:rPr>
              <w:t xml:space="preserve">Asigurarea </w:t>
            </w:r>
            <w:r>
              <w:rPr>
                <w:lang w:val="ro-RO"/>
              </w:rPr>
              <w:t xml:space="preserve">măsurilor de prevenire și protecție necesare excluderii sau diminuării la maxim a factorilor de risc de accidentare sau îmbolnăvire profesională presupune activități de evaluare a riscurilor și alegerea măsurilor de protecție adecvate pentru protecția sănătății </w:t>
            </w:r>
            <w:r w:rsidR="00474889">
              <w:rPr>
                <w:lang w:val="ro-RO"/>
              </w:rPr>
              <w:t>utilizatorilor</w:t>
            </w:r>
            <w:r>
              <w:rPr>
                <w:lang w:val="ro-RO"/>
              </w:rPr>
              <w:t xml:space="preserve"> și garantarea securității lor la locul de muncă, recomandând măsuri pentru prevenire și protecție împotriva riscurilor profesionale în condițiile utilizării </w:t>
            </w:r>
            <w:r w:rsidR="00474889">
              <w:rPr>
                <w:lang w:val="ro-RO"/>
              </w:rPr>
              <w:t>adecvate a EIP</w:t>
            </w:r>
            <w:r>
              <w:rPr>
                <w:lang w:val="ro-RO"/>
              </w:rPr>
              <w:t xml:space="preserve">. </w:t>
            </w:r>
            <w:r w:rsidRPr="0094636A">
              <w:rPr>
                <w:lang w:val="ro-RO"/>
              </w:rPr>
              <w:t xml:space="preserve">Astfel pentru a asigura </w:t>
            </w:r>
            <w:r>
              <w:rPr>
                <w:lang w:val="ro-RO"/>
              </w:rPr>
              <w:t xml:space="preserve">siguranța și sănătatea </w:t>
            </w:r>
            <w:r w:rsidRPr="0094636A">
              <w:rPr>
                <w:lang w:val="ro-RO"/>
              </w:rPr>
              <w:t xml:space="preserve"> populației și dezvoltarea economică sustenabilă, este important ca legiuitorul, utilizând cele mai bune practici și cele mai eficiente abordări în plan de structuri instituționale și procedurale, să impună un nivel de vigilență și securitate care să fie suficient pentru a menține un risc scăzut de  accidentare sau îmbolnăvir</w:t>
            </w:r>
            <w:r>
              <w:rPr>
                <w:lang w:val="ro-RO"/>
              </w:rPr>
              <w:t>i</w:t>
            </w:r>
            <w:r w:rsidR="00331175">
              <w:rPr>
                <w:lang w:val="ro-RO"/>
              </w:rPr>
              <w:t>, inclusiv profesionale</w:t>
            </w:r>
            <w:r>
              <w:rPr>
                <w:lang w:val="ro-RO"/>
              </w:rPr>
              <w:t>.</w:t>
            </w:r>
          </w:p>
          <w:p w:rsidR="007B647C" w:rsidRDefault="007B647C" w:rsidP="007B647C">
            <w:pPr>
              <w:pStyle w:val="NormalWeb"/>
              <w:ind w:left="142" w:right="141" w:firstLine="0"/>
              <w:rPr>
                <w:lang w:val="ro-RO"/>
              </w:rPr>
            </w:pPr>
          </w:p>
          <w:p w:rsidR="007B647C" w:rsidRDefault="007B647C" w:rsidP="007B647C">
            <w:pPr>
              <w:pStyle w:val="NormalWeb"/>
              <w:ind w:left="142" w:right="141" w:firstLine="0"/>
              <w:rPr>
                <w:lang w:val="ro-RO"/>
              </w:rPr>
            </w:pPr>
            <w:r>
              <w:rPr>
                <w:lang w:val="ro-RO"/>
              </w:rPr>
              <w:t>Totuși, e</w:t>
            </w:r>
            <w:r w:rsidR="0090013F">
              <w:rPr>
                <w:lang w:val="ro-RO"/>
              </w:rPr>
              <w:t xml:space="preserve">xistă produse </w:t>
            </w:r>
            <w:r w:rsidRPr="00711C3A">
              <w:rPr>
                <w:lang w:val="ro-RO"/>
              </w:rPr>
              <w:t xml:space="preserve">pe piață care prevăd o funcție de protecție pentru utilizator și corespund definiției din </w:t>
            </w:r>
            <w:r w:rsidR="00BE22B4">
              <w:rPr>
                <w:lang w:val="ro-RO"/>
              </w:rPr>
              <w:t>H</w:t>
            </w:r>
            <w:r>
              <w:rPr>
                <w:lang w:val="ro-RO"/>
              </w:rPr>
              <w:t xml:space="preserve">otărârea Guvernului </w:t>
            </w:r>
            <w:r w:rsidRPr="00C30978">
              <w:rPr>
                <w:lang w:val="ro-RO"/>
              </w:rPr>
              <w:t>nr.1289/2016</w:t>
            </w:r>
            <w:r w:rsidRPr="00711C3A">
              <w:rPr>
                <w:lang w:val="ro-RO"/>
              </w:rPr>
              <w:t xml:space="preserve">, dar nu sunt reglementate de această </w:t>
            </w:r>
            <w:r>
              <w:rPr>
                <w:lang w:val="ro-RO"/>
              </w:rPr>
              <w:t>hotărâre</w:t>
            </w:r>
            <w:r w:rsidRPr="00711C3A">
              <w:rPr>
                <w:lang w:val="ro-RO"/>
              </w:rPr>
              <w:t xml:space="preserve">. Prin urmare, aceste produse nu fac obiectul cerințelor de securitate și de sănătate pentru EIP și, prin urmare, nivelul de protecție oferit de astfel de produse nu este atât de ridicat ca și cel oferit de EIP. Consumatorul ar putea crede că  este protejat împotriva unui risc specific, atunci când, în realitate, nu este. Produsele de protecție împotriva căldurii, umidității și apei proiectate pentru uz privat au fost excluse în mod explicit din domeniul de aplicare al </w:t>
            </w:r>
            <w:r w:rsidR="00474889">
              <w:rPr>
                <w:lang w:val="ro-RO"/>
              </w:rPr>
              <w:t>h</w:t>
            </w:r>
            <w:r>
              <w:rPr>
                <w:lang w:val="ro-RO"/>
              </w:rPr>
              <w:t>otărârii</w:t>
            </w:r>
            <w:r w:rsidR="00474889">
              <w:rPr>
                <w:lang w:val="ro-RO"/>
              </w:rPr>
              <w:t xml:space="preserve"> Guvernului</w:t>
            </w:r>
            <w:r>
              <w:rPr>
                <w:lang w:val="ro-RO"/>
              </w:rPr>
              <w:t xml:space="preserve"> </w:t>
            </w:r>
            <w:r w:rsidRPr="00711C3A">
              <w:rPr>
                <w:lang w:val="ro-RO"/>
              </w:rPr>
              <w:t xml:space="preserve">. Produsele aflate în afara domeniului de aplicare ridică probleme de siguranță și de sănătate. </w:t>
            </w:r>
            <w:r w:rsidRPr="007B647C">
              <w:rPr>
                <w:lang w:val="ro-RO"/>
              </w:rPr>
              <w:t>Situația provoacă, de asemenea, probleme pentru autoritățile de supraveghere a pieței. Distincția dintre utilizarea profesională și cea privată, nu ar trebui să fie relevantă pentru introducerea unor produse (identice) pe piață.</w:t>
            </w:r>
          </w:p>
          <w:p w:rsidR="008D0849" w:rsidRDefault="008D0849" w:rsidP="007B647C">
            <w:pPr>
              <w:pStyle w:val="NormalWeb"/>
              <w:ind w:left="142" w:right="141" w:firstLine="0"/>
              <w:rPr>
                <w:lang w:val="ro-RO"/>
              </w:rPr>
            </w:pPr>
          </w:p>
          <w:p w:rsidR="008D0849" w:rsidRDefault="008D0849" w:rsidP="007B647C">
            <w:pPr>
              <w:pStyle w:val="NormalWeb"/>
              <w:ind w:left="142" w:right="141" w:firstLine="0"/>
              <w:rPr>
                <w:lang w:val="ro-RO"/>
              </w:rPr>
            </w:pPr>
            <w:r>
              <w:rPr>
                <w:lang w:val="ro-RO"/>
              </w:rPr>
              <w:t>În această ordine de idei se conturează probleme de ordin legislativ cum ar fi: imperfecțiunea domeniului de aplicare a EIP stabilit în legislația națională actuală în raport cu  acquis-</w:t>
            </w:r>
            <w:proofErr w:type="spellStart"/>
            <w:r>
              <w:rPr>
                <w:lang w:val="ro-RO"/>
              </w:rPr>
              <w:t>ul</w:t>
            </w:r>
            <w:proofErr w:type="spellEnd"/>
            <w:r>
              <w:rPr>
                <w:lang w:val="ro-RO"/>
              </w:rPr>
              <w:t xml:space="preserve"> comunitar relevant; necorelarea gradelor de risc aplicate EIP în comparație cu legi</w:t>
            </w:r>
            <w:r w:rsidR="004F53C5">
              <w:rPr>
                <w:lang w:val="ro-RO"/>
              </w:rPr>
              <w:t>slația comunitară, cerințe depăș</w:t>
            </w:r>
            <w:r>
              <w:rPr>
                <w:lang w:val="ro-RO"/>
              </w:rPr>
              <w:t xml:space="preserve">ite către dosarul tehnic, validitatea și conținutul certificatului de examinare de tip, </w:t>
            </w:r>
            <w:r w:rsidR="00474889">
              <w:rPr>
                <w:lang w:val="ro-RO"/>
              </w:rPr>
              <w:t xml:space="preserve">lipsa cerinței privind  </w:t>
            </w:r>
            <w:r w:rsidR="004F53C5">
              <w:rPr>
                <w:lang w:val="ro-RO"/>
              </w:rPr>
              <w:t>punerea la dispoziția consumatorului a declarației de conformitate emise de producător, proceduri de evaluare a conformității necorespunzătoare legislației naționale în vigoare (art. 18 din Legea nr. 235/2011, care transpune noul cadru legislativ europe</w:t>
            </w:r>
            <w:r w:rsidR="0090013F">
              <w:rPr>
                <w:lang w:val="ro-RO"/>
              </w:rPr>
              <w:t>an</w:t>
            </w:r>
            <w:r w:rsidR="004F53C5">
              <w:rPr>
                <w:lang w:val="ro-RO"/>
              </w:rPr>
              <w:t xml:space="preserve">, și anume </w:t>
            </w:r>
            <w:r w:rsidR="004F53C5" w:rsidRPr="004F53C5">
              <w:rPr>
                <w:lang w:val="ro-RO"/>
              </w:rPr>
              <w:t>Decizia nr.768/2008/CE a Parlamentului European şi a Consiliului din 9 iulie 2008 privind un cadru comun pentru comercializarea produselor</w:t>
            </w:r>
            <w:r w:rsidR="004F53C5">
              <w:rPr>
                <w:lang w:val="ro-RO"/>
              </w:rPr>
              <w:t>).</w:t>
            </w:r>
          </w:p>
          <w:p w:rsidR="007B647C" w:rsidRDefault="007B647C" w:rsidP="007B647C">
            <w:pPr>
              <w:pStyle w:val="NormalWeb"/>
              <w:ind w:left="142" w:right="141" w:firstLine="0"/>
              <w:rPr>
                <w:lang w:val="ro-RO"/>
              </w:rPr>
            </w:pPr>
          </w:p>
          <w:p w:rsidR="007B647C" w:rsidRDefault="00710AA1" w:rsidP="007B647C">
            <w:pPr>
              <w:tabs>
                <w:tab w:val="left" w:pos="490"/>
              </w:tabs>
              <w:ind w:left="111" w:right="104"/>
              <w:jc w:val="both"/>
              <w:rPr>
                <w:lang w:val="ro-RO"/>
              </w:rPr>
            </w:pPr>
            <w:r>
              <w:rPr>
                <w:lang w:val="ro-RO"/>
              </w:rPr>
              <w:t>O altă problemă este n</w:t>
            </w:r>
            <w:r w:rsidR="007B647C">
              <w:rPr>
                <w:lang w:val="ro-RO"/>
              </w:rPr>
              <w:t>erespectarea de către producătorii autohtoni  a prevederilor legale privind cerințele de introducere pe piață a EIP, și anume art.26 din Legea nr.235/2011 privind activitățile de acreditare și evaluare a conformității, art.12 din Legea nr. 7/2016 privind supravegherea pieței în ceea ce privește comercializarea produselor nealimentare</w:t>
            </w:r>
            <w:r w:rsidR="00474889">
              <w:rPr>
                <w:lang w:val="ro-RO"/>
              </w:rPr>
              <w:t xml:space="preserve">, </w:t>
            </w:r>
            <w:r w:rsidR="007B647C">
              <w:rPr>
                <w:lang w:val="ro-RO"/>
              </w:rPr>
              <w:t xml:space="preserve"> </w:t>
            </w:r>
            <w:r>
              <w:rPr>
                <w:lang w:val="ro-RO"/>
              </w:rPr>
              <w:t xml:space="preserve">care </w:t>
            </w:r>
            <w:r w:rsidR="007B647C">
              <w:rPr>
                <w:lang w:val="ro-RO"/>
              </w:rPr>
              <w:t xml:space="preserve">se datorează incertitudinii cadrului legal existent, </w:t>
            </w:r>
            <w:r>
              <w:rPr>
                <w:lang w:val="ro-RO"/>
              </w:rPr>
              <w:t xml:space="preserve">ce </w:t>
            </w:r>
            <w:r w:rsidR="007B647C">
              <w:rPr>
                <w:lang w:val="ro-RO"/>
              </w:rPr>
              <w:t xml:space="preserve"> se referă la emiterea </w:t>
            </w:r>
            <w:r w:rsidR="007B647C" w:rsidRPr="00C30978">
              <w:rPr>
                <w:lang w:val="ro-RO"/>
              </w:rPr>
              <w:t>actului permisiv - Aviz sanitar pentru produse alimentare și nealimen</w:t>
            </w:r>
            <w:r w:rsidR="007B647C">
              <w:rPr>
                <w:lang w:val="ro-RO"/>
              </w:rPr>
              <w:t xml:space="preserve">tare cu impact asupra sănătății.  </w:t>
            </w:r>
            <w:r w:rsidR="007B647C" w:rsidRPr="00C30978">
              <w:rPr>
                <w:lang w:val="ro-RO"/>
              </w:rPr>
              <w:t>Spre exemplu</w:t>
            </w:r>
            <w:r w:rsidR="007B647C">
              <w:rPr>
                <w:lang w:val="ro-RO"/>
              </w:rPr>
              <w:t xml:space="preserve">, </w:t>
            </w:r>
            <w:r w:rsidR="007B647C" w:rsidRPr="00C30978">
              <w:rPr>
                <w:lang w:val="ro-RO"/>
              </w:rPr>
              <w:t xml:space="preserve"> </w:t>
            </w:r>
            <w:r w:rsidR="007B647C">
              <w:rPr>
                <w:lang w:val="ro-RO"/>
              </w:rPr>
              <w:t xml:space="preserve">contrar </w:t>
            </w:r>
            <w:r w:rsidR="007B647C" w:rsidRPr="00C30978">
              <w:rPr>
                <w:lang w:val="ro-RO"/>
              </w:rPr>
              <w:t xml:space="preserve"> prevederilor legislației aferente </w:t>
            </w:r>
            <w:r w:rsidR="007B647C">
              <w:rPr>
                <w:lang w:val="ro-RO"/>
              </w:rPr>
              <w:t xml:space="preserve">EIP,  a fost emis </w:t>
            </w:r>
            <w:r w:rsidR="007B647C" w:rsidRPr="00C30978">
              <w:rPr>
                <w:lang w:val="ro-RO"/>
              </w:rPr>
              <w:t xml:space="preserve"> Aviz sanitar nr. P-5829/2020  producătorului autohton XXX SRL, pentru produsul măști de protecție nesterile, de unică folosință marca DR.FILTREX, prin care se </w:t>
            </w:r>
            <w:r w:rsidR="00395F56">
              <w:rPr>
                <w:lang w:val="ro-RO"/>
              </w:rPr>
              <w:t xml:space="preserve">atestă conformitatea </w:t>
            </w:r>
            <w:r w:rsidR="007B647C" w:rsidRPr="00C30978">
              <w:rPr>
                <w:lang w:val="ro-RO"/>
              </w:rPr>
              <w:t>la Regulamentul (UE) 2016/425.</w:t>
            </w:r>
            <w:r w:rsidR="007B647C">
              <w:rPr>
                <w:lang w:val="ro-RO"/>
              </w:rPr>
              <w:t xml:space="preserve"> Subsidiar, producătorul autohton XXX </w:t>
            </w:r>
            <w:r w:rsidR="007B647C" w:rsidRPr="004155B2">
              <w:rPr>
                <w:lang w:val="ro-RO"/>
              </w:rPr>
              <w:t>SRL</w:t>
            </w:r>
            <w:r w:rsidR="007B647C">
              <w:rPr>
                <w:lang w:val="ro-RO"/>
              </w:rPr>
              <w:t xml:space="preserve"> emite declarația de conformitate, prin care declară că produsul: </w:t>
            </w:r>
            <w:r w:rsidR="007B647C" w:rsidRPr="004155B2">
              <w:rPr>
                <w:i/>
                <w:lang w:val="ro-RO"/>
              </w:rPr>
              <w:t>semi-masca facială de unică folosință, filtrantă împotriva particulelor din material nețesut 100% PP tip (</w:t>
            </w:r>
            <w:proofErr w:type="spellStart"/>
            <w:r w:rsidR="007B647C" w:rsidRPr="004155B2">
              <w:rPr>
                <w:i/>
                <w:lang w:val="ro-RO"/>
              </w:rPr>
              <w:t>spunbond</w:t>
            </w:r>
            <w:proofErr w:type="spellEnd"/>
            <w:r w:rsidR="007B647C" w:rsidRPr="004155B2">
              <w:rPr>
                <w:i/>
                <w:lang w:val="ro-RO"/>
              </w:rPr>
              <w:t>/</w:t>
            </w:r>
            <w:proofErr w:type="spellStart"/>
            <w:r w:rsidR="007B647C" w:rsidRPr="004155B2">
              <w:rPr>
                <w:i/>
                <w:lang w:val="ro-RO"/>
              </w:rPr>
              <w:t>meltblown</w:t>
            </w:r>
            <w:proofErr w:type="spellEnd"/>
            <w:r w:rsidR="007B647C" w:rsidRPr="004155B2">
              <w:rPr>
                <w:i/>
                <w:lang w:val="ro-RO"/>
              </w:rPr>
              <w:t xml:space="preserve">), </w:t>
            </w:r>
            <w:proofErr w:type="spellStart"/>
            <w:r w:rsidR="007B647C" w:rsidRPr="004155B2">
              <w:rPr>
                <w:i/>
                <w:lang w:val="ro-RO"/>
              </w:rPr>
              <w:t>triplustrar</w:t>
            </w:r>
            <w:proofErr w:type="spellEnd"/>
            <w:r w:rsidR="007B647C" w:rsidRPr="004155B2">
              <w:rPr>
                <w:i/>
                <w:lang w:val="ro-RO"/>
              </w:rPr>
              <w:t>, densitatea totală 70 g/m2</w:t>
            </w:r>
            <w:r w:rsidR="007B647C">
              <w:rPr>
                <w:lang w:val="ro-RO"/>
              </w:rPr>
              <w:t xml:space="preserve"> corespunde cerințelor Regulamentului (UE) 2016/425 și standardului SM SR EN 149+A1:2010. Este de menționat, că produsul dat nu a fost supus procedurilor de evaluare a conformității și nu a fost plasat pe piață conform cerințelor legale aferente acestui produs.</w:t>
            </w:r>
            <w:r w:rsidR="0090013F">
              <w:rPr>
                <w:lang w:val="ro-RO"/>
              </w:rPr>
              <w:t xml:space="preserve"> În această ordine de idei se constată confuzul cadrului legal </w:t>
            </w:r>
            <w:r w:rsidR="00C225DD">
              <w:rPr>
                <w:lang w:val="ro-RO"/>
              </w:rPr>
              <w:t>existent</w:t>
            </w:r>
            <w:r w:rsidR="0090013F">
              <w:rPr>
                <w:lang w:val="ro-RO"/>
              </w:rPr>
              <w:t>.</w:t>
            </w:r>
          </w:p>
          <w:p w:rsidR="00474889" w:rsidRDefault="00474889" w:rsidP="007B647C">
            <w:pPr>
              <w:tabs>
                <w:tab w:val="left" w:pos="490"/>
              </w:tabs>
              <w:ind w:left="111" w:right="104"/>
              <w:jc w:val="both"/>
              <w:rPr>
                <w:lang w:val="ro-RO"/>
              </w:rPr>
            </w:pPr>
          </w:p>
          <w:p w:rsidR="00474889" w:rsidRDefault="00474889" w:rsidP="00474889">
            <w:pPr>
              <w:pStyle w:val="NormalWeb"/>
              <w:ind w:left="111" w:right="141" w:firstLine="0"/>
              <w:rPr>
                <w:lang w:val="ro-RO"/>
              </w:rPr>
            </w:pPr>
            <w:r>
              <w:rPr>
                <w:lang w:val="ro-RO"/>
              </w:rPr>
              <w:lastRenderedPageBreak/>
              <w:t>Analizând Raportul privind măsurile de răspuns la infecția COVID-19 (în perioada ianuarie-mai 2020) prezentat de către Ministerul Sănătății, Muncii și Protecției Sociale, î</w:t>
            </w:r>
            <w:r w:rsidRPr="002D0578">
              <w:rPr>
                <w:lang w:val="ro-RO"/>
              </w:rPr>
              <w:t xml:space="preserve">n scopul asigurării IMSP cu </w:t>
            </w:r>
            <w:r>
              <w:rPr>
                <w:lang w:val="ro-RO"/>
              </w:rPr>
              <w:t>EIP</w:t>
            </w:r>
            <w:r w:rsidRPr="002D0578">
              <w:rPr>
                <w:lang w:val="ro-RO"/>
              </w:rPr>
              <w:t xml:space="preserve">, </w:t>
            </w:r>
            <w:r>
              <w:rPr>
                <w:lang w:val="ro-RO"/>
              </w:rPr>
              <w:t>în perioada martie-mai 2020</w:t>
            </w:r>
            <w:r w:rsidRPr="002D0578">
              <w:rPr>
                <w:lang w:val="ro-RO"/>
              </w:rPr>
              <w:t>, au fost achiziționate centralizat, echipamente de protecție: ecrane de protecție (</w:t>
            </w:r>
            <w:r>
              <w:rPr>
                <w:lang w:val="ro-RO"/>
              </w:rPr>
              <w:t xml:space="preserve">viziere) – 200.000 de unități, </w:t>
            </w:r>
            <w:r w:rsidRPr="002D0578">
              <w:rPr>
                <w:lang w:val="ro-RO"/>
              </w:rPr>
              <w:t xml:space="preserve"> respiratoare cu filtru N95/FFP2 – 500.000 de unități, combinezoane de protecție -</w:t>
            </w:r>
            <w:r>
              <w:rPr>
                <w:lang w:val="ro-RO"/>
              </w:rPr>
              <w:t xml:space="preserve"> </w:t>
            </w:r>
            <w:r w:rsidRPr="002D0578">
              <w:rPr>
                <w:lang w:val="ro-RO"/>
              </w:rPr>
              <w:t xml:space="preserve">31.320 de unități. </w:t>
            </w:r>
            <w:r>
              <w:rPr>
                <w:lang w:val="ro-RO"/>
              </w:rPr>
              <w:t xml:space="preserve">Reieșind din cele expuse </w:t>
            </w:r>
            <w:r w:rsidR="00B3143E">
              <w:rPr>
                <w:lang w:val="ro-RO"/>
              </w:rPr>
              <w:t>anterior</w:t>
            </w:r>
            <w:r>
              <w:rPr>
                <w:lang w:val="ro-RO"/>
              </w:rPr>
              <w:t xml:space="preserve">, introducerea pe piață a acestor EIP este incertă. Subsidiar, nu a fost constatată conformitatea EIP cerințelor esențiale stabilite în </w:t>
            </w:r>
            <w:r w:rsidR="00B3143E">
              <w:rPr>
                <w:lang w:val="ro-RO"/>
              </w:rPr>
              <w:t>hotărârea Guvernului</w:t>
            </w:r>
            <w:r>
              <w:rPr>
                <w:lang w:val="ro-RO"/>
              </w:rPr>
              <w:t>. Mai mult,  până în prezent nu au fost efectuate activități de supraveghere a pieței pentru a se asigura că EIP puse la dispoziție pe piață sunt conforme cu cerințele esențiale aplicabile.</w:t>
            </w:r>
          </w:p>
          <w:p w:rsidR="00710AA1" w:rsidRDefault="00710AA1" w:rsidP="00375050">
            <w:pPr>
              <w:pStyle w:val="NormalWeb"/>
              <w:ind w:left="111" w:right="141" w:firstLine="0"/>
              <w:rPr>
                <w:lang w:val="ro-RO"/>
              </w:rPr>
            </w:pPr>
          </w:p>
          <w:p w:rsidR="0079117F" w:rsidRDefault="00474889" w:rsidP="00375050">
            <w:pPr>
              <w:pStyle w:val="NormalWeb"/>
              <w:ind w:left="111" w:right="141" w:firstLine="0"/>
              <w:rPr>
                <w:lang w:val="ro-RO"/>
              </w:rPr>
            </w:pPr>
            <w:r>
              <w:rPr>
                <w:lang w:val="ro-RO"/>
              </w:rPr>
              <w:t xml:space="preserve">Totodată utilizarea neadecvată a EIP produse riscuri </w:t>
            </w:r>
            <w:r w:rsidR="00375050">
              <w:rPr>
                <w:lang w:val="ro-RO"/>
              </w:rPr>
              <w:t xml:space="preserve"> privind securitatea și </w:t>
            </w:r>
            <w:r>
              <w:rPr>
                <w:lang w:val="ro-RO"/>
              </w:rPr>
              <w:t xml:space="preserve">sănătatea în muncă, care cauzează </w:t>
            </w:r>
            <w:r w:rsidR="00C14D83">
              <w:rPr>
                <w:lang w:val="ro-RO"/>
              </w:rPr>
              <w:t>accidentele</w:t>
            </w:r>
            <w:r w:rsidR="00EE1C3E">
              <w:rPr>
                <w:lang w:val="ro-RO"/>
              </w:rPr>
              <w:t xml:space="preserve">. Conform datelor </w:t>
            </w:r>
            <w:r w:rsidR="00C374E8">
              <w:rPr>
                <w:lang w:val="ro-RO"/>
              </w:rPr>
              <w:t xml:space="preserve">statistice </w:t>
            </w:r>
            <w:r w:rsidR="00EE1C3E">
              <w:rPr>
                <w:lang w:val="ro-RO"/>
              </w:rPr>
              <w:t>prezentate</w:t>
            </w:r>
            <w:r w:rsidR="00C374E8">
              <w:rPr>
                <w:lang w:val="ro-RO"/>
              </w:rPr>
              <w:t xml:space="preserve"> de </w:t>
            </w:r>
            <w:r w:rsidR="00EE1C3E">
              <w:rPr>
                <w:lang w:val="ro-RO"/>
              </w:rPr>
              <w:t xml:space="preserve"> Inspectoratul de Stat al Muncii (publicat pe pagina web oficială ism.gov.md) </w:t>
            </w:r>
            <w:r w:rsidR="00C374E8">
              <w:rPr>
                <w:lang w:val="ro-RO"/>
              </w:rPr>
              <w:t xml:space="preserve">din cauza deficienților de securitate </w:t>
            </w:r>
            <w:r w:rsidR="00C374E8" w:rsidRPr="00C374E8">
              <w:rPr>
                <w:lang w:val="ro-RO"/>
              </w:rPr>
              <w:t xml:space="preserve"> anual se înregistr</w:t>
            </w:r>
            <w:r w:rsidR="00C374E8">
              <w:rPr>
                <w:lang w:val="ro-RO"/>
              </w:rPr>
              <w:t>ează un număr mare de accidentați proveniț</w:t>
            </w:r>
            <w:r w:rsidR="00C374E8" w:rsidRPr="00C374E8">
              <w:rPr>
                <w:lang w:val="ro-RO"/>
              </w:rPr>
              <w:t xml:space="preserve">i din accidente de muncă. </w:t>
            </w:r>
            <w:r w:rsidR="00C374E8">
              <w:rPr>
                <w:lang w:val="ro-RO"/>
              </w:rPr>
              <w:t xml:space="preserve"> Pe parcursul anului 2019</w:t>
            </w:r>
            <w:r w:rsidR="00C374E8" w:rsidRPr="00C374E8">
              <w:rPr>
                <w:lang w:val="ro-RO"/>
              </w:rPr>
              <w:t xml:space="preserve"> au fost înregistrate 493 persoane accidentate.</w:t>
            </w:r>
            <w:r w:rsidR="00C374E8">
              <w:rPr>
                <w:lang w:val="ro-RO"/>
              </w:rPr>
              <w:t xml:space="preserve"> </w:t>
            </w:r>
          </w:p>
          <w:p w:rsidR="007D6B3D" w:rsidRDefault="007D6B3D" w:rsidP="00375050">
            <w:pPr>
              <w:pStyle w:val="NormalWeb"/>
              <w:ind w:left="111" w:right="141" w:firstLine="0"/>
              <w:rPr>
                <w:lang w:val="ro-RO"/>
              </w:rPr>
            </w:pPr>
          </w:p>
          <w:p w:rsidR="00C374E8" w:rsidRDefault="007D6B3D" w:rsidP="00EE1C3E">
            <w:pPr>
              <w:pStyle w:val="NormalWeb"/>
              <w:ind w:right="141" w:firstLine="0"/>
              <w:rPr>
                <w:lang w:val="ro-RO"/>
              </w:rPr>
            </w:pPr>
            <w:r w:rsidRPr="007D6B3D">
              <w:rPr>
                <w:noProof/>
                <w:lang w:val="en-US" w:eastAsia="en-US"/>
              </w:rPr>
              <w:drawing>
                <wp:inline distT="0" distB="0" distL="0" distR="0">
                  <wp:extent cx="5810250" cy="371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0" cy="3714750"/>
                          </a:xfrm>
                          <a:prstGeom prst="rect">
                            <a:avLst/>
                          </a:prstGeom>
                          <a:noFill/>
                          <a:ln>
                            <a:noFill/>
                          </a:ln>
                        </pic:spPr>
                      </pic:pic>
                    </a:graphicData>
                  </a:graphic>
                </wp:inline>
              </w:drawing>
            </w:r>
          </w:p>
          <w:p w:rsidR="007D6B3D" w:rsidRDefault="007D6B3D" w:rsidP="00375050">
            <w:pPr>
              <w:pStyle w:val="NormalWeb"/>
              <w:ind w:left="111" w:right="141" w:firstLine="0"/>
              <w:rPr>
                <w:lang w:val="ro-RO"/>
              </w:rPr>
            </w:pPr>
            <w:r w:rsidRPr="007D6B3D">
              <w:rPr>
                <w:lang w:val="ro-RO"/>
              </w:rPr>
              <w:t>Perioada de incapacitate temporară de muncă a persoanelor accidentate constituie 15877 zile-om, determinând un indic</w:t>
            </w:r>
            <w:r>
              <w:rPr>
                <w:lang w:val="ro-RO"/>
              </w:rPr>
              <w:t>e de durată medie al incapacităț</w:t>
            </w:r>
            <w:r w:rsidRPr="007D6B3D">
              <w:rPr>
                <w:lang w:val="ro-RO"/>
              </w:rPr>
              <w:t>ii temporare de muncă cauzată de accidente de muncă de 32,2 (număr de zile-om de incapacitate temporară de muncă ce-i revin unui accidentat).</w:t>
            </w:r>
          </w:p>
          <w:p w:rsidR="007D6B3D" w:rsidRPr="007D6B3D" w:rsidRDefault="007D6B3D" w:rsidP="00375050">
            <w:pPr>
              <w:pStyle w:val="NormalWeb"/>
              <w:ind w:left="111" w:right="141" w:firstLine="0"/>
              <w:rPr>
                <w:lang w:val="ro-RO"/>
              </w:rPr>
            </w:pPr>
          </w:p>
          <w:p w:rsidR="007D6B3D" w:rsidRDefault="007D6B3D" w:rsidP="00375050">
            <w:pPr>
              <w:pStyle w:val="NormalWeb"/>
              <w:ind w:left="111" w:right="141" w:firstLine="0"/>
              <w:rPr>
                <w:lang w:val="ro-RO"/>
              </w:rPr>
            </w:pPr>
            <w:r w:rsidRPr="007D6B3D">
              <w:rPr>
                <w:lang w:val="ro-RO"/>
              </w:rPr>
              <w:t>Pierderile materiale, în urma accidente</w:t>
            </w:r>
            <w:r>
              <w:rPr>
                <w:lang w:val="ro-RO"/>
              </w:rPr>
              <w:t>lor de muncă suportate de unităț</w:t>
            </w:r>
            <w:r w:rsidRPr="007D6B3D">
              <w:rPr>
                <w:lang w:val="ro-RO"/>
              </w:rPr>
              <w:t>ile vizate în statistici, se estimează la 3501,1 mii lei, din c</w:t>
            </w:r>
            <w:r>
              <w:rPr>
                <w:lang w:val="ro-RO"/>
              </w:rPr>
              <w:t>are 79,9 la sută constituie plăț</w:t>
            </w:r>
            <w:r w:rsidRPr="007D6B3D">
              <w:rPr>
                <w:lang w:val="ro-RO"/>
              </w:rPr>
              <w:t>ile conform certificatelor de concediu medical, 1,6 la s</w:t>
            </w:r>
            <w:r>
              <w:rPr>
                <w:lang w:val="ro-RO"/>
              </w:rPr>
              <w:t>ută reprezintă plăț</w:t>
            </w:r>
            <w:r w:rsidRPr="007D6B3D">
              <w:rPr>
                <w:lang w:val="ro-RO"/>
              </w:rPr>
              <w:t>i pentru repararea prejudiciulu</w:t>
            </w:r>
            <w:r>
              <w:rPr>
                <w:lang w:val="ro-RO"/>
              </w:rPr>
              <w:t>i cauzat, 18,2 la sută sunt plăț</w:t>
            </w:r>
            <w:r w:rsidRPr="007D6B3D">
              <w:rPr>
                <w:lang w:val="ro-RO"/>
              </w:rPr>
              <w:t>ile indemniza</w:t>
            </w:r>
            <w:r>
              <w:rPr>
                <w:lang w:val="ro-RO"/>
              </w:rPr>
              <w:t>ț</w:t>
            </w:r>
            <w:r w:rsidRPr="007D6B3D">
              <w:rPr>
                <w:lang w:val="ro-RO"/>
              </w:rPr>
              <w:t>iilor unice în cazul reducerii capacităţii d</w:t>
            </w:r>
            <w:r>
              <w:rPr>
                <w:lang w:val="ro-RO"/>
              </w:rPr>
              <w:t>e muncă sau decesul angajatului</w:t>
            </w:r>
            <w:r w:rsidRPr="007D6B3D">
              <w:rPr>
                <w:lang w:val="ro-RO"/>
              </w:rPr>
              <w:t>.</w:t>
            </w:r>
          </w:p>
          <w:p w:rsidR="00375050" w:rsidRDefault="00375050" w:rsidP="00375050">
            <w:pPr>
              <w:pStyle w:val="NormalWeb"/>
              <w:ind w:left="111" w:right="141" w:firstLine="0"/>
              <w:rPr>
                <w:lang w:val="ro-RO"/>
              </w:rPr>
            </w:pPr>
          </w:p>
          <w:p w:rsidR="00375050" w:rsidRDefault="00375050" w:rsidP="00375050">
            <w:pPr>
              <w:pStyle w:val="NormalWeb"/>
              <w:ind w:left="111" w:right="141" w:firstLine="0"/>
              <w:rPr>
                <w:lang w:val="ro-RO"/>
              </w:rPr>
            </w:pPr>
            <w:r>
              <w:rPr>
                <w:lang w:val="ro-RO"/>
              </w:rPr>
              <w:t xml:space="preserve">Reieșind din datele prezentate supra, se constată, că nerespectarea atât de angajatori cât și de angajați a </w:t>
            </w:r>
            <w:r w:rsidRPr="00375050">
              <w:rPr>
                <w:lang w:val="ro-RO"/>
              </w:rPr>
              <w:t xml:space="preserve">cerințele minime de </w:t>
            </w:r>
            <w:r w:rsidR="002A396D">
              <w:rPr>
                <w:lang w:val="ro-RO"/>
              </w:rPr>
              <w:t xml:space="preserve">securitate și sănătate în muncă, nerespectarea utilizării adecvate a </w:t>
            </w:r>
            <w:r w:rsidRPr="00375050">
              <w:rPr>
                <w:lang w:val="ro-RO"/>
              </w:rPr>
              <w:t xml:space="preserve"> EIP</w:t>
            </w:r>
            <w:r>
              <w:rPr>
                <w:lang w:val="ro-RO"/>
              </w:rPr>
              <w:t xml:space="preserve"> </w:t>
            </w:r>
            <w:r w:rsidR="002A396D">
              <w:rPr>
                <w:lang w:val="ro-RO"/>
              </w:rPr>
              <w:t>la locul de muncă provoacă anual prejudicii conside</w:t>
            </w:r>
            <w:r w:rsidR="00B25217">
              <w:rPr>
                <w:lang w:val="ro-RO"/>
              </w:rPr>
              <w:t>rabile atât pe dimensiunea sănătății și vieții populații cît și prejudicii de ordin financiar.</w:t>
            </w:r>
            <w:r w:rsidR="008D3180">
              <w:rPr>
                <w:lang w:val="ro-RO"/>
              </w:rPr>
              <w:t xml:space="preserve"> Este de menționat, că nivelul de investiții în utilizarea EIP pe tot parcursul activității social-economice este net inferior prejudiciilor potențiale pentru viața și sănătatea populației urmare a nerespectării cerințelor de securitate și sănătate.</w:t>
            </w:r>
          </w:p>
          <w:p w:rsidR="008244EC" w:rsidRDefault="008244EC" w:rsidP="00375050">
            <w:pPr>
              <w:pStyle w:val="NormalWeb"/>
              <w:ind w:left="111" w:right="141" w:firstLine="0"/>
              <w:rPr>
                <w:lang w:val="ro-RO"/>
              </w:rPr>
            </w:pPr>
          </w:p>
          <w:p w:rsidR="00C14D83" w:rsidRDefault="00C14D83" w:rsidP="00C14D83">
            <w:pPr>
              <w:tabs>
                <w:tab w:val="left" w:pos="490"/>
              </w:tabs>
              <w:ind w:left="111" w:right="97"/>
              <w:jc w:val="both"/>
              <w:rPr>
                <w:lang w:val="ro-RO"/>
              </w:rPr>
            </w:pPr>
            <w:r w:rsidRPr="008920AD">
              <w:rPr>
                <w:lang w:val="ro-RO"/>
              </w:rPr>
              <w:lastRenderedPageBreak/>
              <w:t xml:space="preserve">În cadrul </w:t>
            </w:r>
            <w:r>
              <w:rPr>
                <w:lang w:val="ro-RO"/>
              </w:rPr>
              <w:t>efectuării analizei</w:t>
            </w:r>
            <w:r w:rsidRPr="008920AD">
              <w:rPr>
                <w:lang w:val="ro-RO"/>
              </w:rPr>
              <w:t xml:space="preserve"> potențialului de producere/export al produselor</w:t>
            </w:r>
            <w:r>
              <w:rPr>
                <w:lang w:val="ro-RO"/>
              </w:rPr>
              <w:t xml:space="preserve"> industriale, activitate stabilită în Planul de acțiuni al Guvernului pentru anii 2020-2023 aprobat prin Hotărârea Guvernului nr. 636/2019, au fost identificați 11 producători autohtoni, care declară că produc EIP. </w:t>
            </w:r>
          </w:p>
          <w:p w:rsidR="00C14D83" w:rsidRDefault="00C14D83" w:rsidP="00C14D83">
            <w:pPr>
              <w:tabs>
                <w:tab w:val="left" w:pos="490"/>
              </w:tabs>
              <w:jc w:val="both"/>
              <w:rPr>
                <w:lang w:val="ro-RO"/>
              </w:rPr>
            </w:pPr>
          </w:p>
          <w:tbl>
            <w:tblPr>
              <w:tblStyle w:val="TableGrid"/>
              <w:tblW w:w="9036" w:type="dxa"/>
              <w:jc w:val="center"/>
              <w:tblLayout w:type="fixed"/>
              <w:tblLook w:val="04A0" w:firstRow="1" w:lastRow="0" w:firstColumn="1" w:lastColumn="0" w:noHBand="0" w:noVBand="1"/>
            </w:tblPr>
            <w:tblGrid>
              <w:gridCol w:w="531"/>
              <w:gridCol w:w="3827"/>
              <w:gridCol w:w="4678"/>
            </w:tblGrid>
            <w:tr w:rsidR="00C14D83" w:rsidRPr="00A5269A" w:rsidTr="009540A4">
              <w:trPr>
                <w:trHeight w:val="543"/>
                <w:jc w:val="center"/>
              </w:trPr>
              <w:tc>
                <w:tcPr>
                  <w:tcW w:w="531" w:type="dxa"/>
                  <w:vAlign w:val="center"/>
                </w:tcPr>
                <w:p w:rsidR="00C14D83" w:rsidRPr="00EF01A9" w:rsidRDefault="00C14D83" w:rsidP="00C14D83">
                  <w:pPr>
                    <w:jc w:val="center"/>
                    <w:rPr>
                      <w:bCs/>
                      <w:sz w:val="18"/>
                      <w:szCs w:val="18"/>
                    </w:rPr>
                  </w:pPr>
                  <w:proofErr w:type="spellStart"/>
                  <w:r w:rsidRPr="00EF01A9">
                    <w:rPr>
                      <w:bCs/>
                      <w:sz w:val="18"/>
                      <w:szCs w:val="18"/>
                    </w:rPr>
                    <w:t>Nr</w:t>
                  </w:r>
                  <w:proofErr w:type="spellEnd"/>
                  <w:r w:rsidRPr="00EF01A9">
                    <w:rPr>
                      <w:bCs/>
                      <w:sz w:val="18"/>
                      <w:szCs w:val="18"/>
                    </w:rPr>
                    <w:t>.</w:t>
                  </w:r>
                </w:p>
              </w:tc>
              <w:tc>
                <w:tcPr>
                  <w:tcW w:w="3827" w:type="dxa"/>
                  <w:vAlign w:val="center"/>
                </w:tcPr>
                <w:p w:rsidR="00C14D83" w:rsidRPr="00A5269A" w:rsidRDefault="00C14D83" w:rsidP="00C14D83">
                  <w:pPr>
                    <w:jc w:val="center"/>
                    <w:rPr>
                      <w:b/>
                      <w:bCs/>
                      <w:sz w:val="18"/>
                      <w:szCs w:val="18"/>
                    </w:rPr>
                  </w:pPr>
                  <w:proofErr w:type="spellStart"/>
                  <w:r>
                    <w:rPr>
                      <w:b/>
                      <w:bCs/>
                      <w:sz w:val="18"/>
                      <w:szCs w:val="18"/>
                    </w:rPr>
                    <w:t>Denumirea</w:t>
                  </w:r>
                  <w:proofErr w:type="spellEnd"/>
                  <w:r>
                    <w:rPr>
                      <w:b/>
                      <w:bCs/>
                      <w:sz w:val="18"/>
                      <w:szCs w:val="18"/>
                    </w:rPr>
                    <w:t xml:space="preserve"> </w:t>
                  </w:r>
                  <w:proofErr w:type="spellStart"/>
                  <w:r>
                    <w:rPr>
                      <w:b/>
                      <w:bCs/>
                      <w:sz w:val="18"/>
                      <w:szCs w:val="18"/>
                    </w:rPr>
                    <w:t>companiei</w:t>
                  </w:r>
                  <w:proofErr w:type="spellEnd"/>
                </w:p>
              </w:tc>
              <w:tc>
                <w:tcPr>
                  <w:tcW w:w="4678" w:type="dxa"/>
                  <w:vAlign w:val="center"/>
                </w:tcPr>
                <w:p w:rsidR="00C14D83" w:rsidRPr="00A5269A" w:rsidRDefault="00C14D83" w:rsidP="00C14D83">
                  <w:pPr>
                    <w:jc w:val="center"/>
                    <w:rPr>
                      <w:b/>
                      <w:bCs/>
                      <w:sz w:val="18"/>
                      <w:szCs w:val="18"/>
                    </w:rPr>
                  </w:pPr>
                  <w:r>
                    <w:rPr>
                      <w:b/>
                      <w:bCs/>
                      <w:sz w:val="18"/>
                      <w:szCs w:val="18"/>
                    </w:rPr>
                    <w:t>Date de contact</w:t>
                  </w:r>
                </w:p>
              </w:tc>
            </w:tr>
            <w:tr w:rsidR="00C14D83" w:rsidRPr="00A5269A" w:rsidTr="009540A4">
              <w:trPr>
                <w:trHeight w:val="404"/>
                <w:jc w:val="center"/>
              </w:trPr>
              <w:tc>
                <w:tcPr>
                  <w:tcW w:w="531" w:type="dxa"/>
                  <w:shd w:val="clear" w:color="auto" w:fill="auto"/>
                  <w:vAlign w:val="center"/>
                </w:tcPr>
                <w:p w:rsidR="00C14D83" w:rsidRPr="00EF01A9" w:rsidRDefault="00C14D83" w:rsidP="00C14D83">
                  <w:pPr>
                    <w:jc w:val="center"/>
                    <w:rPr>
                      <w:sz w:val="18"/>
                      <w:szCs w:val="18"/>
                    </w:rPr>
                  </w:pPr>
                  <w:r w:rsidRPr="00EF01A9">
                    <w:rPr>
                      <w:sz w:val="18"/>
                      <w:szCs w:val="18"/>
                    </w:rPr>
                    <w:t>1</w:t>
                  </w:r>
                </w:p>
              </w:tc>
              <w:tc>
                <w:tcPr>
                  <w:tcW w:w="3827" w:type="dxa"/>
                  <w:shd w:val="clear" w:color="auto" w:fill="auto"/>
                  <w:vAlign w:val="center"/>
                </w:tcPr>
                <w:p w:rsidR="00C14D83" w:rsidRPr="00A5269A" w:rsidRDefault="00C14D83" w:rsidP="00C14D83">
                  <w:pPr>
                    <w:rPr>
                      <w:sz w:val="18"/>
                      <w:szCs w:val="18"/>
                    </w:rPr>
                  </w:pPr>
                  <w:proofErr w:type="spellStart"/>
                  <w:r w:rsidRPr="00A5269A">
                    <w:rPr>
                      <w:sz w:val="18"/>
                      <w:szCs w:val="18"/>
                    </w:rPr>
                    <w:t>Echiprot</w:t>
                  </w:r>
                  <w:proofErr w:type="spellEnd"/>
                  <w:r w:rsidRPr="00A5269A">
                    <w:rPr>
                      <w:sz w:val="18"/>
                      <w:szCs w:val="18"/>
                    </w:rPr>
                    <w:t xml:space="preserve"> SRL</w:t>
                  </w:r>
                </w:p>
              </w:tc>
              <w:tc>
                <w:tcPr>
                  <w:tcW w:w="4678" w:type="dxa"/>
                  <w:shd w:val="clear" w:color="auto" w:fill="auto"/>
                  <w:vAlign w:val="center"/>
                </w:tcPr>
                <w:p w:rsidR="00C14D83" w:rsidRPr="00A5269A" w:rsidRDefault="00C14D83" w:rsidP="00C14D83">
                  <w:pPr>
                    <w:rPr>
                      <w:sz w:val="18"/>
                      <w:szCs w:val="18"/>
                    </w:rPr>
                  </w:pPr>
                  <w:proofErr w:type="spellStart"/>
                  <w:proofErr w:type="gramStart"/>
                  <w:r>
                    <w:rPr>
                      <w:sz w:val="18"/>
                      <w:szCs w:val="18"/>
                    </w:rPr>
                    <w:t>m</w:t>
                  </w:r>
                  <w:r w:rsidRPr="00A5269A">
                    <w:rPr>
                      <w:sz w:val="18"/>
                      <w:szCs w:val="18"/>
                    </w:rPr>
                    <w:t>un</w:t>
                  </w:r>
                  <w:proofErr w:type="spellEnd"/>
                  <w:proofErr w:type="gramEnd"/>
                  <w:r>
                    <w:rPr>
                      <w:sz w:val="18"/>
                      <w:szCs w:val="18"/>
                    </w:rPr>
                    <w:t>.</w:t>
                  </w:r>
                  <w:r w:rsidRPr="00A5269A">
                    <w:rPr>
                      <w:sz w:val="18"/>
                      <w:szCs w:val="18"/>
                    </w:rPr>
                    <w:t xml:space="preserve"> Chisinau. </w:t>
                  </w:r>
                  <w:proofErr w:type="spellStart"/>
                  <w:r>
                    <w:rPr>
                      <w:sz w:val="18"/>
                      <w:szCs w:val="18"/>
                    </w:rPr>
                    <w:t>st.</w:t>
                  </w:r>
                  <w:proofErr w:type="spellEnd"/>
                  <w:r>
                    <w:rPr>
                      <w:sz w:val="18"/>
                      <w:szCs w:val="18"/>
                    </w:rPr>
                    <w:t xml:space="preserve"> </w:t>
                  </w:r>
                  <w:proofErr w:type="spellStart"/>
                  <w:r>
                    <w:rPr>
                      <w:sz w:val="18"/>
                      <w:szCs w:val="18"/>
                    </w:rPr>
                    <w:t>Ginta</w:t>
                  </w:r>
                  <w:proofErr w:type="spellEnd"/>
                  <w:r>
                    <w:rPr>
                      <w:sz w:val="18"/>
                      <w:szCs w:val="18"/>
                    </w:rPr>
                    <w:t xml:space="preserve"> </w:t>
                  </w:r>
                  <w:proofErr w:type="spellStart"/>
                  <w:r>
                    <w:rPr>
                      <w:sz w:val="18"/>
                      <w:szCs w:val="18"/>
                    </w:rPr>
                    <w:t>Latină</w:t>
                  </w:r>
                  <w:proofErr w:type="spellEnd"/>
                  <w:r>
                    <w:rPr>
                      <w:sz w:val="18"/>
                      <w:szCs w:val="18"/>
                    </w:rPr>
                    <w:t xml:space="preserve"> </w:t>
                  </w:r>
                  <w:r w:rsidRPr="00A5269A">
                    <w:rPr>
                      <w:sz w:val="18"/>
                      <w:szCs w:val="18"/>
                    </w:rPr>
                    <w:t>48</w:t>
                  </w:r>
                  <w:r>
                    <w:rPr>
                      <w:sz w:val="18"/>
                      <w:szCs w:val="18"/>
                    </w:rPr>
                    <w:t>,</w:t>
                  </w:r>
                </w:p>
                <w:p w:rsidR="00C14D83" w:rsidRPr="00A5269A" w:rsidRDefault="00C14D83" w:rsidP="00C14D83">
                  <w:pPr>
                    <w:rPr>
                      <w:sz w:val="18"/>
                      <w:szCs w:val="18"/>
                    </w:rPr>
                  </w:pPr>
                  <w:proofErr w:type="spellStart"/>
                  <w:proofErr w:type="gramStart"/>
                  <w:r>
                    <w:rPr>
                      <w:sz w:val="18"/>
                      <w:szCs w:val="18"/>
                    </w:rPr>
                    <w:t>st</w:t>
                  </w:r>
                  <w:proofErr w:type="gramEnd"/>
                  <w:r>
                    <w:rPr>
                      <w:sz w:val="18"/>
                      <w:szCs w:val="18"/>
                    </w:rPr>
                    <w:t>.</w:t>
                  </w:r>
                  <w:proofErr w:type="spellEnd"/>
                  <w:r>
                    <w:rPr>
                      <w:sz w:val="18"/>
                      <w:szCs w:val="18"/>
                    </w:rPr>
                    <w:t xml:space="preserve"> Dacia, 53/5. Boxing 31</w:t>
                  </w:r>
                </w:p>
                <w:p w:rsidR="00C14D83" w:rsidRPr="00A5269A" w:rsidRDefault="00C14D83" w:rsidP="00C14D83">
                  <w:pPr>
                    <w:rPr>
                      <w:sz w:val="18"/>
                      <w:szCs w:val="18"/>
                    </w:rPr>
                  </w:pPr>
                </w:p>
              </w:tc>
            </w:tr>
            <w:tr w:rsidR="00C14D83" w:rsidRPr="00A5269A" w:rsidTr="009540A4">
              <w:trPr>
                <w:trHeight w:val="342"/>
                <w:jc w:val="center"/>
              </w:trPr>
              <w:tc>
                <w:tcPr>
                  <w:tcW w:w="531" w:type="dxa"/>
                  <w:shd w:val="clear" w:color="auto" w:fill="auto"/>
                  <w:vAlign w:val="center"/>
                </w:tcPr>
                <w:p w:rsidR="00C14D83" w:rsidRPr="00EF01A9" w:rsidRDefault="00C14D83" w:rsidP="00C14D83">
                  <w:pPr>
                    <w:jc w:val="center"/>
                    <w:rPr>
                      <w:sz w:val="18"/>
                      <w:szCs w:val="18"/>
                    </w:rPr>
                  </w:pPr>
                  <w:r w:rsidRPr="00EF01A9">
                    <w:rPr>
                      <w:sz w:val="18"/>
                      <w:szCs w:val="18"/>
                    </w:rPr>
                    <w:t>2</w:t>
                  </w:r>
                </w:p>
              </w:tc>
              <w:tc>
                <w:tcPr>
                  <w:tcW w:w="3827" w:type="dxa"/>
                  <w:shd w:val="clear" w:color="auto" w:fill="auto"/>
                  <w:vAlign w:val="center"/>
                </w:tcPr>
                <w:p w:rsidR="00C14D83" w:rsidRPr="00A5269A" w:rsidRDefault="00C14D83" w:rsidP="00C14D83">
                  <w:pPr>
                    <w:rPr>
                      <w:sz w:val="18"/>
                      <w:szCs w:val="18"/>
                    </w:rPr>
                  </w:pPr>
                  <w:r w:rsidRPr="00A5269A">
                    <w:rPr>
                      <w:sz w:val="18"/>
                      <w:szCs w:val="18"/>
                    </w:rPr>
                    <w:t>Unicode SRL</w:t>
                  </w:r>
                </w:p>
              </w:tc>
              <w:tc>
                <w:tcPr>
                  <w:tcW w:w="4678" w:type="dxa"/>
                  <w:shd w:val="clear" w:color="auto" w:fill="auto"/>
                  <w:vAlign w:val="center"/>
                </w:tcPr>
                <w:p w:rsidR="00C14D83" w:rsidRPr="00A5269A" w:rsidRDefault="00C14D83" w:rsidP="00C14D83">
                  <w:pPr>
                    <w:rPr>
                      <w:sz w:val="18"/>
                      <w:szCs w:val="18"/>
                    </w:rPr>
                  </w:pPr>
                  <w:proofErr w:type="gramStart"/>
                  <w:r w:rsidRPr="00A5269A">
                    <w:rPr>
                      <w:sz w:val="18"/>
                      <w:szCs w:val="18"/>
                    </w:rPr>
                    <w:t>or</w:t>
                  </w:r>
                  <w:proofErr w:type="gramEnd"/>
                  <w:r w:rsidRPr="00A5269A">
                    <w:rPr>
                      <w:sz w:val="18"/>
                      <w:szCs w:val="18"/>
                    </w:rPr>
                    <w:t xml:space="preserve">. </w:t>
                  </w:r>
                  <w:proofErr w:type="spellStart"/>
                  <w:r w:rsidRPr="00A5269A">
                    <w:rPr>
                      <w:sz w:val="18"/>
                      <w:szCs w:val="18"/>
                    </w:rPr>
                    <w:t>Calarasi</w:t>
                  </w:r>
                  <w:proofErr w:type="spellEnd"/>
                  <w:r w:rsidRPr="00A5269A">
                    <w:rPr>
                      <w:sz w:val="18"/>
                      <w:szCs w:val="18"/>
                    </w:rPr>
                    <w:t>,</w:t>
                  </w:r>
                </w:p>
                <w:p w:rsidR="00C14D83" w:rsidRPr="00A5269A" w:rsidRDefault="00C14D83" w:rsidP="00C14D83">
                  <w:pPr>
                    <w:rPr>
                      <w:sz w:val="18"/>
                      <w:szCs w:val="18"/>
                    </w:rPr>
                  </w:pPr>
                  <w:r w:rsidRPr="00A5269A">
                    <w:rPr>
                      <w:sz w:val="18"/>
                      <w:szCs w:val="18"/>
                    </w:rPr>
                    <w:t xml:space="preserve">Str. Alexandru </w:t>
                  </w:r>
                  <w:proofErr w:type="spellStart"/>
                  <w:r w:rsidRPr="00A5269A">
                    <w:rPr>
                      <w:sz w:val="18"/>
                      <w:szCs w:val="18"/>
                    </w:rPr>
                    <w:t>cel</w:t>
                  </w:r>
                  <w:proofErr w:type="spellEnd"/>
                  <w:r w:rsidRPr="00A5269A">
                    <w:rPr>
                      <w:sz w:val="18"/>
                      <w:szCs w:val="18"/>
                    </w:rPr>
                    <w:t xml:space="preserve"> Bun, 114,</w:t>
                  </w:r>
                </w:p>
                <w:p w:rsidR="00C14D83" w:rsidRPr="00A5269A" w:rsidRDefault="00C14D83" w:rsidP="00C14D83">
                  <w:pPr>
                    <w:rPr>
                      <w:sz w:val="18"/>
                      <w:szCs w:val="18"/>
                    </w:rPr>
                  </w:pPr>
                </w:p>
              </w:tc>
            </w:tr>
            <w:tr w:rsidR="00C14D83" w:rsidRPr="00A5269A" w:rsidTr="009540A4">
              <w:trPr>
                <w:trHeight w:val="20"/>
                <w:jc w:val="center"/>
              </w:trPr>
              <w:tc>
                <w:tcPr>
                  <w:tcW w:w="531" w:type="dxa"/>
                  <w:shd w:val="clear" w:color="auto" w:fill="auto"/>
                  <w:vAlign w:val="center"/>
                </w:tcPr>
                <w:p w:rsidR="00C14D83" w:rsidRPr="00EF01A9" w:rsidRDefault="00C14D83" w:rsidP="00C14D83">
                  <w:pPr>
                    <w:jc w:val="center"/>
                    <w:rPr>
                      <w:bCs/>
                      <w:sz w:val="18"/>
                      <w:szCs w:val="18"/>
                    </w:rPr>
                  </w:pPr>
                  <w:r w:rsidRPr="00EF01A9">
                    <w:rPr>
                      <w:bCs/>
                      <w:sz w:val="18"/>
                      <w:szCs w:val="18"/>
                    </w:rPr>
                    <w:t>3</w:t>
                  </w:r>
                </w:p>
              </w:tc>
              <w:tc>
                <w:tcPr>
                  <w:tcW w:w="3827" w:type="dxa"/>
                  <w:shd w:val="clear" w:color="auto" w:fill="auto"/>
                  <w:vAlign w:val="center"/>
                </w:tcPr>
                <w:p w:rsidR="00C14D83" w:rsidRPr="00A5269A" w:rsidRDefault="00C14D83" w:rsidP="00C14D83">
                  <w:pPr>
                    <w:rPr>
                      <w:bCs/>
                      <w:sz w:val="18"/>
                      <w:szCs w:val="18"/>
                    </w:rPr>
                  </w:pPr>
                  <w:r>
                    <w:rPr>
                      <w:bCs/>
                      <w:sz w:val="18"/>
                      <w:szCs w:val="18"/>
                    </w:rPr>
                    <w:t xml:space="preserve">ICS  CSM Uniform </w:t>
                  </w:r>
                  <w:r w:rsidRPr="00A5269A">
                    <w:rPr>
                      <w:bCs/>
                      <w:sz w:val="18"/>
                      <w:szCs w:val="18"/>
                    </w:rPr>
                    <w:t xml:space="preserve"> SRL</w:t>
                  </w:r>
                </w:p>
              </w:tc>
              <w:tc>
                <w:tcPr>
                  <w:tcW w:w="4678" w:type="dxa"/>
                  <w:shd w:val="clear" w:color="auto" w:fill="auto"/>
                  <w:vAlign w:val="center"/>
                </w:tcPr>
                <w:p w:rsidR="00C14D83" w:rsidRPr="00A5269A" w:rsidRDefault="00C14D83" w:rsidP="00C14D83">
                  <w:pPr>
                    <w:rPr>
                      <w:bCs/>
                      <w:sz w:val="18"/>
                      <w:szCs w:val="18"/>
                    </w:rPr>
                  </w:pPr>
                  <w:proofErr w:type="gramStart"/>
                  <w:r>
                    <w:rPr>
                      <w:bCs/>
                      <w:sz w:val="18"/>
                      <w:szCs w:val="18"/>
                    </w:rPr>
                    <w:t>,</w:t>
                  </w:r>
                  <w:proofErr w:type="spellStart"/>
                  <w:r>
                    <w:rPr>
                      <w:bCs/>
                      <w:sz w:val="18"/>
                      <w:szCs w:val="18"/>
                    </w:rPr>
                    <w:t>mun</w:t>
                  </w:r>
                  <w:proofErr w:type="spellEnd"/>
                  <w:proofErr w:type="gramEnd"/>
                  <w:r>
                    <w:rPr>
                      <w:bCs/>
                      <w:sz w:val="18"/>
                      <w:szCs w:val="18"/>
                    </w:rPr>
                    <w:t xml:space="preserve">. </w:t>
                  </w:r>
                  <w:proofErr w:type="spellStart"/>
                  <w:r w:rsidRPr="00A5269A">
                    <w:rPr>
                      <w:bCs/>
                      <w:sz w:val="18"/>
                      <w:szCs w:val="18"/>
                    </w:rPr>
                    <w:t>Chișinău</w:t>
                  </w:r>
                  <w:proofErr w:type="spellEnd"/>
                  <w:r w:rsidRPr="00A5269A">
                    <w:rPr>
                      <w:bCs/>
                      <w:sz w:val="18"/>
                      <w:szCs w:val="18"/>
                    </w:rPr>
                    <w:t xml:space="preserve">, str. Maria </w:t>
                  </w:r>
                  <w:proofErr w:type="spellStart"/>
                  <w:r w:rsidRPr="00A5269A">
                    <w:rPr>
                      <w:bCs/>
                      <w:sz w:val="18"/>
                      <w:szCs w:val="18"/>
                    </w:rPr>
                    <w:t>Drăgan</w:t>
                  </w:r>
                  <w:proofErr w:type="spellEnd"/>
                  <w:r w:rsidRPr="00A5269A">
                    <w:rPr>
                      <w:bCs/>
                      <w:sz w:val="18"/>
                      <w:szCs w:val="18"/>
                    </w:rPr>
                    <w:t>, 28/3</w:t>
                  </w:r>
                </w:p>
                <w:p w:rsidR="00C14D83" w:rsidRPr="00A5269A" w:rsidRDefault="00C14D83" w:rsidP="00C14D83">
                  <w:pPr>
                    <w:rPr>
                      <w:bCs/>
                      <w:sz w:val="18"/>
                      <w:szCs w:val="18"/>
                    </w:rPr>
                  </w:pPr>
                </w:p>
              </w:tc>
            </w:tr>
            <w:tr w:rsidR="00C14D83" w:rsidRPr="00A5269A" w:rsidTr="009540A4">
              <w:trPr>
                <w:trHeight w:val="20"/>
                <w:jc w:val="center"/>
              </w:trPr>
              <w:tc>
                <w:tcPr>
                  <w:tcW w:w="531" w:type="dxa"/>
                  <w:shd w:val="clear" w:color="auto" w:fill="auto"/>
                  <w:vAlign w:val="center"/>
                </w:tcPr>
                <w:p w:rsidR="00C14D83" w:rsidRPr="00EF01A9" w:rsidRDefault="00C14D83" w:rsidP="00C14D83">
                  <w:pPr>
                    <w:jc w:val="center"/>
                    <w:rPr>
                      <w:bCs/>
                      <w:sz w:val="18"/>
                      <w:szCs w:val="18"/>
                    </w:rPr>
                  </w:pPr>
                  <w:r>
                    <w:rPr>
                      <w:bCs/>
                      <w:sz w:val="18"/>
                      <w:szCs w:val="18"/>
                    </w:rPr>
                    <w:t>4</w:t>
                  </w:r>
                </w:p>
              </w:tc>
              <w:tc>
                <w:tcPr>
                  <w:tcW w:w="3827" w:type="dxa"/>
                  <w:shd w:val="clear" w:color="auto" w:fill="auto"/>
                  <w:vAlign w:val="center"/>
                </w:tcPr>
                <w:p w:rsidR="00C14D83" w:rsidRPr="00A5269A" w:rsidRDefault="00C14D83" w:rsidP="00C14D83">
                  <w:pPr>
                    <w:rPr>
                      <w:bCs/>
                      <w:sz w:val="18"/>
                      <w:szCs w:val="18"/>
                    </w:rPr>
                  </w:pPr>
                  <w:r>
                    <w:rPr>
                      <w:bCs/>
                      <w:sz w:val="18"/>
                      <w:szCs w:val="18"/>
                    </w:rPr>
                    <w:t xml:space="preserve">ROTAN </w:t>
                  </w:r>
                  <w:r w:rsidRPr="00A5269A">
                    <w:rPr>
                      <w:bCs/>
                      <w:sz w:val="18"/>
                      <w:szCs w:val="18"/>
                    </w:rPr>
                    <w:t xml:space="preserve"> SA FC</w:t>
                  </w:r>
                </w:p>
              </w:tc>
              <w:tc>
                <w:tcPr>
                  <w:tcW w:w="4678" w:type="dxa"/>
                  <w:shd w:val="clear" w:color="auto" w:fill="auto"/>
                  <w:vAlign w:val="center"/>
                </w:tcPr>
                <w:p w:rsidR="00C14D83" w:rsidRPr="00A5269A" w:rsidRDefault="00C14D83" w:rsidP="00C14D83">
                  <w:pPr>
                    <w:rPr>
                      <w:bCs/>
                      <w:sz w:val="18"/>
                      <w:szCs w:val="18"/>
                    </w:rPr>
                  </w:pPr>
                  <w:proofErr w:type="spellStart"/>
                  <w:r>
                    <w:rPr>
                      <w:bCs/>
                      <w:sz w:val="18"/>
                      <w:szCs w:val="18"/>
                    </w:rPr>
                    <w:t>Mun</w:t>
                  </w:r>
                  <w:proofErr w:type="spellEnd"/>
                  <w:r>
                    <w:rPr>
                      <w:bCs/>
                      <w:sz w:val="18"/>
                      <w:szCs w:val="18"/>
                    </w:rPr>
                    <w:t xml:space="preserve">. </w:t>
                  </w:r>
                  <w:r w:rsidRPr="00A5269A">
                    <w:rPr>
                      <w:bCs/>
                      <w:sz w:val="18"/>
                      <w:szCs w:val="18"/>
                    </w:rPr>
                    <w:t xml:space="preserve">Chisinau, </w:t>
                  </w:r>
                  <w:proofErr w:type="spellStart"/>
                  <w:r>
                    <w:rPr>
                      <w:bCs/>
                      <w:sz w:val="18"/>
                      <w:szCs w:val="18"/>
                    </w:rPr>
                    <w:t>s</w:t>
                  </w:r>
                  <w:r w:rsidRPr="00A5269A">
                    <w:rPr>
                      <w:bCs/>
                      <w:sz w:val="18"/>
                      <w:szCs w:val="18"/>
                    </w:rPr>
                    <w:t>t.</w:t>
                  </w:r>
                  <w:proofErr w:type="spellEnd"/>
                  <w:r w:rsidRPr="00A5269A">
                    <w:rPr>
                      <w:bCs/>
                      <w:sz w:val="18"/>
                      <w:szCs w:val="18"/>
                    </w:rPr>
                    <w:t xml:space="preserve"> </w:t>
                  </w:r>
                  <w:proofErr w:type="spellStart"/>
                  <w:r w:rsidRPr="00A5269A">
                    <w:rPr>
                      <w:bCs/>
                      <w:sz w:val="18"/>
                      <w:szCs w:val="18"/>
                    </w:rPr>
                    <w:t>Meshterul</w:t>
                  </w:r>
                  <w:proofErr w:type="spellEnd"/>
                  <w:r w:rsidRPr="00A5269A">
                    <w:rPr>
                      <w:bCs/>
                      <w:sz w:val="18"/>
                      <w:szCs w:val="18"/>
                    </w:rPr>
                    <w:t xml:space="preserve"> </w:t>
                  </w:r>
                  <w:proofErr w:type="spellStart"/>
                  <w:r w:rsidRPr="00A5269A">
                    <w:rPr>
                      <w:bCs/>
                      <w:sz w:val="18"/>
                      <w:szCs w:val="18"/>
                    </w:rPr>
                    <w:t>Manole</w:t>
                  </w:r>
                  <w:proofErr w:type="spellEnd"/>
                  <w:r w:rsidRPr="00A5269A">
                    <w:rPr>
                      <w:bCs/>
                      <w:sz w:val="18"/>
                      <w:szCs w:val="18"/>
                    </w:rPr>
                    <w:t xml:space="preserve"> 9, </w:t>
                  </w:r>
                </w:p>
                <w:p w:rsidR="00C14D83" w:rsidRPr="00A5269A" w:rsidRDefault="00C14D83" w:rsidP="00C14D83">
                  <w:pPr>
                    <w:rPr>
                      <w:bCs/>
                      <w:sz w:val="18"/>
                      <w:szCs w:val="18"/>
                    </w:rPr>
                  </w:pPr>
                </w:p>
              </w:tc>
            </w:tr>
            <w:tr w:rsidR="00C14D83" w:rsidRPr="00A5269A" w:rsidTr="009540A4">
              <w:trPr>
                <w:trHeight w:val="20"/>
                <w:jc w:val="center"/>
              </w:trPr>
              <w:tc>
                <w:tcPr>
                  <w:tcW w:w="531" w:type="dxa"/>
                  <w:shd w:val="clear" w:color="auto" w:fill="auto"/>
                  <w:vAlign w:val="center"/>
                </w:tcPr>
                <w:p w:rsidR="00C14D83" w:rsidRPr="00EF01A9" w:rsidRDefault="00C14D83" w:rsidP="00C14D83">
                  <w:pPr>
                    <w:jc w:val="center"/>
                    <w:rPr>
                      <w:sz w:val="18"/>
                      <w:szCs w:val="18"/>
                    </w:rPr>
                  </w:pPr>
                  <w:r>
                    <w:rPr>
                      <w:sz w:val="18"/>
                      <w:szCs w:val="18"/>
                    </w:rPr>
                    <w:t>5</w:t>
                  </w:r>
                </w:p>
              </w:tc>
              <w:tc>
                <w:tcPr>
                  <w:tcW w:w="3827" w:type="dxa"/>
                  <w:shd w:val="clear" w:color="auto" w:fill="auto"/>
                  <w:vAlign w:val="center"/>
                </w:tcPr>
                <w:p w:rsidR="00C14D83" w:rsidRPr="00A5269A" w:rsidRDefault="00C14D83" w:rsidP="00C14D83">
                  <w:pPr>
                    <w:rPr>
                      <w:sz w:val="18"/>
                      <w:szCs w:val="18"/>
                    </w:rPr>
                  </w:pPr>
                  <w:r>
                    <w:rPr>
                      <w:sz w:val="18"/>
                      <w:szCs w:val="18"/>
                    </w:rPr>
                    <w:t xml:space="preserve"> TERRI-PA</w:t>
                  </w:r>
                  <w:r w:rsidRPr="00A5269A">
                    <w:rPr>
                      <w:sz w:val="18"/>
                      <w:szCs w:val="18"/>
                    </w:rPr>
                    <w:t xml:space="preserve"> SRL</w:t>
                  </w:r>
                </w:p>
              </w:tc>
              <w:tc>
                <w:tcPr>
                  <w:tcW w:w="4678" w:type="dxa"/>
                  <w:shd w:val="clear" w:color="auto" w:fill="auto"/>
                  <w:vAlign w:val="center"/>
                </w:tcPr>
                <w:p w:rsidR="00C14D83" w:rsidRDefault="00C14D83" w:rsidP="00C14D83">
                  <w:pPr>
                    <w:rPr>
                      <w:sz w:val="18"/>
                      <w:szCs w:val="18"/>
                    </w:rPr>
                  </w:pPr>
                  <w:r>
                    <w:rPr>
                      <w:sz w:val="18"/>
                      <w:szCs w:val="18"/>
                    </w:rPr>
                    <w:t xml:space="preserve">s. </w:t>
                  </w:r>
                  <w:proofErr w:type="spellStart"/>
                  <w:r w:rsidRPr="00A5269A">
                    <w:rPr>
                      <w:sz w:val="18"/>
                      <w:szCs w:val="18"/>
                    </w:rPr>
                    <w:t>Parcani</w:t>
                  </w:r>
                  <w:proofErr w:type="spellEnd"/>
                  <w:r w:rsidRPr="00A5269A">
                    <w:rPr>
                      <w:sz w:val="18"/>
                      <w:szCs w:val="18"/>
                    </w:rPr>
                    <w:t xml:space="preserve">, str. </w:t>
                  </w:r>
                  <w:proofErr w:type="spellStart"/>
                  <w:r w:rsidRPr="00A5269A">
                    <w:rPr>
                      <w:sz w:val="18"/>
                      <w:szCs w:val="18"/>
                    </w:rPr>
                    <w:t>Kotovski</w:t>
                  </w:r>
                  <w:proofErr w:type="spellEnd"/>
                  <w:r w:rsidRPr="00A5269A">
                    <w:rPr>
                      <w:sz w:val="18"/>
                      <w:szCs w:val="18"/>
                    </w:rPr>
                    <w:t xml:space="preserve">, 9 A </w:t>
                  </w:r>
                </w:p>
                <w:p w:rsidR="00C14D83" w:rsidRPr="00A5269A" w:rsidRDefault="00C14D83" w:rsidP="00C14D83">
                  <w:pPr>
                    <w:rPr>
                      <w:sz w:val="18"/>
                      <w:szCs w:val="18"/>
                    </w:rPr>
                  </w:pPr>
                </w:p>
              </w:tc>
            </w:tr>
            <w:tr w:rsidR="00C14D83" w:rsidRPr="00A5269A" w:rsidTr="009540A4">
              <w:trPr>
                <w:trHeight w:val="20"/>
                <w:jc w:val="center"/>
              </w:trPr>
              <w:tc>
                <w:tcPr>
                  <w:tcW w:w="531" w:type="dxa"/>
                  <w:shd w:val="clear" w:color="auto" w:fill="auto"/>
                  <w:vAlign w:val="center"/>
                </w:tcPr>
                <w:p w:rsidR="00C14D83" w:rsidRPr="00EF01A9" w:rsidRDefault="00C14D83" w:rsidP="00C14D83">
                  <w:pPr>
                    <w:jc w:val="center"/>
                    <w:rPr>
                      <w:sz w:val="18"/>
                      <w:szCs w:val="18"/>
                    </w:rPr>
                  </w:pPr>
                  <w:r>
                    <w:rPr>
                      <w:sz w:val="18"/>
                      <w:szCs w:val="18"/>
                    </w:rPr>
                    <w:t>6</w:t>
                  </w:r>
                </w:p>
              </w:tc>
              <w:tc>
                <w:tcPr>
                  <w:tcW w:w="3827" w:type="dxa"/>
                  <w:shd w:val="clear" w:color="auto" w:fill="auto"/>
                  <w:vAlign w:val="center"/>
                </w:tcPr>
                <w:p w:rsidR="00C14D83" w:rsidRPr="00A5269A" w:rsidRDefault="00C14D83" w:rsidP="00C14D83">
                  <w:pPr>
                    <w:rPr>
                      <w:sz w:val="18"/>
                      <w:szCs w:val="18"/>
                    </w:rPr>
                  </w:pPr>
                  <w:r w:rsidRPr="00A5269A">
                    <w:rPr>
                      <w:sz w:val="18"/>
                      <w:szCs w:val="18"/>
                    </w:rPr>
                    <w:t xml:space="preserve">Cristina </w:t>
                  </w:r>
                  <w:proofErr w:type="spellStart"/>
                  <w:r w:rsidRPr="00A5269A">
                    <w:rPr>
                      <w:sz w:val="18"/>
                      <w:szCs w:val="18"/>
                    </w:rPr>
                    <w:t>Mold</w:t>
                  </w:r>
                  <w:proofErr w:type="spellEnd"/>
                  <w:r w:rsidRPr="00A5269A">
                    <w:rPr>
                      <w:sz w:val="18"/>
                      <w:szCs w:val="18"/>
                    </w:rPr>
                    <w:t xml:space="preserve">-Rom </w:t>
                  </w:r>
                  <w:proofErr w:type="spellStart"/>
                  <w:r w:rsidRPr="00A5269A">
                    <w:rPr>
                      <w:sz w:val="18"/>
                      <w:szCs w:val="18"/>
                    </w:rPr>
                    <w:t>Simpex</w:t>
                  </w:r>
                  <w:proofErr w:type="spellEnd"/>
                  <w:r w:rsidRPr="00A5269A">
                    <w:rPr>
                      <w:sz w:val="18"/>
                      <w:szCs w:val="18"/>
                    </w:rPr>
                    <w:t>” SRL</w:t>
                  </w:r>
                </w:p>
              </w:tc>
              <w:tc>
                <w:tcPr>
                  <w:tcW w:w="4678" w:type="dxa"/>
                  <w:shd w:val="clear" w:color="auto" w:fill="auto"/>
                  <w:vAlign w:val="center"/>
                </w:tcPr>
                <w:p w:rsidR="00C14D83" w:rsidRPr="00A5269A" w:rsidRDefault="00C14D83" w:rsidP="00C14D83">
                  <w:pPr>
                    <w:rPr>
                      <w:sz w:val="18"/>
                      <w:szCs w:val="18"/>
                    </w:rPr>
                  </w:pPr>
                  <w:proofErr w:type="spellStart"/>
                  <w:r w:rsidRPr="00A5269A">
                    <w:rPr>
                      <w:sz w:val="18"/>
                      <w:szCs w:val="18"/>
                    </w:rPr>
                    <w:t>mun.Chişinău</w:t>
                  </w:r>
                  <w:proofErr w:type="spellEnd"/>
                  <w:r w:rsidRPr="00A5269A">
                    <w:rPr>
                      <w:sz w:val="18"/>
                      <w:szCs w:val="18"/>
                    </w:rPr>
                    <w:t>,</w:t>
                  </w:r>
                  <w:r>
                    <w:rPr>
                      <w:sz w:val="18"/>
                      <w:szCs w:val="18"/>
                    </w:rPr>
                    <w:t xml:space="preserve"> </w:t>
                  </w:r>
                  <w:proofErr w:type="spellStart"/>
                  <w:r w:rsidRPr="00A5269A">
                    <w:rPr>
                      <w:sz w:val="18"/>
                      <w:szCs w:val="18"/>
                    </w:rPr>
                    <w:t>str.Mesager</w:t>
                  </w:r>
                  <w:proofErr w:type="spellEnd"/>
                  <w:r w:rsidRPr="00A5269A">
                    <w:rPr>
                      <w:sz w:val="18"/>
                      <w:szCs w:val="18"/>
                    </w:rPr>
                    <w:t>, 27</w:t>
                  </w:r>
                </w:p>
                <w:p w:rsidR="00C14D83" w:rsidRPr="00A5269A" w:rsidRDefault="00C14D83" w:rsidP="00C14D83">
                  <w:pPr>
                    <w:rPr>
                      <w:sz w:val="18"/>
                      <w:szCs w:val="18"/>
                    </w:rPr>
                  </w:pPr>
                </w:p>
              </w:tc>
            </w:tr>
            <w:tr w:rsidR="00C14D83" w:rsidRPr="00A5269A" w:rsidTr="009540A4">
              <w:trPr>
                <w:trHeight w:val="20"/>
                <w:jc w:val="center"/>
              </w:trPr>
              <w:tc>
                <w:tcPr>
                  <w:tcW w:w="531" w:type="dxa"/>
                  <w:shd w:val="clear" w:color="auto" w:fill="auto"/>
                  <w:vAlign w:val="center"/>
                </w:tcPr>
                <w:p w:rsidR="00C14D83" w:rsidRPr="00EF01A9" w:rsidRDefault="00C14D83" w:rsidP="00C14D83">
                  <w:pPr>
                    <w:jc w:val="center"/>
                    <w:rPr>
                      <w:sz w:val="18"/>
                      <w:szCs w:val="18"/>
                    </w:rPr>
                  </w:pPr>
                  <w:r>
                    <w:rPr>
                      <w:sz w:val="18"/>
                      <w:szCs w:val="18"/>
                    </w:rPr>
                    <w:t>7</w:t>
                  </w:r>
                </w:p>
              </w:tc>
              <w:tc>
                <w:tcPr>
                  <w:tcW w:w="3827" w:type="dxa"/>
                  <w:shd w:val="clear" w:color="auto" w:fill="auto"/>
                  <w:vAlign w:val="center"/>
                </w:tcPr>
                <w:p w:rsidR="00C14D83" w:rsidRPr="00A5269A" w:rsidRDefault="00C14D83" w:rsidP="00C14D83">
                  <w:pPr>
                    <w:rPr>
                      <w:sz w:val="18"/>
                      <w:szCs w:val="18"/>
                    </w:rPr>
                  </w:pPr>
                  <w:r>
                    <w:rPr>
                      <w:sz w:val="18"/>
                      <w:szCs w:val="18"/>
                    </w:rPr>
                    <w:t xml:space="preserve">OLDCOM </w:t>
                  </w:r>
                  <w:r w:rsidRPr="00A5269A">
                    <w:rPr>
                      <w:sz w:val="18"/>
                      <w:szCs w:val="18"/>
                    </w:rPr>
                    <w:t xml:space="preserve"> SA</w:t>
                  </w:r>
                </w:p>
              </w:tc>
              <w:tc>
                <w:tcPr>
                  <w:tcW w:w="4678" w:type="dxa"/>
                  <w:shd w:val="clear" w:color="auto" w:fill="auto"/>
                  <w:vAlign w:val="center"/>
                </w:tcPr>
                <w:p w:rsidR="00C14D83" w:rsidRPr="00A5269A" w:rsidRDefault="00C14D83" w:rsidP="00C14D83">
                  <w:pPr>
                    <w:rPr>
                      <w:sz w:val="18"/>
                      <w:szCs w:val="18"/>
                    </w:rPr>
                  </w:pPr>
                  <w:proofErr w:type="spellStart"/>
                  <w:proofErr w:type="gramStart"/>
                  <w:r>
                    <w:rPr>
                      <w:sz w:val="18"/>
                      <w:szCs w:val="18"/>
                    </w:rPr>
                    <w:t>mun</w:t>
                  </w:r>
                  <w:proofErr w:type="spellEnd"/>
                  <w:proofErr w:type="gramEnd"/>
                  <w:r>
                    <w:rPr>
                      <w:sz w:val="18"/>
                      <w:szCs w:val="18"/>
                    </w:rPr>
                    <w:t xml:space="preserve">. </w:t>
                  </w:r>
                  <w:r w:rsidRPr="00A5269A">
                    <w:rPr>
                      <w:sz w:val="18"/>
                      <w:szCs w:val="18"/>
                    </w:rPr>
                    <w:t xml:space="preserve">Chisinau, str. </w:t>
                  </w:r>
                  <w:proofErr w:type="spellStart"/>
                  <w:r w:rsidRPr="00A5269A">
                    <w:rPr>
                      <w:sz w:val="18"/>
                      <w:szCs w:val="18"/>
                    </w:rPr>
                    <w:t>Industrial</w:t>
                  </w:r>
                  <w:r>
                    <w:rPr>
                      <w:sz w:val="18"/>
                      <w:szCs w:val="18"/>
                    </w:rPr>
                    <w:t>ă</w:t>
                  </w:r>
                  <w:proofErr w:type="spellEnd"/>
                  <w:r w:rsidRPr="00A5269A">
                    <w:rPr>
                      <w:sz w:val="18"/>
                      <w:szCs w:val="18"/>
                    </w:rPr>
                    <w:t xml:space="preserve"> 34/1</w:t>
                  </w:r>
                </w:p>
                <w:p w:rsidR="00C14D83" w:rsidRPr="00A5269A" w:rsidRDefault="00C14D83" w:rsidP="00C14D83">
                  <w:pPr>
                    <w:rPr>
                      <w:sz w:val="18"/>
                      <w:szCs w:val="18"/>
                    </w:rPr>
                  </w:pPr>
                </w:p>
              </w:tc>
            </w:tr>
            <w:tr w:rsidR="00C14D83" w:rsidRPr="00A5269A" w:rsidTr="009540A4">
              <w:trPr>
                <w:trHeight w:val="20"/>
                <w:jc w:val="center"/>
              </w:trPr>
              <w:tc>
                <w:tcPr>
                  <w:tcW w:w="531" w:type="dxa"/>
                  <w:shd w:val="clear" w:color="auto" w:fill="auto"/>
                  <w:vAlign w:val="center"/>
                </w:tcPr>
                <w:p w:rsidR="00C14D83" w:rsidRPr="00EF01A9" w:rsidRDefault="00C14D83" w:rsidP="00C14D83">
                  <w:pPr>
                    <w:jc w:val="center"/>
                    <w:rPr>
                      <w:sz w:val="18"/>
                      <w:szCs w:val="18"/>
                    </w:rPr>
                  </w:pPr>
                  <w:r>
                    <w:rPr>
                      <w:sz w:val="18"/>
                      <w:szCs w:val="18"/>
                    </w:rPr>
                    <w:t>8</w:t>
                  </w:r>
                </w:p>
              </w:tc>
              <w:tc>
                <w:tcPr>
                  <w:tcW w:w="3827" w:type="dxa"/>
                  <w:shd w:val="clear" w:color="auto" w:fill="auto"/>
                  <w:vAlign w:val="center"/>
                </w:tcPr>
                <w:p w:rsidR="00C14D83" w:rsidRPr="00A5269A" w:rsidRDefault="00C14D83" w:rsidP="00C14D83">
                  <w:pPr>
                    <w:rPr>
                      <w:sz w:val="18"/>
                      <w:szCs w:val="18"/>
                    </w:rPr>
                  </w:pPr>
                  <w:proofErr w:type="spellStart"/>
                  <w:r>
                    <w:rPr>
                      <w:sz w:val="18"/>
                      <w:szCs w:val="18"/>
                    </w:rPr>
                    <w:t>Portavita</w:t>
                  </w:r>
                  <w:proofErr w:type="spellEnd"/>
                  <w:r>
                    <w:rPr>
                      <w:sz w:val="18"/>
                      <w:szCs w:val="18"/>
                    </w:rPr>
                    <w:t xml:space="preserve"> (</w:t>
                  </w:r>
                  <w:proofErr w:type="spellStart"/>
                  <w:r>
                    <w:rPr>
                      <w:sz w:val="18"/>
                      <w:szCs w:val="18"/>
                    </w:rPr>
                    <w:t>Amarena</w:t>
                  </w:r>
                  <w:proofErr w:type="spellEnd"/>
                  <w:r>
                    <w:rPr>
                      <w:sz w:val="18"/>
                      <w:szCs w:val="18"/>
                    </w:rPr>
                    <w:t xml:space="preserve"> secret)</w:t>
                  </w:r>
                </w:p>
              </w:tc>
              <w:tc>
                <w:tcPr>
                  <w:tcW w:w="4678" w:type="dxa"/>
                  <w:shd w:val="clear" w:color="auto" w:fill="auto"/>
                  <w:vAlign w:val="center"/>
                </w:tcPr>
                <w:p w:rsidR="00C14D83" w:rsidRDefault="00C14D83" w:rsidP="00C14D83">
                  <w:pPr>
                    <w:rPr>
                      <w:sz w:val="18"/>
                      <w:szCs w:val="18"/>
                    </w:rPr>
                  </w:pPr>
                  <w:proofErr w:type="spellStart"/>
                  <w:proofErr w:type="gramStart"/>
                  <w:r>
                    <w:rPr>
                      <w:sz w:val="18"/>
                      <w:szCs w:val="18"/>
                    </w:rPr>
                    <w:t>mun</w:t>
                  </w:r>
                  <w:proofErr w:type="spellEnd"/>
                  <w:proofErr w:type="gramEnd"/>
                  <w:r>
                    <w:rPr>
                      <w:sz w:val="18"/>
                      <w:szCs w:val="18"/>
                    </w:rPr>
                    <w:t xml:space="preserve">. </w:t>
                  </w:r>
                  <w:proofErr w:type="spellStart"/>
                  <w:r>
                    <w:rPr>
                      <w:sz w:val="18"/>
                      <w:szCs w:val="18"/>
                    </w:rPr>
                    <w:t>Chișinău</w:t>
                  </w:r>
                  <w:proofErr w:type="spellEnd"/>
                  <w:r>
                    <w:rPr>
                      <w:sz w:val="18"/>
                      <w:szCs w:val="18"/>
                    </w:rPr>
                    <w:t xml:space="preserve">, str. </w:t>
                  </w:r>
                  <w:proofErr w:type="spellStart"/>
                  <w:r>
                    <w:rPr>
                      <w:sz w:val="18"/>
                      <w:szCs w:val="18"/>
                    </w:rPr>
                    <w:t>Petricani</w:t>
                  </w:r>
                  <w:proofErr w:type="spellEnd"/>
                  <w:r>
                    <w:rPr>
                      <w:sz w:val="18"/>
                      <w:szCs w:val="18"/>
                    </w:rPr>
                    <w:t xml:space="preserve"> 17/22</w:t>
                  </w:r>
                </w:p>
                <w:p w:rsidR="00C14D83" w:rsidRPr="00A5269A" w:rsidRDefault="00C14D83" w:rsidP="00C14D83">
                  <w:pPr>
                    <w:rPr>
                      <w:sz w:val="18"/>
                      <w:szCs w:val="18"/>
                    </w:rPr>
                  </w:pPr>
                </w:p>
              </w:tc>
            </w:tr>
            <w:tr w:rsidR="00C14D83" w:rsidRPr="00A5269A" w:rsidTr="009540A4">
              <w:trPr>
                <w:trHeight w:val="20"/>
                <w:jc w:val="center"/>
              </w:trPr>
              <w:tc>
                <w:tcPr>
                  <w:tcW w:w="531" w:type="dxa"/>
                  <w:shd w:val="clear" w:color="auto" w:fill="auto"/>
                  <w:vAlign w:val="center"/>
                </w:tcPr>
                <w:p w:rsidR="00C14D83" w:rsidRPr="00EF01A9" w:rsidRDefault="00C14D83" w:rsidP="00C14D83">
                  <w:pPr>
                    <w:jc w:val="center"/>
                    <w:rPr>
                      <w:sz w:val="18"/>
                      <w:szCs w:val="18"/>
                    </w:rPr>
                  </w:pPr>
                  <w:r>
                    <w:rPr>
                      <w:sz w:val="18"/>
                      <w:szCs w:val="18"/>
                    </w:rPr>
                    <w:t>9</w:t>
                  </w:r>
                </w:p>
              </w:tc>
              <w:tc>
                <w:tcPr>
                  <w:tcW w:w="3827" w:type="dxa"/>
                  <w:shd w:val="clear" w:color="auto" w:fill="auto"/>
                  <w:vAlign w:val="center"/>
                </w:tcPr>
                <w:p w:rsidR="00C14D83" w:rsidRDefault="00C14D83" w:rsidP="00C14D83">
                  <w:pPr>
                    <w:rPr>
                      <w:sz w:val="18"/>
                      <w:szCs w:val="18"/>
                    </w:rPr>
                  </w:pPr>
                  <w:proofErr w:type="spellStart"/>
                  <w:r>
                    <w:rPr>
                      <w:sz w:val="18"/>
                      <w:szCs w:val="18"/>
                    </w:rPr>
                    <w:t>Protego</w:t>
                  </w:r>
                  <w:proofErr w:type="spellEnd"/>
                </w:p>
              </w:tc>
              <w:tc>
                <w:tcPr>
                  <w:tcW w:w="4678" w:type="dxa"/>
                  <w:shd w:val="clear" w:color="auto" w:fill="auto"/>
                  <w:vAlign w:val="center"/>
                </w:tcPr>
                <w:p w:rsidR="00C14D83" w:rsidRDefault="00C14D83" w:rsidP="00C14D83">
                  <w:pPr>
                    <w:rPr>
                      <w:sz w:val="18"/>
                      <w:szCs w:val="18"/>
                    </w:rPr>
                  </w:pPr>
                  <w:proofErr w:type="spellStart"/>
                  <w:proofErr w:type="gramStart"/>
                  <w:r>
                    <w:rPr>
                      <w:sz w:val="18"/>
                      <w:szCs w:val="18"/>
                    </w:rPr>
                    <w:t>mun</w:t>
                  </w:r>
                  <w:proofErr w:type="spellEnd"/>
                  <w:proofErr w:type="gramEnd"/>
                  <w:r>
                    <w:rPr>
                      <w:sz w:val="18"/>
                      <w:szCs w:val="18"/>
                    </w:rPr>
                    <w:t xml:space="preserve">. </w:t>
                  </w:r>
                  <w:proofErr w:type="spellStart"/>
                  <w:r>
                    <w:rPr>
                      <w:sz w:val="18"/>
                      <w:szCs w:val="18"/>
                    </w:rPr>
                    <w:t>Chișinău</w:t>
                  </w:r>
                  <w:proofErr w:type="spellEnd"/>
                  <w:r>
                    <w:rPr>
                      <w:sz w:val="18"/>
                      <w:szCs w:val="18"/>
                    </w:rPr>
                    <w:t xml:space="preserve">, str. </w:t>
                  </w:r>
                  <w:proofErr w:type="spellStart"/>
                  <w:r>
                    <w:rPr>
                      <w:sz w:val="18"/>
                      <w:szCs w:val="18"/>
                    </w:rPr>
                    <w:t>Muncești</w:t>
                  </w:r>
                  <w:proofErr w:type="spellEnd"/>
                  <w:r>
                    <w:rPr>
                      <w:sz w:val="18"/>
                      <w:szCs w:val="18"/>
                    </w:rPr>
                    <w:t xml:space="preserve"> 171</w:t>
                  </w:r>
                </w:p>
                <w:p w:rsidR="00C14D83" w:rsidRDefault="00C14D83" w:rsidP="00C14D83">
                  <w:pPr>
                    <w:rPr>
                      <w:sz w:val="18"/>
                      <w:szCs w:val="18"/>
                    </w:rPr>
                  </w:pPr>
                </w:p>
              </w:tc>
            </w:tr>
            <w:tr w:rsidR="00C14D83" w:rsidRPr="00A5269A" w:rsidTr="009540A4">
              <w:trPr>
                <w:trHeight w:val="20"/>
                <w:jc w:val="center"/>
              </w:trPr>
              <w:tc>
                <w:tcPr>
                  <w:tcW w:w="531" w:type="dxa"/>
                  <w:shd w:val="clear" w:color="auto" w:fill="auto"/>
                  <w:vAlign w:val="center"/>
                </w:tcPr>
                <w:p w:rsidR="00C14D83" w:rsidRDefault="00C14D83" w:rsidP="00C14D83">
                  <w:pPr>
                    <w:jc w:val="center"/>
                    <w:rPr>
                      <w:sz w:val="18"/>
                      <w:szCs w:val="18"/>
                    </w:rPr>
                  </w:pPr>
                  <w:r>
                    <w:rPr>
                      <w:sz w:val="18"/>
                      <w:szCs w:val="18"/>
                    </w:rPr>
                    <w:t>10</w:t>
                  </w:r>
                </w:p>
              </w:tc>
              <w:tc>
                <w:tcPr>
                  <w:tcW w:w="3827" w:type="dxa"/>
                  <w:shd w:val="clear" w:color="auto" w:fill="auto"/>
                  <w:vAlign w:val="center"/>
                </w:tcPr>
                <w:p w:rsidR="00C14D83" w:rsidRDefault="00C14D83" w:rsidP="00C14D83">
                  <w:pPr>
                    <w:rPr>
                      <w:sz w:val="18"/>
                      <w:szCs w:val="18"/>
                    </w:rPr>
                  </w:pPr>
                  <w:r>
                    <w:rPr>
                      <w:sz w:val="18"/>
                      <w:szCs w:val="18"/>
                    </w:rPr>
                    <w:t>Miso Textile SRL</w:t>
                  </w:r>
                </w:p>
              </w:tc>
              <w:tc>
                <w:tcPr>
                  <w:tcW w:w="4678" w:type="dxa"/>
                  <w:shd w:val="clear" w:color="auto" w:fill="auto"/>
                  <w:vAlign w:val="center"/>
                </w:tcPr>
                <w:p w:rsidR="00C14D83" w:rsidRDefault="00C14D83" w:rsidP="00C14D83">
                  <w:pPr>
                    <w:rPr>
                      <w:sz w:val="18"/>
                      <w:szCs w:val="18"/>
                    </w:rPr>
                  </w:pPr>
                  <w:proofErr w:type="spellStart"/>
                  <w:proofErr w:type="gramStart"/>
                  <w:r>
                    <w:rPr>
                      <w:sz w:val="18"/>
                      <w:szCs w:val="18"/>
                    </w:rPr>
                    <w:t>mun</w:t>
                  </w:r>
                  <w:proofErr w:type="spellEnd"/>
                  <w:proofErr w:type="gramEnd"/>
                  <w:r>
                    <w:rPr>
                      <w:sz w:val="18"/>
                      <w:szCs w:val="18"/>
                    </w:rPr>
                    <w:t xml:space="preserve">. </w:t>
                  </w:r>
                  <w:proofErr w:type="spellStart"/>
                  <w:r>
                    <w:rPr>
                      <w:sz w:val="18"/>
                      <w:szCs w:val="18"/>
                    </w:rPr>
                    <w:t>Chișinău</w:t>
                  </w:r>
                  <w:proofErr w:type="spellEnd"/>
                  <w:r>
                    <w:rPr>
                      <w:sz w:val="18"/>
                      <w:szCs w:val="18"/>
                    </w:rPr>
                    <w:t xml:space="preserve">, str. </w:t>
                  </w:r>
                  <w:proofErr w:type="spellStart"/>
                  <w:r>
                    <w:rPr>
                      <w:sz w:val="18"/>
                      <w:szCs w:val="18"/>
                    </w:rPr>
                    <w:t>Ștefan</w:t>
                  </w:r>
                  <w:proofErr w:type="spellEnd"/>
                  <w:r>
                    <w:rPr>
                      <w:sz w:val="18"/>
                      <w:szCs w:val="18"/>
                    </w:rPr>
                    <w:t xml:space="preserve"> </w:t>
                  </w:r>
                  <w:proofErr w:type="spellStart"/>
                  <w:r>
                    <w:rPr>
                      <w:sz w:val="18"/>
                      <w:szCs w:val="18"/>
                    </w:rPr>
                    <w:t>cel</w:t>
                  </w:r>
                  <w:proofErr w:type="spellEnd"/>
                  <w:r>
                    <w:rPr>
                      <w:sz w:val="18"/>
                      <w:szCs w:val="18"/>
                    </w:rPr>
                    <w:t xml:space="preserve"> Mare, 65</w:t>
                  </w:r>
                </w:p>
                <w:p w:rsidR="00C14D83" w:rsidRDefault="00C14D83" w:rsidP="00C14D83">
                  <w:pPr>
                    <w:rPr>
                      <w:sz w:val="18"/>
                      <w:szCs w:val="18"/>
                    </w:rPr>
                  </w:pPr>
                </w:p>
              </w:tc>
            </w:tr>
            <w:tr w:rsidR="00C14D83" w:rsidRPr="00A5269A" w:rsidTr="009540A4">
              <w:trPr>
                <w:trHeight w:val="20"/>
                <w:jc w:val="center"/>
              </w:trPr>
              <w:tc>
                <w:tcPr>
                  <w:tcW w:w="531" w:type="dxa"/>
                  <w:shd w:val="clear" w:color="auto" w:fill="auto"/>
                  <w:vAlign w:val="center"/>
                </w:tcPr>
                <w:p w:rsidR="00C14D83" w:rsidRDefault="00C14D83" w:rsidP="00C14D83">
                  <w:pPr>
                    <w:jc w:val="center"/>
                    <w:rPr>
                      <w:sz w:val="18"/>
                      <w:szCs w:val="18"/>
                    </w:rPr>
                  </w:pPr>
                  <w:r>
                    <w:rPr>
                      <w:sz w:val="18"/>
                      <w:szCs w:val="18"/>
                    </w:rPr>
                    <w:t>11</w:t>
                  </w:r>
                </w:p>
              </w:tc>
              <w:tc>
                <w:tcPr>
                  <w:tcW w:w="3827" w:type="dxa"/>
                  <w:shd w:val="clear" w:color="auto" w:fill="auto"/>
                  <w:vAlign w:val="center"/>
                </w:tcPr>
                <w:p w:rsidR="00C14D83" w:rsidRDefault="00C14D83" w:rsidP="00C14D83">
                  <w:pPr>
                    <w:rPr>
                      <w:sz w:val="18"/>
                      <w:szCs w:val="18"/>
                    </w:rPr>
                  </w:pPr>
                  <w:proofErr w:type="spellStart"/>
                  <w:r>
                    <w:rPr>
                      <w:sz w:val="18"/>
                      <w:szCs w:val="18"/>
                    </w:rPr>
                    <w:t>Filtranium</w:t>
                  </w:r>
                  <w:proofErr w:type="spellEnd"/>
                  <w:r>
                    <w:rPr>
                      <w:sz w:val="18"/>
                      <w:szCs w:val="18"/>
                    </w:rPr>
                    <w:t xml:space="preserve"> SRL</w:t>
                  </w:r>
                </w:p>
              </w:tc>
              <w:tc>
                <w:tcPr>
                  <w:tcW w:w="4678" w:type="dxa"/>
                  <w:shd w:val="clear" w:color="auto" w:fill="auto"/>
                  <w:vAlign w:val="center"/>
                </w:tcPr>
                <w:p w:rsidR="00C14D83" w:rsidRDefault="00C14D83" w:rsidP="00C14D83">
                  <w:pPr>
                    <w:rPr>
                      <w:sz w:val="18"/>
                      <w:szCs w:val="18"/>
                    </w:rPr>
                  </w:pPr>
                  <w:proofErr w:type="spellStart"/>
                  <w:proofErr w:type="gramStart"/>
                  <w:r>
                    <w:rPr>
                      <w:sz w:val="18"/>
                      <w:szCs w:val="18"/>
                    </w:rPr>
                    <w:t>mun</w:t>
                  </w:r>
                  <w:proofErr w:type="spellEnd"/>
                  <w:proofErr w:type="gramEnd"/>
                  <w:r>
                    <w:rPr>
                      <w:sz w:val="18"/>
                      <w:szCs w:val="18"/>
                    </w:rPr>
                    <w:t xml:space="preserve">. </w:t>
                  </w:r>
                  <w:proofErr w:type="spellStart"/>
                  <w:r>
                    <w:rPr>
                      <w:sz w:val="18"/>
                      <w:szCs w:val="18"/>
                    </w:rPr>
                    <w:t>Chișinău</w:t>
                  </w:r>
                  <w:proofErr w:type="spellEnd"/>
                  <w:r>
                    <w:rPr>
                      <w:sz w:val="18"/>
                      <w:szCs w:val="18"/>
                    </w:rPr>
                    <w:t xml:space="preserve">, or. </w:t>
                  </w:r>
                  <w:proofErr w:type="spellStart"/>
                  <w:r>
                    <w:rPr>
                      <w:sz w:val="18"/>
                      <w:szCs w:val="18"/>
                    </w:rPr>
                    <w:t>Ialoveni</w:t>
                  </w:r>
                  <w:proofErr w:type="spellEnd"/>
                  <w:r>
                    <w:rPr>
                      <w:sz w:val="18"/>
                      <w:szCs w:val="18"/>
                    </w:rPr>
                    <w:t xml:space="preserve">, str. M. </w:t>
                  </w:r>
                  <w:proofErr w:type="spellStart"/>
                  <w:r>
                    <w:rPr>
                      <w:sz w:val="18"/>
                      <w:szCs w:val="18"/>
                    </w:rPr>
                    <w:t>Basarab</w:t>
                  </w:r>
                  <w:proofErr w:type="spellEnd"/>
                  <w:r>
                    <w:rPr>
                      <w:sz w:val="18"/>
                      <w:szCs w:val="18"/>
                    </w:rPr>
                    <w:t xml:space="preserve"> 1a</w:t>
                  </w:r>
                </w:p>
                <w:p w:rsidR="00C14D83" w:rsidRPr="002B45EF" w:rsidRDefault="00C14D83" w:rsidP="00C14D83">
                  <w:pPr>
                    <w:rPr>
                      <w:sz w:val="18"/>
                      <w:szCs w:val="18"/>
                      <w:lang w:val="ro-RO"/>
                    </w:rPr>
                  </w:pPr>
                </w:p>
              </w:tc>
            </w:tr>
          </w:tbl>
          <w:p w:rsidR="00C14D83" w:rsidRDefault="00C14D83" w:rsidP="00C14D83">
            <w:pPr>
              <w:tabs>
                <w:tab w:val="left" w:pos="490"/>
              </w:tabs>
              <w:jc w:val="both"/>
            </w:pPr>
          </w:p>
          <w:p w:rsidR="00C14D83" w:rsidRDefault="00C14D83" w:rsidP="00C14D83">
            <w:pPr>
              <w:tabs>
                <w:tab w:val="left" w:pos="490"/>
              </w:tabs>
              <w:ind w:left="111" w:right="97"/>
              <w:jc w:val="both"/>
              <w:rPr>
                <w:lang w:val="ro-RO"/>
              </w:rPr>
            </w:pPr>
            <w:r w:rsidRPr="002576D3">
              <w:rPr>
                <w:lang w:val="ro-RO"/>
              </w:rPr>
              <w:t xml:space="preserve">Pentru evaluarea gradului de </w:t>
            </w:r>
            <w:r>
              <w:rPr>
                <w:lang w:val="ro-RO"/>
              </w:rPr>
              <w:t>implementare a cerințelor esențiale de sănătate și securitate, inclusiv a standardelor europene armonizate care conferă prezumția de conformitate a EIP cu cerințele reglementării tehnice, 10 producători din cei enunțați supra au fost invitați să răspundă la un chestionar prezentat de către Ministerul Economiei și Infrastructurii.</w:t>
            </w:r>
          </w:p>
          <w:p w:rsidR="00C14D83" w:rsidRDefault="00C14D83" w:rsidP="00C14D83">
            <w:pPr>
              <w:tabs>
                <w:tab w:val="left" w:pos="490"/>
              </w:tabs>
              <w:ind w:left="111" w:right="97"/>
              <w:jc w:val="both"/>
              <w:rPr>
                <w:lang w:val="ro-RO"/>
              </w:rPr>
            </w:pPr>
            <w:r>
              <w:rPr>
                <w:lang w:val="ro-RO"/>
              </w:rPr>
              <w:t>Principalele subiecte ale chestionarului au fost următoarele:</w:t>
            </w:r>
          </w:p>
          <w:p w:rsidR="00C14D83" w:rsidRDefault="00C14D83" w:rsidP="00C14D83">
            <w:pPr>
              <w:pStyle w:val="ListParagraph"/>
              <w:numPr>
                <w:ilvl w:val="0"/>
                <w:numId w:val="21"/>
              </w:numPr>
              <w:tabs>
                <w:tab w:val="left" w:pos="490"/>
                <w:tab w:val="left" w:pos="9466"/>
              </w:tabs>
              <w:ind w:right="239"/>
              <w:jc w:val="both"/>
              <w:rPr>
                <w:i/>
                <w:lang w:val="ro-RO"/>
              </w:rPr>
            </w:pPr>
            <w:r w:rsidRPr="00A94556">
              <w:rPr>
                <w:i/>
                <w:lang w:val="ro-RO"/>
              </w:rPr>
              <w:t>compania dvs. cunoaște prevederile Reglementării tehnice privind echipamentul individual de protecție, aprobate prin Hotărîrea Guvernului nr. 1289 din 02.12.2016</w:t>
            </w:r>
            <w:r>
              <w:rPr>
                <w:i/>
                <w:lang w:val="ro-RO"/>
              </w:rPr>
              <w:t>;</w:t>
            </w:r>
          </w:p>
          <w:p w:rsidR="00C14D83" w:rsidRDefault="00C14D83" w:rsidP="00C14D83">
            <w:pPr>
              <w:pStyle w:val="ListParagraph"/>
              <w:numPr>
                <w:ilvl w:val="0"/>
                <w:numId w:val="21"/>
              </w:numPr>
              <w:tabs>
                <w:tab w:val="left" w:pos="490"/>
                <w:tab w:val="left" w:pos="9466"/>
              </w:tabs>
              <w:ind w:right="239"/>
              <w:jc w:val="both"/>
              <w:rPr>
                <w:i/>
                <w:lang w:val="ro-RO"/>
              </w:rPr>
            </w:pPr>
            <w:r>
              <w:rPr>
                <w:i/>
                <w:lang w:val="ro-RO"/>
              </w:rPr>
              <w:t>î</w:t>
            </w:r>
            <w:r w:rsidRPr="00A94556">
              <w:rPr>
                <w:i/>
                <w:lang w:val="ro-RO"/>
              </w:rPr>
              <w:t>n ce măsură compania dvs. aplică prevederile Reglementării tehnice privind echipamentul individual de protecție, aprobate prin Hotărîrea Guvernului nr. 1289 din 02.12.2016</w:t>
            </w:r>
            <w:r>
              <w:rPr>
                <w:i/>
                <w:lang w:val="ro-RO"/>
              </w:rPr>
              <w:t>;</w:t>
            </w:r>
          </w:p>
          <w:p w:rsidR="00C14D83" w:rsidRDefault="00C14D83" w:rsidP="00C14D83">
            <w:pPr>
              <w:pStyle w:val="ListParagraph"/>
              <w:numPr>
                <w:ilvl w:val="0"/>
                <w:numId w:val="21"/>
              </w:numPr>
              <w:tabs>
                <w:tab w:val="left" w:pos="490"/>
                <w:tab w:val="left" w:pos="9466"/>
              </w:tabs>
              <w:ind w:right="239"/>
              <w:jc w:val="both"/>
              <w:rPr>
                <w:i/>
                <w:lang w:val="ro-RO"/>
              </w:rPr>
            </w:pPr>
            <w:r>
              <w:rPr>
                <w:i/>
                <w:lang w:val="ro-RO"/>
              </w:rPr>
              <w:t>c</w:t>
            </w:r>
            <w:r w:rsidRPr="00A94556">
              <w:rPr>
                <w:i/>
                <w:lang w:val="ro-RO"/>
              </w:rPr>
              <w:t>ompania dvs. cunoaște cerințele standardelor Europene* pentru echipamentele individuale de protecție? Aceste cerințe sunt aplicate de compania dvs. în procesul de confecționare</w:t>
            </w:r>
            <w:r>
              <w:rPr>
                <w:i/>
                <w:lang w:val="ro-RO"/>
              </w:rPr>
              <w:t>;</w:t>
            </w:r>
          </w:p>
          <w:p w:rsidR="00C14D83" w:rsidRPr="00A94556" w:rsidRDefault="00C14D83" w:rsidP="00C14D83">
            <w:pPr>
              <w:pStyle w:val="ListParagraph"/>
              <w:numPr>
                <w:ilvl w:val="0"/>
                <w:numId w:val="21"/>
              </w:numPr>
              <w:tabs>
                <w:tab w:val="left" w:pos="490"/>
                <w:tab w:val="left" w:pos="9466"/>
              </w:tabs>
              <w:ind w:right="239"/>
              <w:jc w:val="both"/>
              <w:rPr>
                <w:i/>
                <w:lang w:val="ro-RO"/>
              </w:rPr>
            </w:pPr>
            <w:r>
              <w:rPr>
                <w:i/>
                <w:lang w:val="ro-RO"/>
              </w:rPr>
              <w:t>e</w:t>
            </w:r>
            <w:proofErr w:type="spellStart"/>
            <w:r w:rsidRPr="00A94556">
              <w:rPr>
                <w:i/>
                <w:lang w:val="ro-MD"/>
              </w:rPr>
              <w:t>chipamentele</w:t>
            </w:r>
            <w:proofErr w:type="spellEnd"/>
            <w:r w:rsidRPr="00A94556">
              <w:rPr>
                <w:i/>
                <w:lang w:val="ro-MD"/>
              </w:rPr>
              <w:t xml:space="preserve"> individuale de protecție confecționate de compania dvs. sunt supuse încercărilor de laborator</w:t>
            </w:r>
            <w:r>
              <w:rPr>
                <w:i/>
                <w:lang w:val="ro-MD"/>
              </w:rPr>
              <w:t>;</w:t>
            </w:r>
          </w:p>
          <w:p w:rsidR="00C14D83" w:rsidRDefault="00C14D83" w:rsidP="00C14D83">
            <w:pPr>
              <w:pStyle w:val="ListParagraph"/>
              <w:numPr>
                <w:ilvl w:val="0"/>
                <w:numId w:val="21"/>
              </w:numPr>
              <w:tabs>
                <w:tab w:val="left" w:pos="490"/>
                <w:tab w:val="left" w:pos="9466"/>
              </w:tabs>
              <w:ind w:right="239"/>
              <w:jc w:val="both"/>
              <w:rPr>
                <w:i/>
                <w:lang w:val="ro-RO"/>
              </w:rPr>
            </w:pPr>
            <w:r>
              <w:rPr>
                <w:i/>
                <w:lang w:val="ro-RO"/>
              </w:rPr>
              <w:t>c</w:t>
            </w:r>
            <w:r w:rsidRPr="00A94556">
              <w:rPr>
                <w:i/>
                <w:lang w:val="ro-RO"/>
              </w:rPr>
              <w:t>onform căror standarde sunt certificate echipamentele individuale de protecție confecționate de compania dvs</w:t>
            </w:r>
            <w:r>
              <w:rPr>
                <w:i/>
                <w:lang w:val="ro-RO"/>
              </w:rPr>
              <w:t>.;</w:t>
            </w:r>
          </w:p>
          <w:p w:rsidR="00C14D83" w:rsidRDefault="00C14D83" w:rsidP="00C14D83">
            <w:pPr>
              <w:pStyle w:val="ListParagraph"/>
              <w:numPr>
                <w:ilvl w:val="0"/>
                <w:numId w:val="21"/>
              </w:numPr>
              <w:tabs>
                <w:tab w:val="left" w:pos="490"/>
                <w:tab w:val="left" w:pos="9466"/>
              </w:tabs>
              <w:ind w:right="239"/>
              <w:jc w:val="both"/>
              <w:rPr>
                <w:i/>
                <w:lang w:val="ro-RO"/>
              </w:rPr>
            </w:pPr>
            <w:r w:rsidRPr="00A94556">
              <w:rPr>
                <w:i/>
                <w:lang w:val="ro-RO"/>
              </w:rPr>
              <w:t>compania dvs. a beneficiat în ultimii ani de suportul informațional din partea statului privind aplicarea cerințelor Europene pentru echipamentele individuale de protecție? De ce formă de suport ați beneficiat: broșuri informaționale, seminare, instruiri, consultanță individuală</w:t>
            </w:r>
            <w:r>
              <w:rPr>
                <w:i/>
                <w:lang w:val="ro-RO"/>
              </w:rPr>
              <w:t>;</w:t>
            </w:r>
          </w:p>
          <w:p w:rsidR="00C14D83" w:rsidRPr="00A94556" w:rsidRDefault="00C14D83" w:rsidP="00C14D83">
            <w:pPr>
              <w:pStyle w:val="ListParagraph"/>
              <w:numPr>
                <w:ilvl w:val="0"/>
                <w:numId w:val="21"/>
              </w:numPr>
              <w:tabs>
                <w:tab w:val="left" w:pos="490"/>
                <w:tab w:val="left" w:pos="9466"/>
              </w:tabs>
              <w:ind w:right="239"/>
              <w:jc w:val="both"/>
              <w:rPr>
                <w:i/>
                <w:lang w:val="ro-RO"/>
              </w:rPr>
            </w:pPr>
            <w:r w:rsidRPr="00A94556">
              <w:rPr>
                <w:i/>
                <w:lang w:val="ro-RO"/>
              </w:rPr>
              <w:t>c</w:t>
            </w:r>
            <w:proofErr w:type="spellStart"/>
            <w:r w:rsidRPr="00A94556">
              <w:rPr>
                <w:i/>
                <w:lang w:val="ro-MD"/>
              </w:rPr>
              <w:t>ompania</w:t>
            </w:r>
            <w:proofErr w:type="spellEnd"/>
            <w:r w:rsidRPr="00A94556">
              <w:rPr>
                <w:i/>
                <w:lang w:val="ro-MD"/>
              </w:rPr>
              <w:t xml:space="preserve"> dvs. deține documente UE/internaționale de calitate pentru echipamentele individuale de protecție</w:t>
            </w:r>
            <w:r>
              <w:rPr>
                <w:i/>
                <w:lang w:val="ro-MD"/>
              </w:rPr>
              <w:t>;</w:t>
            </w:r>
          </w:p>
          <w:p w:rsidR="00C14D83" w:rsidRDefault="00C14D83" w:rsidP="00C14D83">
            <w:pPr>
              <w:pStyle w:val="ListParagraph"/>
              <w:numPr>
                <w:ilvl w:val="0"/>
                <w:numId w:val="21"/>
              </w:numPr>
              <w:tabs>
                <w:tab w:val="left" w:pos="490"/>
                <w:tab w:val="left" w:pos="9466"/>
              </w:tabs>
              <w:ind w:right="239"/>
              <w:jc w:val="both"/>
              <w:rPr>
                <w:i/>
                <w:lang w:val="ro-RO"/>
              </w:rPr>
            </w:pPr>
            <w:r>
              <w:rPr>
                <w:i/>
                <w:lang w:val="ro-RO"/>
              </w:rPr>
              <w:t>c</w:t>
            </w:r>
            <w:r w:rsidRPr="00A94556">
              <w:rPr>
                <w:i/>
                <w:lang w:val="ro-RO"/>
              </w:rPr>
              <w:t xml:space="preserve">e măsuri implementează compania dvs. (dacă există) </w:t>
            </w:r>
            <w:r>
              <w:rPr>
                <w:i/>
                <w:lang w:val="ro-RO"/>
              </w:rPr>
              <w:t xml:space="preserve">privind </w:t>
            </w:r>
            <w:r w:rsidRPr="00A94556">
              <w:rPr>
                <w:i/>
                <w:lang w:val="ro-RO"/>
              </w:rPr>
              <w:t xml:space="preserve"> retehnologizarea procesului de producere, creșterea nivelului de calitate a materiei prime etc</w:t>
            </w:r>
            <w:r>
              <w:rPr>
                <w:i/>
                <w:lang w:val="ro-RO"/>
              </w:rPr>
              <w:t>.</w:t>
            </w:r>
          </w:p>
          <w:p w:rsidR="00C14D83" w:rsidRDefault="00C14D83" w:rsidP="00C14D83">
            <w:pPr>
              <w:pStyle w:val="ListParagraph"/>
              <w:tabs>
                <w:tab w:val="left" w:pos="490"/>
                <w:tab w:val="left" w:pos="9466"/>
              </w:tabs>
              <w:ind w:left="1287" w:right="239"/>
              <w:jc w:val="both"/>
              <w:rPr>
                <w:i/>
                <w:lang w:val="ro-RO"/>
              </w:rPr>
            </w:pPr>
          </w:p>
          <w:p w:rsidR="00C14D83" w:rsidRDefault="00C14D83" w:rsidP="00C14D83">
            <w:pPr>
              <w:tabs>
                <w:tab w:val="left" w:pos="490"/>
                <w:tab w:val="left" w:pos="9466"/>
              </w:tabs>
              <w:ind w:left="252" w:right="239"/>
              <w:jc w:val="both"/>
              <w:rPr>
                <w:lang w:val="ro-RO"/>
              </w:rPr>
            </w:pPr>
            <w:r>
              <w:rPr>
                <w:lang w:val="ro-RO"/>
              </w:rPr>
              <w:t xml:space="preserve">Este de menționat, că din 10 companii la chestionarul respectiv a răspuns numai o singură companie Rotan SA. Conform datelor prezentate, compania fabrică EIP respectînd cerințele Regulamentului </w:t>
            </w:r>
            <w:r w:rsidRPr="00E929F2">
              <w:rPr>
                <w:lang w:val="ro-RO"/>
              </w:rPr>
              <w:t>(UE) 2016/425</w:t>
            </w:r>
            <w:r>
              <w:rPr>
                <w:lang w:val="ro-RO"/>
              </w:rPr>
              <w:t xml:space="preserve"> cu efectuarea procedurilor de evaluare a conformității de către </w:t>
            </w:r>
            <w:r>
              <w:rPr>
                <w:lang w:val="ro-RO"/>
              </w:rPr>
              <w:lastRenderedPageBreak/>
              <w:t>un organism notificat din spațiul european.  Produsele respective sunt puse la dispoziție pe piața UE, în Republica Moldova acestea nu se comercializează.</w:t>
            </w:r>
          </w:p>
          <w:p w:rsidR="00C14D83" w:rsidRDefault="00C14D83" w:rsidP="00C14D83">
            <w:pPr>
              <w:tabs>
                <w:tab w:val="left" w:pos="490"/>
                <w:tab w:val="left" w:pos="9466"/>
              </w:tabs>
              <w:ind w:left="252" w:right="239"/>
              <w:jc w:val="both"/>
              <w:rPr>
                <w:lang w:val="ro-RO"/>
              </w:rPr>
            </w:pPr>
          </w:p>
          <w:p w:rsidR="00E33693" w:rsidRPr="00E33693" w:rsidRDefault="00555D97" w:rsidP="00C14D83">
            <w:pPr>
              <w:pStyle w:val="NormalWeb"/>
              <w:ind w:left="252" w:right="141" w:firstLine="0"/>
              <w:rPr>
                <w:lang w:val="ro-RO"/>
              </w:rPr>
            </w:pPr>
            <w:r>
              <w:rPr>
                <w:lang w:val="ro-RO"/>
              </w:rPr>
              <w:t xml:space="preserve">Urmare celor expuse, </w:t>
            </w:r>
            <w:r w:rsidR="00E33693">
              <w:rPr>
                <w:lang w:val="ro-RO"/>
              </w:rPr>
              <w:t xml:space="preserve">agenții </w:t>
            </w:r>
            <w:r w:rsidR="00E33693" w:rsidRPr="00E33693">
              <w:rPr>
                <w:lang w:val="ro-RO"/>
              </w:rPr>
              <w:t xml:space="preserve"> economici care pun la dispoziție pe piață </w:t>
            </w:r>
            <w:r w:rsidR="00E33693">
              <w:rPr>
                <w:lang w:val="ro-RO"/>
              </w:rPr>
              <w:t>EIP</w:t>
            </w:r>
            <w:r w:rsidR="00E33693" w:rsidRPr="00E33693">
              <w:rPr>
                <w:lang w:val="ro-RO"/>
              </w:rPr>
              <w:t xml:space="preserve"> </w:t>
            </w:r>
            <w:r>
              <w:rPr>
                <w:lang w:val="ro-RO"/>
              </w:rPr>
              <w:t>trebuie să garanteze că</w:t>
            </w:r>
            <w:r w:rsidR="00E33693" w:rsidRPr="00E33693">
              <w:rPr>
                <w:lang w:val="ro-RO"/>
              </w:rPr>
              <w:t>:</w:t>
            </w:r>
          </w:p>
          <w:p w:rsidR="00E33693" w:rsidRPr="00E33693" w:rsidRDefault="00E33693" w:rsidP="00BE7A97">
            <w:pPr>
              <w:pStyle w:val="NormalWeb"/>
              <w:numPr>
                <w:ilvl w:val="0"/>
                <w:numId w:val="22"/>
              </w:numPr>
              <w:ind w:right="141"/>
              <w:rPr>
                <w:lang w:val="ro-RO"/>
              </w:rPr>
            </w:pPr>
            <w:r w:rsidRPr="00E33693">
              <w:rPr>
                <w:lang w:val="ro-RO"/>
              </w:rPr>
              <w:t xml:space="preserve">produsele </w:t>
            </w:r>
            <w:r w:rsidR="00555D97">
              <w:rPr>
                <w:lang w:val="ro-RO"/>
              </w:rPr>
              <w:t>sânt</w:t>
            </w:r>
            <w:r w:rsidRPr="00E33693">
              <w:rPr>
                <w:lang w:val="ro-RO"/>
              </w:rPr>
              <w:t xml:space="preserve"> proiectate și realizate astfel încât să îndeplinească cerințele de sănătate</w:t>
            </w:r>
            <w:r w:rsidR="00555D97">
              <w:rPr>
                <w:lang w:val="ro-RO"/>
              </w:rPr>
              <w:t xml:space="preserve"> </w:t>
            </w:r>
            <w:r w:rsidRPr="00E33693">
              <w:rPr>
                <w:lang w:val="ro-RO"/>
              </w:rPr>
              <w:t>și secu</w:t>
            </w:r>
            <w:r w:rsidR="003A69A9">
              <w:rPr>
                <w:lang w:val="ro-RO"/>
              </w:rPr>
              <w:t xml:space="preserve">ritate aplicabile din Reglementarea tehnică care transpune </w:t>
            </w:r>
            <w:r w:rsidRPr="00E33693">
              <w:rPr>
                <w:lang w:val="ro-RO"/>
              </w:rPr>
              <w:t>Regulamentul (UE) 2016/425;</w:t>
            </w:r>
          </w:p>
          <w:p w:rsidR="00E33693" w:rsidRPr="00E33693" w:rsidRDefault="00555D97" w:rsidP="00BE7A97">
            <w:pPr>
              <w:pStyle w:val="NormalWeb"/>
              <w:numPr>
                <w:ilvl w:val="0"/>
                <w:numId w:val="22"/>
              </w:numPr>
              <w:ind w:right="141"/>
              <w:rPr>
                <w:lang w:val="ro-RO"/>
              </w:rPr>
            </w:pPr>
            <w:r>
              <w:rPr>
                <w:lang w:val="ro-RO"/>
              </w:rPr>
              <w:t>sînt</w:t>
            </w:r>
            <w:r w:rsidR="00E33693" w:rsidRPr="00E33693">
              <w:rPr>
                <w:lang w:val="ro-RO"/>
              </w:rPr>
              <w:t xml:space="preserve"> urmate procedur</w:t>
            </w:r>
            <w:r w:rsidR="008244EC">
              <w:rPr>
                <w:lang w:val="ro-RO"/>
              </w:rPr>
              <w:t xml:space="preserve">ile de evaluare corespunzătoare </w:t>
            </w:r>
            <w:r w:rsidR="003A69A9">
              <w:rPr>
                <w:lang w:val="ro-RO"/>
              </w:rPr>
              <w:t>stabilite în Reglementarea tehnică</w:t>
            </w:r>
            <w:r w:rsidR="008244EC">
              <w:rPr>
                <w:lang w:val="ro-RO"/>
              </w:rPr>
              <w:t>. Spre exemplu</w:t>
            </w:r>
            <w:r>
              <w:rPr>
                <w:lang w:val="ro-RO"/>
              </w:rPr>
              <w:t xml:space="preserve"> </w:t>
            </w:r>
            <w:r w:rsidR="00E33693" w:rsidRPr="00E33693">
              <w:rPr>
                <w:lang w:val="ro-RO"/>
              </w:rPr>
              <w:t xml:space="preserve">pentru EIP categorie III: „examinare UE de tip (Modul B)” la un organism </w:t>
            </w:r>
            <w:r w:rsidR="00A57A32">
              <w:rPr>
                <w:lang w:val="ro-RO"/>
              </w:rPr>
              <w:t>recunoscut/</w:t>
            </w:r>
            <w:r w:rsidR="00E33693" w:rsidRPr="00E33693">
              <w:rPr>
                <w:lang w:val="ro-RO"/>
              </w:rPr>
              <w:t>notificat, înainte de</w:t>
            </w:r>
            <w:r>
              <w:rPr>
                <w:lang w:val="ro-RO"/>
              </w:rPr>
              <w:t xml:space="preserve"> </w:t>
            </w:r>
            <w:r w:rsidR="00E33693" w:rsidRPr="00E33693">
              <w:rPr>
                <w:lang w:val="ro-RO"/>
              </w:rPr>
              <w:t>introducerea în fabricație,</w:t>
            </w:r>
            <w:r>
              <w:rPr>
                <w:lang w:val="ro-RO"/>
              </w:rPr>
              <w:t xml:space="preserve"> iar pe parcursul fabricației</w:t>
            </w:r>
            <w:r w:rsidR="00E33693" w:rsidRPr="00E33693">
              <w:rPr>
                <w:lang w:val="ro-RO"/>
              </w:rPr>
              <w:t xml:space="preserve"> producția e</w:t>
            </w:r>
            <w:r>
              <w:rPr>
                <w:lang w:val="ro-RO"/>
              </w:rPr>
              <w:t>ste</w:t>
            </w:r>
            <w:r w:rsidR="00E33693" w:rsidRPr="00E33693">
              <w:rPr>
                <w:lang w:val="ro-RO"/>
              </w:rPr>
              <w:t xml:space="preserve"> supusă uneia din</w:t>
            </w:r>
            <w:r>
              <w:rPr>
                <w:lang w:val="ro-RO"/>
              </w:rPr>
              <w:t xml:space="preserve"> </w:t>
            </w:r>
            <w:r w:rsidR="00E33693" w:rsidRPr="00E33693">
              <w:rPr>
                <w:lang w:val="ro-RO"/>
              </w:rPr>
              <w:t xml:space="preserve">procedurile descrise în modul C2 sau modul D tot la un organism </w:t>
            </w:r>
            <w:r w:rsidR="003A69A9">
              <w:rPr>
                <w:lang w:val="ro-RO"/>
              </w:rPr>
              <w:t>recunoscut/</w:t>
            </w:r>
            <w:r w:rsidR="00E33693" w:rsidRPr="00E33693">
              <w:rPr>
                <w:lang w:val="ro-RO"/>
              </w:rPr>
              <w:t>notificat;</w:t>
            </w:r>
          </w:p>
          <w:p w:rsidR="00E33693" w:rsidRPr="00555D97" w:rsidRDefault="00555D97" w:rsidP="00BE7A97">
            <w:pPr>
              <w:pStyle w:val="NormalWeb"/>
              <w:numPr>
                <w:ilvl w:val="0"/>
                <w:numId w:val="22"/>
              </w:numPr>
              <w:ind w:right="141"/>
              <w:rPr>
                <w:lang w:val="ro-RO"/>
              </w:rPr>
            </w:pPr>
            <w:r>
              <w:rPr>
                <w:lang w:val="ro-RO"/>
              </w:rPr>
              <w:t xml:space="preserve">este </w:t>
            </w:r>
            <w:r w:rsidR="00E33693" w:rsidRPr="00555D97">
              <w:rPr>
                <w:lang w:val="ro-RO"/>
              </w:rPr>
              <w:t xml:space="preserve">elaborată și păstrată o documentație tehnică în care să </w:t>
            </w:r>
            <w:r>
              <w:rPr>
                <w:lang w:val="ro-RO"/>
              </w:rPr>
              <w:t>se</w:t>
            </w:r>
            <w:r w:rsidR="00E33693" w:rsidRPr="00555D97">
              <w:rPr>
                <w:lang w:val="ro-RO"/>
              </w:rPr>
              <w:t xml:space="preserve"> includă dovezile privind</w:t>
            </w:r>
            <w:r w:rsidRPr="00555D97">
              <w:rPr>
                <w:lang w:val="ro-RO"/>
              </w:rPr>
              <w:t xml:space="preserve"> </w:t>
            </w:r>
            <w:r w:rsidR="00E33693" w:rsidRPr="00555D97">
              <w:rPr>
                <w:lang w:val="ro-RO"/>
              </w:rPr>
              <w:t>caracteristicile (rapoarte de încercări, certificate sau alte documente emise de organismele</w:t>
            </w:r>
            <w:r w:rsidRPr="00555D97">
              <w:rPr>
                <w:lang w:val="ro-RO"/>
              </w:rPr>
              <w:t xml:space="preserve"> </w:t>
            </w:r>
            <w:r w:rsidR="003A69A9">
              <w:rPr>
                <w:lang w:val="ro-RO"/>
              </w:rPr>
              <w:t>recunoscute/</w:t>
            </w:r>
            <w:r w:rsidR="00E33693" w:rsidRPr="00555D97">
              <w:rPr>
                <w:lang w:val="ro-RO"/>
              </w:rPr>
              <w:t>notificate);</w:t>
            </w:r>
          </w:p>
          <w:p w:rsidR="00E33693" w:rsidRPr="00E33693" w:rsidRDefault="00E33693" w:rsidP="00BE7A97">
            <w:pPr>
              <w:pStyle w:val="NormalWeb"/>
              <w:numPr>
                <w:ilvl w:val="0"/>
                <w:numId w:val="22"/>
              </w:numPr>
              <w:ind w:right="141"/>
              <w:rPr>
                <w:lang w:val="ro-RO"/>
              </w:rPr>
            </w:pPr>
            <w:r w:rsidRPr="00E33693">
              <w:rPr>
                <w:lang w:val="ro-RO"/>
              </w:rPr>
              <w:t xml:space="preserve">pe produs </w:t>
            </w:r>
            <w:r w:rsidR="00555D97">
              <w:rPr>
                <w:lang w:val="ro-RO"/>
              </w:rPr>
              <w:t>este</w:t>
            </w:r>
            <w:r w:rsidRPr="00E33693">
              <w:rPr>
                <w:lang w:val="ro-RO"/>
              </w:rPr>
              <w:t xml:space="preserve"> aplicat marcajul </w:t>
            </w:r>
            <w:r w:rsidR="003A69A9">
              <w:rPr>
                <w:lang w:val="ro-RO"/>
              </w:rPr>
              <w:t>SM/</w:t>
            </w:r>
            <w:r w:rsidRPr="00E33693">
              <w:rPr>
                <w:lang w:val="ro-RO"/>
              </w:rPr>
              <w:t>CE însoțit de numărul de identificare al organismului</w:t>
            </w:r>
            <w:r w:rsidR="00555D97">
              <w:rPr>
                <w:lang w:val="ro-RO"/>
              </w:rPr>
              <w:t xml:space="preserve"> </w:t>
            </w:r>
            <w:r w:rsidR="003A69A9">
              <w:rPr>
                <w:lang w:val="ro-RO"/>
              </w:rPr>
              <w:t>recunoscut/</w:t>
            </w:r>
            <w:r w:rsidRPr="00E33693">
              <w:rPr>
                <w:lang w:val="ro-RO"/>
              </w:rPr>
              <w:t>notificat implicat în controlul producției, pe fiecare exemplar sau pe cea mai mică unitate de</w:t>
            </w:r>
            <w:r w:rsidR="00555D97">
              <w:rPr>
                <w:lang w:val="ro-RO"/>
              </w:rPr>
              <w:t xml:space="preserve"> </w:t>
            </w:r>
            <w:r w:rsidRPr="00E33693">
              <w:rPr>
                <w:lang w:val="ro-RO"/>
              </w:rPr>
              <w:t>ambalaj;</w:t>
            </w:r>
          </w:p>
          <w:p w:rsidR="00E33693" w:rsidRPr="00E33693" w:rsidRDefault="00E33693" w:rsidP="00BE7A97">
            <w:pPr>
              <w:pStyle w:val="NormalWeb"/>
              <w:numPr>
                <w:ilvl w:val="0"/>
                <w:numId w:val="22"/>
              </w:numPr>
              <w:ind w:right="141"/>
              <w:rPr>
                <w:lang w:val="ro-RO"/>
              </w:rPr>
            </w:pPr>
            <w:r w:rsidRPr="00E33693">
              <w:rPr>
                <w:lang w:val="ro-RO"/>
              </w:rPr>
              <w:t>exist</w:t>
            </w:r>
            <w:r w:rsidR="00555D97">
              <w:rPr>
                <w:lang w:val="ro-RO"/>
              </w:rPr>
              <w:t>ă</w:t>
            </w:r>
            <w:r w:rsidRPr="00E33693">
              <w:rPr>
                <w:lang w:val="ro-RO"/>
              </w:rPr>
              <w:t xml:space="preserve"> „Declarația de conformitate” care să însoțească fiecare exemplar de EIP introdus pe</w:t>
            </w:r>
            <w:r w:rsidR="00555D97">
              <w:rPr>
                <w:lang w:val="ro-RO"/>
              </w:rPr>
              <w:t xml:space="preserve"> </w:t>
            </w:r>
            <w:r w:rsidRPr="00E33693">
              <w:rPr>
                <w:lang w:val="ro-RO"/>
              </w:rPr>
              <w:t>piață sau care să fie disponibilă o adresă online (adresă menționată în instrucțiuni);</w:t>
            </w:r>
          </w:p>
          <w:p w:rsidR="00555D97" w:rsidRDefault="00E33693" w:rsidP="00FE54D8">
            <w:pPr>
              <w:pStyle w:val="NormalWeb"/>
              <w:numPr>
                <w:ilvl w:val="0"/>
                <w:numId w:val="22"/>
              </w:numPr>
              <w:ind w:right="141"/>
              <w:rPr>
                <w:lang w:val="ro-RO"/>
              </w:rPr>
            </w:pPr>
            <w:r w:rsidRPr="00555D97">
              <w:rPr>
                <w:lang w:val="ro-RO"/>
              </w:rPr>
              <w:t xml:space="preserve">produsul </w:t>
            </w:r>
            <w:r w:rsidR="00555D97" w:rsidRPr="00555D97">
              <w:rPr>
                <w:lang w:val="ro-RO"/>
              </w:rPr>
              <w:t>este</w:t>
            </w:r>
            <w:r w:rsidRPr="00555D97">
              <w:rPr>
                <w:lang w:val="ro-RO"/>
              </w:rPr>
              <w:t xml:space="preserve"> însoțit de instrucțiuni de utilizare.</w:t>
            </w:r>
          </w:p>
          <w:p w:rsidR="00A57A32" w:rsidRPr="0094636A" w:rsidRDefault="00A57A32" w:rsidP="00A57A32">
            <w:pPr>
              <w:pStyle w:val="NormalWeb"/>
              <w:ind w:left="111" w:right="141" w:firstLine="0"/>
              <w:rPr>
                <w:lang w:val="ro-RO"/>
              </w:rPr>
            </w:pPr>
            <w:r>
              <w:rPr>
                <w:lang w:val="ro-RO"/>
              </w:rPr>
              <w:t>Deoarece sectorul EIP reprezintă domeniul de siguranță , caracteristica de bază a produselor este protejarea utilizatorului împotriva riscurilor. Prin urmare, cerințele de siguranță reprezintă scopul produsului.</w:t>
            </w:r>
          </w:p>
        </w:tc>
      </w:tr>
      <w:tr w:rsidR="000576EE"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576EE" w:rsidRPr="00630499" w:rsidRDefault="000576EE" w:rsidP="00B563ED">
            <w:pPr>
              <w:tabs>
                <w:tab w:val="left" w:pos="490"/>
              </w:tabs>
              <w:jc w:val="both"/>
              <w:rPr>
                <w:i/>
                <w:lang w:val="ro-RO"/>
              </w:rPr>
            </w:pPr>
            <w:r w:rsidRPr="00630499">
              <w:rPr>
                <w:i/>
                <w:lang w:val="ro-RO"/>
              </w:rPr>
              <w:lastRenderedPageBreak/>
              <w:t xml:space="preserve">c) </w:t>
            </w:r>
            <w:r w:rsidRPr="00B9167B">
              <w:rPr>
                <w:i/>
                <w:lang w:val="ro-RO"/>
              </w:rPr>
              <w:t>Expuneți clar cauzele care au dus la apariţia problemei</w:t>
            </w:r>
          </w:p>
        </w:tc>
      </w:tr>
      <w:tr w:rsidR="000576EE" w:rsidRPr="00F96C4E" w:rsidTr="00C02A28">
        <w:trPr>
          <w:trHeight w:val="1164"/>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576EE" w:rsidRDefault="00FE54D8" w:rsidP="00FE54D8">
            <w:pPr>
              <w:tabs>
                <w:tab w:val="left" w:pos="490"/>
              </w:tabs>
              <w:jc w:val="both"/>
              <w:rPr>
                <w:lang w:val="ro-RO"/>
              </w:rPr>
            </w:pPr>
            <w:r>
              <w:rPr>
                <w:lang w:val="ro-RO"/>
              </w:rPr>
              <w:t xml:space="preserve">  </w:t>
            </w:r>
            <w:r w:rsidR="00CA388B" w:rsidRPr="00F96C4E">
              <w:rPr>
                <w:lang w:val="ro-RO"/>
              </w:rPr>
              <w:t>A</w:t>
            </w:r>
            <w:r w:rsidR="007D4D6D" w:rsidRPr="00F96C4E">
              <w:rPr>
                <w:lang w:val="ro-RO"/>
              </w:rPr>
              <w:t>pariți</w:t>
            </w:r>
            <w:r w:rsidR="00CA388B" w:rsidRPr="00F96C4E">
              <w:rPr>
                <w:lang w:val="ro-RO"/>
              </w:rPr>
              <w:t>a</w:t>
            </w:r>
            <w:r w:rsidR="007D4D6D" w:rsidRPr="00F96C4E">
              <w:rPr>
                <w:lang w:val="ro-RO"/>
              </w:rPr>
              <w:t xml:space="preserve"> problemelor expuse sunt de următoarea geneză:</w:t>
            </w:r>
          </w:p>
          <w:p w:rsidR="00BE7A97" w:rsidRDefault="00BE7A97" w:rsidP="00C62B20">
            <w:pPr>
              <w:tabs>
                <w:tab w:val="left" w:pos="490"/>
              </w:tabs>
              <w:ind w:left="111" w:right="97"/>
              <w:jc w:val="both"/>
              <w:rPr>
                <w:lang w:val="ro-RO"/>
              </w:rPr>
            </w:pPr>
            <w:r w:rsidRPr="00BE7A97">
              <w:rPr>
                <w:lang w:val="ro-RO"/>
              </w:rPr>
              <w:t xml:space="preserve">Problemele de </w:t>
            </w:r>
            <w:r w:rsidR="00A95EE7">
              <w:rPr>
                <w:lang w:val="ro-RO"/>
              </w:rPr>
              <w:t>implementare și practicile</w:t>
            </w:r>
            <w:r w:rsidRPr="00BE7A97">
              <w:rPr>
                <w:lang w:val="ro-RO"/>
              </w:rPr>
              <w:t xml:space="preserve"> actuale de </w:t>
            </w:r>
            <w:r w:rsidR="00A95EE7">
              <w:rPr>
                <w:lang w:val="ro-RO"/>
              </w:rPr>
              <w:t xml:space="preserve">punere la dispoziție pe piață a EIP </w:t>
            </w:r>
            <w:r w:rsidRPr="00BE7A97">
              <w:rPr>
                <w:lang w:val="ro-RO"/>
              </w:rPr>
              <w:t xml:space="preserve"> sunt în mare parte cauzate de un complex de factori care au la bază deficiențele cadrului de reglementare,  abordările care nu sunt racordate la </w:t>
            </w:r>
            <w:r w:rsidR="00A95EE7">
              <w:rPr>
                <w:lang w:val="ro-RO"/>
              </w:rPr>
              <w:t xml:space="preserve">regulamentele și </w:t>
            </w:r>
            <w:r w:rsidRPr="00BE7A97">
              <w:rPr>
                <w:lang w:val="ro-RO"/>
              </w:rPr>
              <w:t>standardele europene</w:t>
            </w:r>
            <w:r w:rsidR="00C44824" w:rsidRPr="00BE7A97">
              <w:rPr>
                <w:lang w:val="ro-RO"/>
              </w:rPr>
              <w:t xml:space="preserve"> și internaționale</w:t>
            </w:r>
            <w:r w:rsidRPr="00BE7A97">
              <w:rPr>
                <w:lang w:val="ro-RO"/>
              </w:rPr>
              <w:t>.</w:t>
            </w:r>
          </w:p>
          <w:p w:rsidR="00603721" w:rsidRPr="00F96C4E" w:rsidRDefault="00603721" w:rsidP="00C62B20">
            <w:pPr>
              <w:tabs>
                <w:tab w:val="left" w:pos="490"/>
              </w:tabs>
              <w:ind w:left="111" w:right="97"/>
              <w:jc w:val="both"/>
              <w:rPr>
                <w:lang w:val="ro-RO"/>
              </w:rPr>
            </w:pPr>
          </w:p>
          <w:p w:rsidR="00E505A8" w:rsidRDefault="00603721" w:rsidP="005918BE">
            <w:pPr>
              <w:tabs>
                <w:tab w:val="left" w:pos="490"/>
              </w:tabs>
              <w:ind w:left="111" w:right="97"/>
              <w:jc w:val="both"/>
              <w:rPr>
                <w:lang w:val="ro-RO"/>
              </w:rPr>
            </w:pPr>
            <w:r w:rsidRPr="00603721">
              <w:rPr>
                <w:lang w:val="ro-RO"/>
              </w:rPr>
              <w:t xml:space="preserve">Deși </w:t>
            </w:r>
            <w:r w:rsidR="008244EC">
              <w:rPr>
                <w:lang w:val="ro-RO"/>
              </w:rPr>
              <w:t>hotărârea Guvernului</w:t>
            </w:r>
            <w:r w:rsidRPr="00603721">
              <w:rPr>
                <w:lang w:val="ro-RO"/>
              </w:rPr>
              <w:t xml:space="preserve"> EIP </w:t>
            </w:r>
            <w:r>
              <w:rPr>
                <w:lang w:val="ro-RO"/>
              </w:rPr>
              <w:t xml:space="preserve">trebuia să </w:t>
            </w:r>
            <w:r w:rsidRPr="00603721">
              <w:rPr>
                <w:lang w:val="ro-RO"/>
              </w:rPr>
              <w:t>asigurare</w:t>
            </w:r>
            <w:r>
              <w:rPr>
                <w:lang w:val="ro-RO"/>
              </w:rPr>
              <w:t xml:space="preserve"> </w:t>
            </w:r>
            <w:r w:rsidRPr="00603721">
              <w:rPr>
                <w:lang w:val="ro-RO"/>
              </w:rPr>
              <w:t xml:space="preserve"> un</w:t>
            </w:r>
            <w:r>
              <w:rPr>
                <w:lang w:val="ro-RO"/>
              </w:rPr>
              <w:t xml:space="preserve"> </w:t>
            </w:r>
            <w:r w:rsidRPr="00603721">
              <w:rPr>
                <w:lang w:val="ro-RO"/>
              </w:rPr>
              <w:t xml:space="preserve"> nivel ridicat de protecție pentru utilizatorii EIP, implementarea acesteia a ridicat anumite probleme. Este vorba, printre altele, despre produsele introduse pe piață care nu au asigurat un nivel adecvat de protecție, despre abordările divergente </w:t>
            </w:r>
            <w:r w:rsidR="008244EC">
              <w:rPr>
                <w:lang w:val="ro-RO"/>
              </w:rPr>
              <w:t>în</w:t>
            </w:r>
            <w:r w:rsidRPr="00603721">
              <w:rPr>
                <w:lang w:val="ro-RO"/>
              </w:rPr>
              <w:t xml:space="preserve"> </w:t>
            </w:r>
            <w:r w:rsidR="00EC4820">
              <w:rPr>
                <w:lang w:val="ro-RO"/>
              </w:rPr>
              <w:t>evaluarea conformității</w:t>
            </w:r>
            <w:r w:rsidRPr="00603721">
              <w:rPr>
                <w:lang w:val="ro-RO"/>
              </w:rPr>
              <w:t>, despre eficacitatea supravegherii pieței, precum și despre riscurile legate de echipamentele individuale de protecție care nu sunt î</w:t>
            </w:r>
            <w:r w:rsidR="00EC4820">
              <w:rPr>
                <w:lang w:val="ro-RO"/>
              </w:rPr>
              <w:t xml:space="preserve">n prezent acoperite de </w:t>
            </w:r>
            <w:r w:rsidR="008244EC">
              <w:rPr>
                <w:lang w:val="ro-RO"/>
              </w:rPr>
              <w:t>hotărârea Guvernului</w:t>
            </w:r>
            <w:r w:rsidRPr="00603721">
              <w:rPr>
                <w:lang w:val="ro-RO"/>
              </w:rPr>
              <w:t xml:space="preserve"> EIP. În plus</w:t>
            </w:r>
            <w:r w:rsidR="008E7BAF">
              <w:rPr>
                <w:lang w:val="ro-RO"/>
              </w:rPr>
              <w:t xml:space="preserve"> a</w:t>
            </w:r>
            <w:r w:rsidR="00B47566">
              <w:rPr>
                <w:lang w:val="ro-RO"/>
              </w:rPr>
              <w:t>u</w:t>
            </w:r>
            <w:r w:rsidR="008E7BAF">
              <w:rPr>
                <w:lang w:val="ro-RO"/>
              </w:rPr>
              <w:t xml:space="preserve"> fost scoase </w:t>
            </w:r>
            <w:r w:rsidRPr="00603721">
              <w:rPr>
                <w:lang w:val="ro-RO"/>
              </w:rPr>
              <w:t xml:space="preserve"> în evidență insuficiențe și inconsecvențe în ceea</w:t>
            </w:r>
            <w:r w:rsidR="00B47566">
              <w:rPr>
                <w:lang w:val="ro-RO"/>
              </w:rPr>
              <w:t xml:space="preserve"> ce privește domeniul de aplicare a </w:t>
            </w:r>
            <w:r w:rsidR="008244EC">
              <w:rPr>
                <w:lang w:val="ro-RO"/>
              </w:rPr>
              <w:t>hotărârii</w:t>
            </w:r>
            <w:r w:rsidR="00B47566">
              <w:rPr>
                <w:lang w:val="ro-RO"/>
              </w:rPr>
              <w:t xml:space="preserve"> </w:t>
            </w:r>
            <w:r w:rsidRPr="00603721">
              <w:rPr>
                <w:lang w:val="ro-RO"/>
              </w:rPr>
              <w:t xml:space="preserve"> și procedurile de evaluare a conformității. </w:t>
            </w:r>
            <w:r w:rsidR="00E505A8" w:rsidRPr="00E505A8">
              <w:rPr>
                <w:lang w:val="ro-RO"/>
              </w:rPr>
              <w:t>Prin urmare, în anumite domenii nu există nici o verificare a  EIP propriu-zis</w:t>
            </w:r>
            <w:r w:rsidR="00E505A8">
              <w:rPr>
                <w:lang w:val="ro-RO"/>
              </w:rPr>
              <w:t xml:space="preserve">. </w:t>
            </w:r>
            <w:r w:rsidR="00E505A8" w:rsidRPr="00E505A8">
              <w:rPr>
                <w:lang w:val="ro-RO"/>
              </w:rPr>
              <w:t>De exemplu, o vestă de salvare este destinată protejării împotriva înecării și acest risc se potrivește cu adevărat</w:t>
            </w:r>
            <w:r w:rsidR="00E505A8">
              <w:rPr>
                <w:lang w:val="ro-RO"/>
              </w:rPr>
              <w:t xml:space="preserve"> </w:t>
            </w:r>
            <w:r w:rsidR="00E505A8" w:rsidRPr="00E505A8">
              <w:rPr>
                <w:lang w:val="ro-RO"/>
              </w:rPr>
              <w:t>definiți</w:t>
            </w:r>
            <w:r w:rsidR="00E505A8">
              <w:rPr>
                <w:lang w:val="ro-RO"/>
              </w:rPr>
              <w:t>ei</w:t>
            </w:r>
            <w:r w:rsidR="00E505A8" w:rsidRPr="00E505A8">
              <w:rPr>
                <w:lang w:val="ro-RO"/>
              </w:rPr>
              <w:t xml:space="preserve"> </w:t>
            </w:r>
            <w:r w:rsidR="00E505A8">
              <w:rPr>
                <w:lang w:val="ro-RO"/>
              </w:rPr>
              <w:t xml:space="preserve">pentru categoria </w:t>
            </w:r>
            <w:r w:rsidR="00E505A8" w:rsidRPr="00E505A8">
              <w:rPr>
                <w:lang w:val="ro-RO"/>
              </w:rPr>
              <w:t xml:space="preserve"> III</w:t>
            </w:r>
            <w:r w:rsidR="005D7FC4">
              <w:rPr>
                <w:lang w:val="ro-RO"/>
              </w:rPr>
              <w:t xml:space="preserve"> conform </w:t>
            </w:r>
            <w:r w:rsidR="00AE41F3">
              <w:rPr>
                <w:lang w:val="ro-RO"/>
              </w:rPr>
              <w:t>reglementării (Regulamentul 2016/425)</w:t>
            </w:r>
            <w:r w:rsidR="00E505A8" w:rsidRPr="00E505A8">
              <w:rPr>
                <w:lang w:val="ro-RO"/>
              </w:rPr>
              <w:t xml:space="preserve">. </w:t>
            </w:r>
            <w:r w:rsidR="005918BE">
              <w:rPr>
                <w:lang w:val="ro-RO"/>
              </w:rPr>
              <w:t>Totodată sunt</w:t>
            </w:r>
            <w:r w:rsidR="00E505A8" w:rsidRPr="00E505A8">
              <w:rPr>
                <w:lang w:val="ro-RO"/>
              </w:rPr>
              <w:t xml:space="preserve"> cazuri raportate </w:t>
            </w:r>
            <w:r w:rsidR="00E505A8">
              <w:rPr>
                <w:lang w:val="ro-RO"/>
              </w:rPr>
              <w:t>la nivel european</w:t>
            </w:r>
            <w:r w:rsidR="005918BE">
              <w:rPr>
                <w:lang w:val="ro-RO"/>
              </w:rPr>
              <w:t xml:space="preserve">, </w:t>
            </w:r>
            <w:r w:rsidR="00E505A8">
              <w:rPr>
                <w:lang w:val="ro-RO"/>
              </w:rPr>
              <w:t xml:space="preserve">  </w:t>
            </w:r>
            <w:r w:rsidR="005918BE">
              <w:rPr>
                <w:lang w:val="ro-RO"/>
              </w:rPr>
              <w:t xml:space="preserve">privind producerea </w:t>
            </w:r>
            <w:r w:rsidR="00E505A8" w:rsidRPr="00E505A8">
              <w:rPr>
                <w:lang w:val="ro-RO"/>
              </w:rPr>
              <w:t xml:space="preserve"> accidente</w:t>
            </w:r>
            <w:r w:rsidR="005918BE">
              <w:rPr>
                <w:lang w:val="ro-RO"/>
              </w:rPr>
              <w:t>lor</w:t>
            </w:r>
            <w:r w:rsidR="00E505A8" w:rsidRPr="00E505A8">
              <w:rPr>
                <w:lang w:val="ro-RO"/>
              </w:rPr>
              <w:t xml:space="preserve"> și decese</w:t>
            </w:r>
            <w:r w:rsidR="005918BE">
              <w:rPr>
                <w:lang w:val="ro-RO"/>
              </w:rPr>
              <w:t>lor</w:t>
            </w:r>
            <w:r w:rsidR="00E505A8">
              <w:rPr>
                <w:lang w:val="ro-RO"/>
              </w:rPr>
              <w:t xml:space="preserve"> privind </w:t>
            </w:r>
            <w:r w:rsidR="00E505A8" w:rsidRPr="00E505A8">
              <w:rPr>
                <w:lang w:val="ro-RO"/>
              </w:rPr>
              <w:t xml:space="preserve">funcționarea necorespunzătoare a vestelor de salvare. </w:t>
            </w:r>
            <w:r w:rsidR="005918BE">
              <w:rPr>
                <w:lang w:val="ro-RO"/>
              </w:rPr>
              <w:t xml:space="preserve">Problema este cauzată faptului că, conform cadrului normativ în vigoare, </w:t>
            </w:r>
            <w:r w:rsidR="00E505A8" w:rsidRPr="00E505A8">
              <w:rPr>
                <w:lang w:val="ro-RO"/>
              </w:rPr>
              <w:t>conformitatea vestelor de salvare este testată  o singură dată</w:t>
            </w:r>
            <w:r w:rsidR="005918BE">
              <w:rPr>
                <w:lang w:val="ro-RO"/>
              </w:rPr>
              <w:t xml:space="preserve"> în timpul examinării de tip, </w:t>
            </w:r>
            <w:r w:rsidR="00E505A8" w:rsidRPr="00E505A8">
              <w:rPr>
                <w:lang w:val="ro-RO"/>
              </w:rPr>
              <w:t>înainte de începerea producției în serie.</w:t>
            </w:r>
            <w:r w:rsidR="005918BE">
              <w:rPr>
                <w:lang w:val="ro-RO"/>
              </w:rPr>
              <w:t xml:space="preserve"> N</w:t>
            </w:r>
            <w:r w:rsidR="005918BE" w:rsidRPr="005918BE">
              <w:rPr>
                <w:lang w:val="ro-RO"/>
              </w:rPr>
              <w:t xml:space="preserve">u există nicio obligație pentru teste independente ale </w:t>
            </w:r>
            <w:r w:rsidR="005918BE">
              <w:rPr>
                <w:lang w:val="ro-RO"/>
              </w:rPr>
              <w:t xml:space="preserve">securității </w:t>
            </w:r>
            <w:r w:rsidR="005918BE" w:rsidRPr="005918BE">
              <w:rPr>
                <w:lang w:val="ro-RO"/>
              </w:rPr>
              <w:t>vestelor de salvare</w:t>
            </w:r>
            <w:r w:rsidR="005918BE">
              <w:rPr>
                <w:lang w:val="ro-RO"/>
              </w:rPr>
              <w:t xml:space="preserve"> </w:t>
            </w:r>
            <w:r w:rsidR="005918BE" w:rsidRPr="005918BE">
              <w:rPr>
                <w:lang w:val="ro-RO"/>
              </w:rPr>
              <w:t>produs</w:t>
            </w:r>
            <w:r w:rsidR="005918BE">
              <w:rPr>
                <w:lang w:val="ro-RO"/>
              </w:rPr>
              <w:t>e</w:t>
            </w:r>
            <w:r w:rsidR="005918BE" w:rsidRPr="005918BE">
              <w:rPr>
                <w:lang w:val="ro-RO"/>
              </w:rPr>
              <w:t xml:space="preserve"> ulterior. Deci, nu există nicio garanție </w:t>
            </w:r>
            <w:r w:rsidR="005918BE">
              <w:rPr>
                <w:lang w:val="ro-RO"/>
              </w:rPr>
              <w:t xml:space="preserve">constantă a securității </w:t>
            </w:r>
            <w:r w:rsidR="005918BE" w:rsidRPr="005918BE">
              <w:rPr>
                <w:lang w:val="ro-RO"/>
              </w:rPr>
              <w:t>și, în consecință, a un</w:t>
            </w:r>
            <w:r w:rsidR="005918BE">
              <w:rPr>
                <w:lang w:val="ro-RO"/>
              </w:rPr>
              <w:t xml:space="preserve">ui </w:t>
            </w:r>
            <w:r w:rsidR="005918BE" w:rsidRPr="005918BE">
              <w:rPr>
                <w:lang w:val="ro-RO"/>
              </w:rPr>
              <w:t>nivel constant de siguranță pentru aceste tipuri de EIP</w:t>
            </w:r>
            <w:r w:rsidR="005918BE" w:rsidRPr="006B7266">
              <w:rPr>
                <w:lang w:val="ro-RO"/>
              </w:rPr>
              <w:t xml:space="preserve">. Alte produse </w:t>
            </w:r>
            <w:r w:rsidR="006B7266" w:rsidRPr="006B7266">
              <w:rPr>
                <w:lang w:val="ro-RO"/>
              </w:rPr>
              <w:t xml:space="preserve">similare </w:t>
            </w:r>
            <w:r w:rsidR="005918BE" w:rsidRPr="006B7266">
              <w:rPr>
                <w:lang w:val="ro-RO"/>
              </w:rPr>
              <w:t xml:space="preserve">sunt EIP </w:t>
            </w:r>
            <w:r w:rsidR="006B7266" w:rsidRPr="006B7266">
              <w:rPr>
                <w:lang w:val="ro-RO"/>
              </w:rPr>
              <w:t>referitoare la  răni provocate prin împușcare sau înjunghiere; tăieturi cauzate de fierăstraie manuale</w:t>
            </w:r>
            <w:r w:rsidR="006B7266">
              <w:rPr>
                <w:lang w:val="ro-RO"/>
              </w:rPr>
              <w:t xml:space="preserve">; </w:t>
            </w:r>
            <w:r w:rsidR="006B7266" w:rsidRPr="006B7266">
              <w:rPr>
                <w:lang w:val="ro-RO"/>
              </w:rPr>
              <w:t>lucrul sub tensiune</w:t>
            </w:r>
            <w:r w:rsidR="006B7266">
              <w:rPr>
                <w:lang w:val="ro-RO"/>
              </w:rPr>
              <w:t>;</w:t>
            </w:r>
            <w:r w:rsidR="006B7266" w:rsidRPr="006B7266">
              <w:rPr>
                <w:lang w:val="ro-RO"/>
              </w:rPr>
              <w:t xml:space="preserve"> zgomot dăunător</w:t>
            </w:r>
            <w:r w:rsidR="006B7266">
              <w:rPr>
                <w:lang w:val="ro-RO"/>
              </w:rPr>
              <w:t xml:space="preserve">. Toate acestea, conform </w:t>
            </w:r>
            <w:r w:rsidR="005D7FC4">
              <w:rPr>
                <w:lang w:val="ro-RO"/>
              </w:rPr>
              <w:t>reg</w:t>
            </w:r>
            <w:r w:rsidR="00AE41F3">
              <w:rPr>
                <w:lang w:val="ro-RO"/>
              </w:rPr>
              <w:t>lementării</w:t>
            </w:r>
            <w:r w:rsidR="006B7266">
              <w:rPr>
                <w:lang w:val="ro-RO"/>
              </w:rPr>
              <w:t xml:space="preserve"> se regăsesc la categoria III de riscuri, </w:t>
            </w:r>
            <w:r w:rsidR="006B7266" w:rsidRPr="006B7266">
              <w:rPr>
                <w:lang w:val="ro-RO"/>
              </w:rPr>
              <w:t>care pot provoca consecințe foarte grave, cum ar fi decesul sau afectarea în mod ireversibil a sănătății</w:t>
            </w:r>
            <w:r w:rsidR="006B7266" w:rsidRPr="00830A11">
              <w:rPr>
                <w:lang w:val="ro-RO"/>
              </w:rPr>
              <w:t xml:space="preserve">.  </w:t>
            </w:r>
            <w:r w:rsidR="005918BE" w:rsidRPr="00830A11">
              <w:rPr>
                <w:lang w:val="ro-RO"/>
              </w:rPr>
              <w:t>Din nou, problema descrisă este un eșec de reglementare</w:t>
            </w:r>
            <w:r w:rsidR="00830A11" w:rsidRPr="00830A11">
              <w:rPr>
                <w:lang w:val="ro-RO"/>
              </w:rPr>
              <w:t>.</w:t>
            </w:r>
          </w:p>
          <w:p w:rsidR="00E505A8" w:rsidRDefault="00E505A8" w:rsidP="00E505A8">
            <w:pPr>
              <w:tabs>
                <w:tab w:val="left" w:pos="490"/>
              </w:tabs>
              <w:ind w:left="111" w:right="97"/>
              <w:jc w:val="both"/>
              <w:rPr>
                <w:lang w:val="ro-RO"/>
              </w:rPr>
            </w:pPr>
          </w:p>
          <w:p w:rsidR="008E263A" w:rsidRDefault="00603721" w:rsidP="00E505A8">
            <w:pPr>
              <w:tabs>
                <w:tab w:val="left" w:pos="490"/>
              </w:tabs>
              <w:ind w:left="111" w:right="97"/>
              <w:jc w:val="both"/>
              <w:rPr>
                <w:lang w:val="ro-RO"/>
              </w:rPr>
            </w:pPr>
            <w:r w:rsidRPr="00603721">
              <w:rPr>
                <w:lang w:val="ro-RO"/>
              </w:rPr>
              <w:t xml:space="preserve">Pentru a ține cont de </w:t>
            </w:r>
            <w:r w:rsidR="008E7BAF">
              <w:rPr>
                <w:lang w:val="ro-RO"/>
              </w:rPr>
              <w:t xml:space="preserve">cele expuse </w:t>
            </w:r>
            <w:r w:rsidRPr="00603721">
              <w:rPr>
                <w:lang w:val="ro-RO"/>
              </w:rPr>
              <w:t xml:space="preserve"> și a preciza cadrul în care echipamentele individuale de protecție pot fi puse la dispoziție pe piață, </w:t>
            </w:r>
            <w:r w:rsidR="008E7BAF">
              <w:rPr>
                <w:lang w:val="ro-RO"/>
              </w:rPr>
              <w:t xml:space="preserve">se consideră </w:t>
            </w:r>
            <w:r w:rsidR="00B47566">
              <w:rPr>
                <w:lang w:val="ro-RO"/>
              </w:rPr>
              <w:t xml:space="preserve">transpunerea și </w:t>
            </w:r>
            <w:r w:rsidR="008E7BAF">
              <w:rPr>
                <w:lang w:val="ro-RO"/>
              </w:rPr>
              <w:t>impleme</w:t>
            </w:r>
            <w:r w:rsidR="00B47566">
              <w:rPr>
                <w:lang w:val="ro-RO"/>
              </w:rPr>
              <w:t>n</w:t>
            </w:r>
            <w:r w:rsidR="008E7BAF">
              <w:rPr>
                <w:lang w:val="ro-RO"/>
              </w:rPr>
              <w:t>tarea regulamentului european respectiv</w:t>
            </w:r>
            <w:r w:rsidRPr="00603721">
              <w:rPr>
                <w:lang w:val="ro-RO"/>
              </w:rPr>
              <w:t>.</w:t>
            </w:r>
          </w:p>
          <w:p w:rsidR="00603721" w:rsidRDefault="00603721" w:rsidP="00C62B20">
            <w:pPr>
              <w:tabs>
                <w:tab w:val="left" w:pos="490"/>
              </w:tabs>
              <w:ind w:left="111" w:right="97"/>
              <w:jc w:val="both"/>
              <w:rPr>
                <w:lang w:val="ro-RO"/>
              </w:rPr>
            </w:pPr>
          </w:p>
          <w:p w:rsidR="00B750BF" w:rsidRDefault="00B47566" w:rsidP="00C62B20">
            <w:pPr>
              <w:tabs>
                <w:tab w:val="left" w:pos="490"/>
              </w:tabs>
              <w:ind w:left="111" w:right="97"/>
              <w:jc w:val="both"/>
              <w:rPr>
                <w:lang w:val="ro-RO"/>
              </w:rPr>
            </w:pPr>
            <w:r>
              <w:rPr>
                <w:lang w:val="ro-RO"/>
              </w:rPr>
              <w:t>O altă cauză ține de s</w:t>
            </w:r>
            <w:r w:rsidR="008E263A" w:rsidRPr="008E263A">
              <w:rPr>
                <w:lang w:val="ro-RO"/>
              </w:rPr>
              <w:t xml:space="preserve">uprapunerile și ineficiențele </w:t>
            </w:r>
            <w:r w:rsidR="008E263A">
              <w:rPr>
                <w:lang w:val="ro-RO"/>
              </w:rPr>
              <w:t>cadrului</w:t>
            </w:r>
            <w:r w:rsidR="008E263A" w:rsidRPr="008E263A">
              <w:rPr>
                <w:lang w:val="ro-RO"/>
              </w:rPr>
              <w:t xml:space="preserve"> instituțional de supraveghere</w:t>
            </w:r>
            <w:r w:rsidR="008E263A">
              <w:rPr>
                <w:lang w:val="ro-RO"/>
              </w:rPr>
              <w:t xml:space="preserve"> a pieței. </w:t>
            </w:r>
            <w:r w:rsidR="008E263A" w:rsidRPr="00B750BF">
              <w:rPr>
                <w:lang w:val="ro-RO"/>
              </w:rPr>
              <w:t>Reformarea  întregului sistem de control de stat a fost începută</w:t>
            </w:r>
            <w:r w:rsidR="003A69A9">
              <w:rPr>
                <w:lang w:val="ro-RO"/>
              </w:rPr>
              <w:t xml:space="preserve"> și este</w:t>
            </w:r>
            <w:r w:rsidR="008E263A" w:rsidRPr="00B750BF">
              <w:rPr>
                <w:lang w:val="ro-RO"/>
              </w:rPr>
              <w:t xml:space="preserve"> în desfășurare, </w:t>
            </w:r>
            <w:r w:rsidR="003A69A9">
              <w:rPr>
                <w:lang w:val="ro-RO"/>
              </w:rPr>
              <w:t xml:space="preserve">iar </w:t>
            </w:r>
            <w:r w:rsidR="008E263A" w:rsidRPr="00B750BF">
              <w:rPr>
                <w:lang w:val="ro-RO"/>
              </w:rPr>
              <w:t>m</w:t>
            </w:r>
            <w:r w:rsidR="00B9167B" w:rsidRPr="00B750BF">
              <w:rPr>
                <w:lang w:val="ro-RO"/>
              </w:rPr>
              <w:t xml:space="preserve">ai multe elemente în activitate în calitate de </w:t>
            </w:r>
            <w:r w:rsidR="008E263A" w:rsidRPr="00B750BF">
              <w:rPr>
                <w:lang w:val="ro-RO"/>
              </w:rPr>
              <w:t xml:space="preserve"> organ de supraveghere a pieței  trebuie  dezvoltate și implementate </w:t>
            </w:r>
            <w:r w:rsidR="00B9167B" w:rsidRPr="00B750BF">
              <w:rPr>
                <w:lang w:val="ro-RO"/>
              </w:rPr>
              <w:t xml:space="preserve"> în conformitate cu Legea nr.7/2016 privind supravegherea pieței</w:t>
            </w:r>
            <w:r w:rsidR="00B750BF">
              <w:rPr>
                <w:lang w:val="ro-RO"/>
              </w:rPr>
              <w:t xml:space="preserve"> în ceea ce privește comercializarea produselor nealimentare.</w:t>
            </w:r>
            <w:r w:rsidR="00CD6519">
              <w:rPr>
                <w:lang w:val="ro-RO"/>
              </w:rPr>
              <w:t xml:space="preserve"> </w:t>
            </w:r>
          </w:p>
          <w:p w:rsidR="008E263A" w:rsidRDefault="00B9167B" w:rsidP="00C62B20">
            <w:pPr>
              <w:tabs>
                <w:tab w:val="left" w:pos="490"/>
              </w:tabs>
              <w:ind w:left="111" w:right="97"/>
              <w:jc w:val="both"/>
              <w:rPr>
                <w:lang w:val="ro-RO"/>
              </w:rPr>
            </w:pPr>
            <w:r>
              <w:rPr>
                <w:lang w:val="ro-RO"/>
              </w:rPr>
              <w:t xml:space="preserve"> </w:t>
            </w:r>
          </w:p>
          <w:p w:rsidR="007D4D6D" w:rsidRDefault="00B50C87" w:rsidP="00C62B20">
            <w:pPr>
              <w:tabs>
                <w:tab w:val="left" w:pos="490"/>
              </w:tabs>
              <w:ind w:left="111" w:right="97"/>
              <w:jc w:val="both"/>
              <w:rPr>
                <w:lang w:val="ro-RO"/>
              </w:rPr>
            </w:pPr>
            <w:r>
              <w:rPr>
                <w:lang w:val="ro-RO"/>
              </w:rPr>
              <w:t xml:space="preserve">Nerespectarea cadrului legal în vigoare, abordările divergente a autorităților </w:t>
            </w:r>
            <w:r w:rsidR="00B750BF">
              <w:rPr>
                <w:lang w:val="ro-RO"/>
              </w:rPr>
              <w:t xml:space="preserve"> </w:t>
            </w:r>
            <w:r>
              <w:rPr>
                <w:lang w:val="ro-RO"/>
              </w:rPr>
              <w:t xml:space="preserve">referitor la punerea la dispoziție pe piața a EIP, ne eficacitatea supravegherii pieței, </w:t>
            </w:r>
            <w:r w:rsidR="00B750BF">
              <w:rPr>
                <w:lang w:val="ro-RO"/>
              </w:rPr>
              <w:t>nu au permis  dezvoltarea organismelor de evaluare a conformității</w:t>
            </w:r>
            <w:r w:rsidR="008B4D65">
              <w:rPr>
                <w:lang w:val="ro-RO"/>
              </w:rPr>
              <w:t>, in</w:t>
            </w:r>
            <w:r w:rsidR="00AA3109">
              <w:rPr>
                <w:lang w:val="ro-RO"/>
              </w:rPr>
              <w:t xml:space="preserve">clusiv </w:t>
            </w:r>
            <w:r w:rsidR="008B4D65">
              <w:rPr>
                <w:lang w:val="ro-RO"/>
              </w:rPr>
              <w:t>a laboratoarelor de încercări.</w:t>
            </w:r>
            <w:r w:rsidR="00B750BF">
              <w:rPr>
                <w:lang w:val="ro-RO"/>
              </w:rPr>
              <w:t xml:space="preserve"> </w:t>
            </w:r>
          </w:p>
          <w:p w:rsidR="00FE54D8" w:rsidRPr="00F96C4E" w:rsidRDefault="00FE54D8" w:rsidP="00C62B20">
            <w:pPr>
              <w:tabs>
                <w:tab w:val="left" w:pos="490"/>
              </w:tabs>
              <w:ind w:left="111" w:right="97"/>
              <w:jc w:val="both"/>
              <w:rPr>
                <w:lang w:val="ro-RO"/>
              </w:rPr>
            </w:pPr>
          </w:p>
        </w:tc>
      </w:tr>
      <w:tr w:rsidR="000576EE"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576EE" w:rsidRPr="00BE7A97" w:rsidRDefault="000576EE" w:rsidP="00B563ED">
            <w:pPr>
              <w:tabs>
                <w:tab w:val="left" w:pos="490"/>
              </w:tabs>
              <w:jc w:val="both"/>
              <w:rPr>
                <w:i/>
                <w:lang w:val="ro-RO"/>
              </w:rPr>
            </w:pPr>
            <w:r w:rsidRPr="00BE7A97">
              <w:rPr>
                <w:i/>
                <w:lang w:val="ro-RO"/>
              </w:rPr>
              <w:lastRenderedPageBreak/>
              <w:t>d</w:t>
            </w:r>
            <w:r w:rsidRPr="002B45EF">
              <w:rPr>
                <w:i/>
                <w:lang w:val="ro-RO"/>
              </w:rPr>
              <w:t>) Descrieți cum a evoluat problema şi cum va evolua fără o intervenție</w:t>
            </w:r>
          </w:p>
        </w:tc>
      </w:tr>
      <w:tr w:rsidR="000576EE" w:rsidRPr="00F96C4E" w:rsidTr="00C02A28">
        <w:trPr>
          <w:trHeight w:val="600"/>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4B8B" w:rsidRDefault="00544B8B" w:rsidP="00D85CDD">
            <w:pPr>
              <w:tabs>
                <w:tab w:val="left" w:pos="490"/>
              </w:tabs>
              <w:ind w:left="252" w:right="97"/>
              <w:jc w:val="both"/>
              <w:rPr>
                <w:lang w:val="ro-RO"/>
              </w:rPr>
            </w:pPr>
            <w:r>
              <w:rPr>
                <w:lang w:val="ro-RO"/>
              </w:rPr>
              <w:t xml:space="preserve">Întru executarea Hotărârii Guvernului nr.1472/ </w:t>
            </w:r>
            <w:r w:rsidR="002B45EF">
              <w:rPr>
                <w:lang w:val="ro-RO"/>
              </w:rPr>
              <w:t xml:space="preserve">2016 </w:t>
            </w:r>
            <w:r w:rsidR="002B45EF" w:rsidRPr="002B45EF">
              <w:rPr>
                <w:lang w:val="ro-RO"/>
              </w:rPr>
              <w:t>cu privire la aprobarea Planului naţional de acţiuni pentru implementarea</w:t>
            </w:r>
            <w:r w:rsidR="002B45EF">
              <w:rPr>
                <w:lang w:val="ro-RO"/>
              </w:rPr>
              <w:t xml:space="preserve"> </w:t>
            </w:r>
            <w:r w:rsidR="002B45EF" w:rsidRPr="002B45EF">
              <w:rPr>
                <w:lang w:val="ro-RO"/>
              </w:rPr>
              <w:t>Acordului de Asociere Republica Moldova–Uniunea Europeană</w:t>
            </w:r>
            <w:r w:rsidR="002B45EF">
              <w:rPr>
                <w:lang w:val="ro-RO"/>
              </w:rPr>
              <w:t xml:space="preserve"> </w:t>
            </w:r>
            <w:r w:rsidR="002B45EF" w:rsidRPr="002B45EF">
              <w:rPr>
                <w:lang w:val="ro-RO"/>
              </w:rPr>
              <w:t>în perioada 2017–2019</w:t>
            </w:r>
            <w:r w:rsidR="002B45EF">
              <w:rPr>
                <w:lang w:val="ro-RO"/>
              </w:rPr>
              <w:t>, a fost  aprobată Hotărîrea Guvernului nr.</w:t>
            </w:r>
            <w:r w:rsidR="002B45EF" w:rsidRPr="002B45EF">
              <w:rPr>
                <w:lang w:val="ro-RO"/>
              </w:rPr>
              <w:t>1289/2016 pentru aprobarea Reglementării tehnice privind echipamentul individual de protecție, care transpune Directiva Comunităţii Europene 89/686/CEE din 21 decembrie 1989 privind ajustarea legislaţiei statelor membre referitoare la echipamentul individual de protecţie</w:t>
            </w:r>
            <w:r w:rsidR="002B45EF">
              <w:rPr>
                <w:lang w:val="ro-RO"/>
              </w:rPr>
              <w:t>. Prevederile hotărîrii nominalizate au intrat în vigoare la 02.12.2018.</w:t>
            </w:r>
          </w:p>
          <w:p w:rsidR="00544B8B" w:rsidRDefault="00544B8B" w:rsidP="00D85CDD">
            <w:pPr>
              <w:tabs>
                <w:tab w:val="left" w:pos="490"/>
              </w:tabs>
              <w:ind w:left="252" w:right="97"/>
              <w:jc w:val="both"/>
              <w:rPr>
                <w:lang w:val="ro-RO"/>
              </w:rPr>
            </w:pPr>
          </w:p>
          <w:p w:rsidR="00C14D83" w:rsidRDefault="00C14D83" w:rsidP="00D85CDD">
            <w:pPr>
              <w:tabs>
                <w:tab w:val="left" w:pos="490"/>
              </w:tabs>
              <w:ind w:left="252" w:right="97"/>
              <w:jc w:val="both"/>
              <w:rPr>
                <w:lang w:val="ro-RO"/>
              </w:rPr>
            </w:pPr>
            <w:r>
              <w:rPr>
                <w:lang w:val="ro-RO"/>
              </w:rPr>
              <w:t>Cu toate că actul normativ menționat este în vigoare, acesta nu este pus în aplicare nici de producătorii autohtoni de EIP, nici de autoritățile de</w:t>
            </w:r>
            <w:r w:rsidR="00D85CDD">
              <w:rPr>
                <w:lang w:val="ro-RO"/>
              </w:rPr>
              <w:t xml:space="preserve"> supraveghere a pieței. </w:t>
            </w:r>
          </w:p>
          <w:p w:rsidR="00353F0A" w:rsidRDefault="00353F0A" w:rsidP="00E929F2">
            <w:pPr>
              <w:tabs>
                <w:tab w:val="left" w:pos="490"/>
                <w:tab w:val="left" w:pos="9466"/>
              </w:tabs>
              <w:ind w:left="252" w:right="239"/>
              <w:jc w:val="both"/>
              <w:rPr>
                <w:lang w:val="ro-RO"/>
              </w:rPr>
            </w:pPr>
          </w:p>
          <w:p w:rsidR="00D85CDD" w:rsidRDefault="00D85CDD" w:rsidP="00E929F2">
            <w:pPr>
              <w:tabs>
                <w:tab w:val="left" w:pos="490"/>
                <w:tab w:val="left" w:pos="9466"/>
              </w:tabs>
              <w:ind w:left="252" w:right="239"/>
              <w:jc w:val="both"/>
              <w:rPr>
                <w:lang w:val="ro-RO"/>
              </w:rPr>
            </w:pPr>
            <w:r>
              <w:rPr>
                <w:lang w:val="ro-RO"/>
              </w:rPr>
              <w:t>Având î</w:t>
            </w:r>
            <w:r w:rsidR="008D3180">
              <w:rPr>
                <w:lang w:val="ro-RO"/>
              </w:rPr>
              <w:t>n vedere cadrul legal imperfect, se presupune că EIP puse la dispoziție pe piață nu asigură în modul stabilit siguranța și securitatea sănătății și vieții utilizatorilor și consumatorilor.</w:t>
            </w:r>
          </w:p>
          <w:p w:rsidR="00D85CDD" w:rsidRDefault="00D85CDD" w:rsidP="00E929F2">
            <w:pPr>
              <w:tabs>
                <w:tab w:val="left" w:pos="490"/>
                <w:tab w:val="left" w:pos="9466"/>
              </w:tabs>
              <w:ind w:left="252" w:right="239"/>
              <w:jc w:val="both"/>
              <w:rPr>
                <w:lang w:val="ro-RO"/>
              </w:rPr>
            </w:pPr>
          </w:p>
          <w:p w:rsidR="00353F0A" w:rsidRDefault="00353F0A" w:rsidP="00E929F2">
            <w:pPr>
              <w:tabs>
                <w:tab w:val="left" w:pos="490"/>
                <w:tab w:val="left" w:pos="9466"/>
              </w:tabs>
              <w:ind w:left="252" w:right="239"/>
              <w:jc w:val="both"/>
              <w:rPr>
                <w:lang w:val="ro-RO"/>
              </w:rPr>
            </w:pPr>
            <w:r>
              <w:rPr>
                <w:lang w:val="ro-RO"/>
              </w:rPr>
              <w:t xml:space="preserve">Concomitent, </w:t>
            </w:r>
            <w:r w:rsidR="005D7FC4">
              <w:rPr>
                <w:lang w:val="ro-RO"/>
              </w:rPr>
              <w:t>utilizatorii</w:t>
            </w:r>
            <w:r w:rsidRPr="00353F0A">
              <w:rPr>
                <w:lang w:val="ro-RO"/>
              </w:rPr>
              <w:t xml:space="preserve"> de EIP pot fi împărțiți în întreprinderi (utilizatori profesioniști) și persoane fizice</w:t>
            </w:r>
            <w:r w:rsidR="005D7FC4">
              <w:rPr>
                <w:lang w:val="ro-RO"/>
              </w:rPr>
              <w:t xml:space="preserve"> (consumatori)</w:t>
            </w:r>
            <w:r w:rsidRPr="00353F0A">
              <w:rPr>
                <w:lang w:val="ro-RO"/>
              </w:rPr>
              <w:t>.</w:t>
            </w:r>
            <w:r>
              <w:rPr>
                <w:lang w:val="ro-RO"/>
              </w:rPr>
              <w:t xml:space="preserve"> </w:t>
            </w:r>
            <w:r w:rsidRPr="00353F0A">
              <w:rPr>
                <w:lang w:val="ro-RO"/>
              </w:rPr>
              <w:t xml:space="preserve">Utilizarea profesională reprezintă aproximativ 70% din </w:t>
            </w:r>
            <w:r w:rsidR="00D85CDD">
              <w:rPr>
                <w:lang w:val="ro-RO"/>
              </w:rPr>
              <w:t>cererea totală de EIP. S</w:t>
            </w:r>
            <w:r w:rsidRPr="00353F0A">
              <w:rPr>
                <w:lang w:val="ro-RO"/>
              </w:rPr>
              <w:t xml:space="preserve">ectoarele cu cea mai mare intensitate a cererii de EIP sunt </w:t>
            </w:r>
            <w:r>
              <w:rPr>
                <w:lang w:val="ro-RO"/>
              </w:rPr>
              <w:t xml:space="preserve">sănătatea, </w:t>
            </w:r>
            <w:r w:rsidRPr="00353F0A">
              <w:rPr>
                <w:lang w:val="ro-RO"/>
              </w:rPr>
              <w:t xml:space="preserve">construcțiile, mineritul. </w:t>
            </w:r>
            <w:r>
              <w:rPr>
                <w:lang w:val="ro-RO"/>
              </w:rPr>
              <w:t>Totodată și în  a</w:t>
            </w:r>
            <w:r w:rsidRPr="00353F0A">
              <w:rPr>
                <w:lang w:val="ro-RO"/>
              </w:rPr>
              <w:t xml:space="preserve">lte sectoare precum agricultura și serviciile publice </w:t>
            </w:r>
            <w:r>
              <w:rPr>
                <w:lang w:val="ro-RO"/>
              </w:rPr>
              <w:t>se observă o creștere de consum de EIP</w:t>
            </w:r>
            <w:r w:rsidRPr="00353F0A">
              <w:rPr>
                <w:lang w:val="ro-RO"/>
              </w:rPr>
              <w:t>.</w:t>
            </w:r>
            <w:r>
              <w:rPr>
                <w:lang w:val="ro-RO"/>
              </w:rPr>
              <w:t xml:space="preserve"> </w:t>
            </w:r>
          </w:p>
          <w:p w:rsidR="00D85CDD" w:rsidRDefault="00D85CDD" w:rsidP="00E929F2">
            <w:pPr>
              <w:tabs>
                <w:tab w:val="left" w:pos="490"/>
                <w:tab w:val="left" w:pos="9466"/>
              </w:tabs>
              <w:ind w:left="252" w:right="239"/>
              <w:jc w:val="both"/>
              <w:rPr>
                <w:lang w:val="ro-RO"/>
              </w:rPr>
            </w:pPr>
          </w:p>
          <w:p w:rsidR="00830A11" w:rsidRDefault="00E929F2" w:rsidP="001F47E6">
            <w:pPr>
              <w:tabs>
                <w:tab w:val="left" w:pos="490"/>
                <w:tab w:val="left" w:pos="9466"/>
              </w:tabs>
              <w:ind w:left="252" w:right="239"/>
              <w:jc w:val="both"/>
              <w:rPr>
                <w:lang w:val="ro-RO"/>
              </w:rPr>
            </w:pPr>
            <w:r>
              <w:rPr>
                <w:lang w:val="ro-RO"/>
              </w:rPr>
              <w:t xml:space="preserve">Concluzionând datele expuse supra, se constată, că în cazul neintervenției </w:t>
            </w:r>
            <w:r w:rsidR="00FD3443">
              <w:rPr>
                <w:lang w:val="ro-RO"/>
              </w:rPr>
              <w:t>privind cadrul legal existent</w:t>
            </w:r>
            <w:r>
              <w:rPr>
                <w:lang w:val="ro-RO"/>
              </w:rPr>
              <w:t xml:space="preserve">, </w:t>
            </w:r>
            <w:r w:rsidR="00FD3443">
              <w:rPr>
                <w:lang w:val="ro-RO"/>
              </w:rPr>
              <w:t>societatea va fi expusă</w:t>
            </w:r>
            <w:r w:rsidR="000B76E0">
              <w:rPr>
                <w:lang w:val="ro-RO"/>
              </w:rPr>
              <w:t xml:space="preserve"> în continuare </w:t>
            </w:r>
            <w:r w:rsidR="00FD3443">
              <w:rPr>
                <w:lang w:val="ro-RO"/>
              </w:rPr>
              <w:t xml:space="preserve"> unui risc major ce ține de utilizarea unor EIP neconforme, care nu asigură cerințele de sănătate și securitate.</w:t>
            </w:r>
          </w:p>
          <w:p w:rsidR="00830A11" w:rsidRDefault="00830A11" w:rsidP="001F47E6">
            <w:pPr>
              <w:tabs>
                <w:tab w:val="left" w:pos="490"/>
                <w:tab w:val="left" w:pos="9466"/>
              </w:tabs>
              <w:ind w:left="252" w:right="239"/>
              <w:jc w:val="both"/>
              <w:rPr>
                <w:lang w:val="ro-RO"/>
              </w:rPr>
            </w:pPr>
          </w:p>
          <w:p w:rsidR="00830A11" w:rsidRDefault="00830A11" w:rsidP="00830A11">
            <w:pPr>
              <w:tabs>
                <w:tab w:val="left" w:pos="490"/>
                <w:tab w:val="left" w:pos="9466"/>
              </w:tabs>
              <w:ind w:left="252" w:right="239"/>
              <w:jc w:val="both"/>
              <w:rPr>
                <w:lang w:val="ro-RO"/>
              </w:rPr>
            </w:pPr>
            <w:r w:rsidRPr="00830A11">
              <w:rPr>
                <w:lang w:val="ro-RO"/>
              </w:rPr>
              <w:t xml:space="preserve">Cine </w:t>
            </w:r>
            <w:r>
              <w:rPr>
                <w:lang w:val="ro-RO"/>
              </w:rPr>
              <w:t xml:space="preserve">va fi </w:t>
            </w:r>
            <w:r w:rsidRPr="00830A11">
              <w:rPr>
                <w:lang w:val="ro-RO"/>
              </w:rPr>
              <w:t xml:space="preserve"> afectat, în ce moduri și în ce măsură?</w:t>
            </w:r>
            <w:r w:rsidR="00B3143E">
              <w:rPr>
                <w:lang w:val="ro-RO"/>
              </w:rPr>
              <w:t xml:space="preserve"> Deci, p</w:t>
            </w:r>
            <w:r w:rsidR="003D3E4D">
              <w:rPr>
                <w:lang w:val="ro-RO"/>
              </w:rPr>
              <w:t>roducătorii,</w:t>
            </w:r>
            <w:r>
              <w:rPr>
                <w:lang w:val="ro-RO"/>
              </w:rPr>
              <w:t xml:space="preserve"> utilizatorii</w:t>
            </w:r>
            <w:r w:rsidR="003D3E4D">
              <w:rPr>
                <w:lang w:val="ro-RO"/>
              </w:rPr>
              <w:t xml:space="preserve"> și consumatorii </w:t>
            </w:r>
            <w:r>
              <w:rPr>
                <w:lang w:val="ro-RO"/>
              </w:rPr>
              <w:t xml:space="preserve"> sunt cei care vor fi afectați în continuare. </w:t>
            </w:r>
            <w:r w:rsidR="003D3E4D">
              <w:rPr>
                <w:lang w:val="ro-RO"/>
              </w:rPr>
              <w:t xml:space="preserve">Regulatorul trebuie să soluționeze problema neconcordanței </w:t>
            </w:r>
            <w:r w:rsidRPr="00830A11">
              <w:rPr>
                <w:lang w:val="ro-RO"/>
              </w:rPr>
              <w:t xml:space="preserve"> cerințelor</w:t>
            </w:r>
            <w:r w:rsidR="003D3E4D">
              <w:rPr>
                <w:lang w:val="ro-RO"/>
              </w:rPr>
              <w:t xml:space="preserve"> către EIP</w:t>
            </w:r>
            <w:r w:rsidRPr="00830A11">
              <w:rPr>
                <w:lang w:val="ro-RO"/>
              </w:rPr>
              <w:t xml:space="preserve">, ceea ce duce la cazuri </w:t>
            </w:r>
            <w:r w:rsidR="003D3E4D">
              <w:rPr>
                <w:lang w:val="ro-RO"/>
              </w:rPr>
              <w:t xml:space="preserve"> grave de afectare a sănătății și vieții.</w:t>
            </w:r>
            <w:r w:rsidRPr="00830A11">
              <w:rPr>
                <w:lang w:val="ro-RO"/>
              </w:rPr>
              <w:t xml:space="preserve"> Producătorii anumitor tipuri de EIP se confruntă cu încercarea de a îndeplini cerințele</w:t>
            </w:r>
            <w:r w:rsidR="003D3E4D">
              <w:rPr>
                <w:lang w:val="ro-RO"/>
              </w:rPr>
              <w:t xml:space="preserve"> actuale, </w:t>
            </w:r>
            <w:r w:rsidR="00EE4DEB">
              <w:rPr>
                <w:lang w:val="ro-RO"/>
              </w:rPr>
              <w:t xml:space="preserve">unele dintre care </w:t>
            </w:r>
            <w:r w:rsidRPr="00830A11">
              <w:rPr>
                <w:lang w:val="ro-RO"/>
              </w:rPr>
              <w:t xml:space="preserve"> sunt </w:t>
            </w:r>
            <w:r w:rsidR="00EE4DEB">
              <w:rPr>
                <w:lang w:val="ro-RO"/>
              </w:rPr>
              <w:t>re</w:t>
            </w:r>
            <w:r w:rsidRPr="00830A11">
              <w:rPr>
                <w:lang w:val="ro-RO"/>
              </w:rPr>
              <w:t>cunoscute a fi impracticabile. Utilizatorii</w:t>
            </w:r>
            <w:r w:rsidR="005D7FC4">
              <w:rPr>
                <w:lang w:val="ro-RO"/>
              </w:rPr>
              <w:t>, consumatorii de</w:t>
            </w:r>
            <w:r w:rsidRPr="00830A11">
              <w:rPr>
                <w:lang w:val="ro-RO"/>
              </w:rPr>
              <w:t xml:space="preserve"> </w:t>
            </w:r>
            <w:r w:rsidR="003D3E4D">
              <w:rPr>
                <w:lang w:val="ro-RO"/>
              </w:rPr>
              <w:t>EIP</w:t>
            </w:r>
            <w:r w:rsidRPr="00830A11">
              <w:rPr>
                <w:lang w:val="ro-RO"/>
              </w:rPr>
              <w:t xml:space="preserve"> sunt afectați în măsura în care</w:t>
            </w:r>
            <w:r w:rsidR="003D3E4D">
              <w:rPr>
                <w:lang w:val="ro-RO"/>
              </w:rPr>
              <w:t xml:space="preserve"> </w:t>
            </w:r>
            <w:r w:rsidRPr="00830A11">
              <w:rPr>
                <w:lang w:val="ro-RO"/>
              </w:rPr>
              <w:t>informațiile pe care le primesc legate de produs sunt parțiale și, pe această bază, pot fi</w:t>
            </w:r>
            <w:r w:rsidR="003D3E4D">
              <w:rPr>
                <w:lang w:val="ro-RO"/>
              </w:rPr>
              <w:t xml:space="preserve"> </w:t>
            </w:r>
            <w:r w:rsidRPr="00830A11">
              <w:rPr>
                <w:lang w:val="ro-RO"/>
              </w:rPr>
              <w:t>irelevant</w:t>
            </w:r>
            <w:r w:rsidR="003D3E4D">
              <w:rPr>
                <w:lang w:val="ro-RO"/>
              </w:rPr>
              <w:t>e</w:t>
            </w:r>
            <w:r w:rsidRPr="00830A11">
              <w:rPr>
                <w:lang w:val="ro-RO"/>
              </w:rPr>
              <w:t xml:space="preserve"> și pot fi o sursă potențială de confuzie.</w:t>
            </w:r>
            <w:r w:rsidR="00D85CDD" w:rsidRPr="00830A11">
              <w:rPr>
                <w:lang w:val="ro-RO"/>
              </w:rPr>
              <w:t xml:space="preserve"> Problemele identificate vor persista dacă nu se fac modificări ale </w:t>
            </w:r>
            <w:r w:rsidR="00D85CDD">
              <w:rPr>
                <w:lang w:val="ro-RO"/>
              </w:rPr>
              <w:t>cadrului normativ</w:t>
            </w:r>
            <w:r w:rsidR="00D85CDD" w:rsidRPr="00830A11">
              <w:rPr>
                <w:lang w:val="ro-RO"/>
              </w:rPr>
              <w:t>. Fără</w:t>
            </w:r>
            <w:r w:rsidR="00D85CDD">
              <w:rPr>
                <w:lang w:val="ro-RO"/>
              </w:rPr>
              <w:t xml:space="preserve"> </w:t>
            </w:r>
            <w:r w:rsidR="00D85CDD" w:rsidRPr="00830A11">
              <w:rPr>
                <w:lang w:val="ro-RO"/>
              </w:rPr>
              <w:t>informații suficiente și adecvate furnizate de producător cu privire la conformitatea unui</w:t>
            </w:r>
            <w:r w:rsidR="00D85CDD">
              <w:rPr>
                <w:lang w:val="ro-RO"/>
              </w:rPr>
              <w:t xml:space="preserve"> </w:t>
            </w:r>
            <w:r w:rsidR="00D85CDD" w:rsidRPr="00830A11">
              <w:rPr>
                <w:lang w:val="ro-RO"/>
              </w:rPr>
              <w:t xml:space="preserve">produsul cu cerințele aplicabile este dificil sau imposibil de </w:t>
            </w:r>
            <w:r w:rsidR="00D85CDD">
              <w:rPr>
                <w:lang w:val="ro-RO"/>
              </w:rPr>
              <w:t xml:space="preserve">efectuat </w:t>
            </w:r>
            <w:r w:rsidR="00D85CDD" w:rsidRPr="00830A11">
              <w:rPr>
                <w:lang w:val="ro-RO"/>
              </w:rPr>
              <w:t>evalua</w:t>
            </w:r>
            <w:r w:rsidR="00D85CDD">
              <w:rPr>
                <w:lang w:val="ro-RO"/>
              </w:rPr>
              <w:t>rea produsului</w:t>
            </w:r>
            <w:r w:rsidR="00D85CDD" w:rsidRPr="00830A11">
              <w:rPr>
                <w:lang w:val="ro-RO"/>
              </w:rPr>
              <w:t>. Este necesar să se precizeze în mod clar</w:t>
            </w:r>
            <w:r w:rsidR="00D85CDD">
              <w:rPr>
                <w:lang w:val="ro-RO"/>
              </w:rPr>
              <w:t xml:space="preserve"> </w:t>
            </w:r>
            <w:r w:rsidR="00D85CDD" w:rsidRPr="00830A11">
              <w:rPr>
                <w:lang w:val="ro-RO"/>
              </w:rPr>
              <w:t xml:space="preserve">obligația producătorilor de a </w:t>
            </w:r>
            <w:r w:rsidR="00D85CDD">
              <w:rPr>
                <w:lang w:val="ro-RO"/>
              </w:rPr>
              <w:t xml:space="preserve">prezenta </w:t>
            </w:r>
            <w:r w:rsidR="00D85CDD" w:rsidRPr="00830A11">
              <w:rPr>
                <w:lang w:val="ro-RO"/>
              </w:rPr>
              <w:t>documentația tehnică necesară</w:t>
            </w:r>
            <w:r w:rsidR="00D85CDD">
              <w:rPr>
                <w:lang w:val="ro-RO"/>
              </w:rPr>
              <w:t>, precum și obligațiile privind punerea la dispoziție pe piață</w:t>
            </w:r>
            <w:r w:rsidR="00D85CDD" w:rsidRPr="00830A11">
              <w:rPr>
                <w:lang w:val="ro-RO"/>
              </w:rPr>
              <w:t>.</w:t>
            </w:r>
            <w:r w:rsidR="00D85CDD">
              <w:rPr>
                <w:lang w:val="ro-RO"/>
              </w:rPr>
              <w:t xml:space="preserve"> În caz contrar </w:t>
            </w:r>
            <w:r w:rsidR="00D85CDD" w:rsidRPr="003D3E4D">
              <w:rPr>
                <w:lang w:val="ro-RO"/>
              </w:rPr>
              <w:t>potențiale efecte negative asupra protecției utilizatorilor,</w:t>
            </w:r>
            <w:r w:rsidR="00D85CDD">
              <w:rPr>
                <w:lang w:val="ro-RO"/>
              </w:rPr>
              <w:t xml:space="preserve"> consumatorilor, </w:t>
            </w:r>
            <w:r w:rsidR="00D85CDD" w:rsidRPr="003D3E4D">
              <w:rPr>
                <w:lang w:val="ro-RO"/>
              </w:rPr>
              <w:t xml:space="preserve">asupra activității pieței </w:t>
            </w:r>
            <w:r w:rsidR="00D85CDD">
              <w:rPr>
                <w:lang w:val="ro-RO"/>
              </w:rPr>
              <w:t>interne a EIP vor persista.</w:t>
            </w:r>
          </w:p>
          <w:p w:rsidR="00507CF0" w:rsidRPr="00F96C4E" w:rsidRDefault="00507CF0" w:rsidP="00D85CDD">
            <w:pPr>
              <w:tabs>
                <w:tab w:val="left" w:pos="490"/>
              </w:tabs>
              <w:ind w:left="111" w:right="97"/>
              <w:jc w:val="both"/>
              <w:rPr>
                <w:lang w:val="ro-RO"/>
              </w:rPr>
            </w:pPr>
          </w:p>
        </w:tc>
      </w:tr>
      <w:tr w:rsidR="000576EE"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576EE" w:rsidRPr="00F96C4E" w:rsidRDefault="000576EE" w:rsidP="00B563ED">
            <w:pPr>
              <w:tabs>
                <w:tab w:val="left" w:pos="490"/>
              </w:tabs>
              <w:jc w:val="both"/>
              <w:rPr>
                <w:lang w:val="ro-RO"/>
              </w:rPr>
            </w:pPr>
            <w:r w:rsidRPr="00F96C4E">
              <w:rPr>
                <w:lang w:val="ro-RO"/>
              </w:rPr>
              <w:t>e</w:t>
            </w:r>
            <w:r w:rsidRPr="00F81781">
              <w:rPr>
                <w:i/>
                <w:lang w:val="ro-RO"/>
              </w:rPr>
              <w:t xml:space="preserve">) Descrieți cadrul juridic actual aplicabil raporturilor </w:t>
            </w:r>
            <w:r w:rsidR="00FE54D8" w:rsidRPr="00F81781">
              <w:rPr>
                <w:i/>
                <w:lang w:val="ro-RO"/>
              </w:rPr>
              <w:t>analizate şi identificați carenț</w:t>
            </w:r>
            <w:r w:rsidRPr="00F81781">
              <w:rPr>
                <w:i/>
                <w:lang w:val="ro-RO"/>
              </w:rPr>
              <w:t>ele prevederilor normative în vigoare, identificați documentele de politici şi reglementările existe</w:t>
            </w:r>
            <w:r w:rsidR="00544B8B" w:rsidRPr="00F81781">
              <w:rPr>
                <w:i/>
                <w:lang w:val="ro-RO"/>
              </w:rPr>
              <w:t>nte care condiţionează intervenț</w:t>
            </w:r>
            <w:r w:rsidRPr="00F81781">
              <w:rPr>
                <w:i/>
                <w:lang w:val="ro-RO"/>
              </w:rPr>
              <w:t>ia statului.</w:t>
            </w:r>
          </w:p>
        </w:tc>
      </w:tr>
      <w:tr w:rsidR="0058391B"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7185A" w:rsidRPr="0057185A" w:rsidRDefault="0057185A" w:rsidP="00D71B38">
            <w:pPr>
              <w:ind w:left="111" w:right="97"/>
              <w:jc w:val="both"/>
              <w:rPr>
                <w:lang w:val="ro-RO"/>
              </w:rPr>
            </w:pPr>
            <w:r>
              <w:rPr>
                <w:lang w:val="ro-RO"/>
              </w:rPr>
              <w:t>Legea nr. 235/2011 privind activitățile de acreditare și de evaluare a conformității stabileș</w:t>
            </w:r>
            <w:r w:rsidRPr="0057185A">
              <w:rPr>
                <w:lang w:val="ro-RO"/>
              </w:rPr>
              <w:t>te cadrul legal pentru activitatea de acreditare a organismelor de evaluare a conformităţii</w:t>
            </w:r>
            <w:r>
              <w:rPr>
                <w:lang w:val="ro-RO"/>
              </w:rPr>
              <w:t xml:space="preserve"> </w:t>
            </w:r>
            <w:r w:rsidRPr="0057185A">
              <w:rPr>
                <w:lang w:val="ro-RO"/>
              </w:rPr>
              <w:t xml:space="preserve">pentru punerea la </w:t>
            </w:r>
            <w:r w:rsidRPr="0057185A">
              <w:rPr>
                <w:lang w:val="ro-RO"/>
              </w:rPr>
              <w:lastRenderedPageBreak/>
              <w:t>dispoziţie a produselor pe piaţă şi pentru activitatea de evaluare a conformităţii</w:t>
            </w:r>
            <w:r>
              <w:rPr>
                <w:lang w:val="ro-RO"/>
              </w:rPr>
              <w:t>. Totodată Legea stipulează condițiile de introducere și punere la dispoziție pe piață a produselor, obligațiile producătorului, reprezentantului autorizat, importatorului și distribuitorului. Legea prevede atribuțiile autorității cu funcții de reglementare în domeniul evaluării conformității produselor.</w:t>
            </w:r>
          </w:p>
          <w:p w:rsidR="002B45EF" w:rsidRDefault="002B45EF" w:rsidP="00922342">
            <w:pPr>
              <w:pStyle w:val="ListParagraph"/>
              <w:ind w:left="65" w:firstLine="284"/>
              <w:jc w:val="both"/>
              <w:rPr>
                <w:lang w:val="ro-RO"/>
              </w:rPr>
            </w:pPr>
          </w:p>
          <w:p w:rsidR="009A080C" w:rsidRDefault="009A080C" w:rsidP="00FE54D8">
            <w:pPr>
              <w:ind w:left="111" w:right="97"/>
              <w:jc w:val="both"/>
              <w:rPr>
                <w:lang w:val="ro-RO"/>
              </w:rPr>
            </w:pPr>
            <w:r w:rsidRPr="00B679BA">
              <w:rPr>
                <w:lang w:val="ro-RO"/>
              </w:rPr>
              <w:t>Legea nr.7/2016</w:t>
            </w:r>
            <w:r w:rsidR="00B679BA">
              <w:rPr>
                <w:lang w:val="ro-RO"/>
              </w:rPr>
              <w:t xml:space="preserve"> privind supravegherea pieței în ceea ce privește comercializarea produselor nealimentare stabileș</w:t>
            </w:r>
            <w:r w:rsidR="00B679BA" w:rsidRPr="00B679BA">
              <w:rPr>
                <w:lang w:val="ro-RO"/>
              </w:rPr>
              <w:t>te cadrul legal pentru supravegherea pieţei în ceea ce priveşte produsele nealimentare pentru a asigura că respectivele produse îndeplinesc cerinţele esenţiale care oferă un nivel înalt de protecţie a intereselor publice, precum sănătatea şi siguranţa în general, sănătatea şi siguranţa la locul de muncă, protecţia consumatorilor, protecţia mediului şi securitatea</w:t>
            </w:r>
            <w:r w:rsidR="00C64A21">
              <w:rPr>
                <w:lang w:val="ro-RO"/>
              </w:rPr>
              <w:t>. Legea prevede activitățile desfășurate și măsurile aplicate de autoritățile de supraveghere a pieței, măsurile corective pentru produsele care prezintă un risc, precum și suspendarea, interzicerea punerii la dispoziție pe piață a produselor.</w:t>
            </w:r>
          </w:p>
          <w:p w:rsidR="000B76E0" w:rsidRDefault="000B76E0" w:rsidP="000B76E0">
            <w:pPr>
              <w:tabs>
                <w:tab w:val="left" w:pos="490"/>
              </w:tabs>
              <w:jc w:val="both"/>
              <w:rPr>
                <w:lang w:val="ro-RO"/>
              </w:rPr>
            </w:pPr>
          </w:p>
          <w:p w:rsidR="000B76E0" w:rsidRPr="000B76E0" w:rsidRDefault="000B76E0" w:rsidP="000B76E0">
            <w:pPr>
              <w:tabs>
                <w:tab w:val="left" w:pos="490"/>
              </w:tabs>
              <w:ind w:left="111" w:right="97"/>
              <w:jc w:val="both"/>
              <w:rPr>
                <w:lang w:val="ro-RO"/>
              </w:rPr>
            </w:pPr>
            <w:r w:rsidRPr="000B76E0">
              <w:rPr>
                <w:lang w:val="ro-RO"/>
              </w:rPr>
              <w:t>Întru eliminarea barierelor tehnice în calea comerțului</w:t>
            </w:r>
            <w:r>
              <w:rPr>
                <w:lang w:val="ro-RO"/>
              </w:rPr>
              <w:t xml:space="preserve">, </w:t>
            </w:r>
            <w:r w:rsidRPr="000B76E0">
              <w:rPr>
                <w:lang w:val="ro-RO"/>
              </w:rPr>
              <w:t xml:space="preserve"> capitolul 3 titlul V  Comerțul și aspectele legate de comerț din Acordul de Asociere între Republica Moldova, r</w:t>
            </w:r>
            <w:r>
              <w:rPr>
                <w:lang w:val="ro-RO"/>
              </w:rPr>
              <w:t xml:space="preserve">atificat prin Legea nr.112/2014, </w:t>
            </w:r>
            <w:r w:rsidRPr="000B76E0">
              <w:rPr>
                <w:lang w:val="ro-RO"/>
              </w:rPr>
              <w:t xml:space="preserve"> Republica Moldova și-a asumat angajamentul privind includerea în mod progresiv a acquis-</w:t>
            </w:r>
            <w:proofErr w:type="spellStart"/>
            <w:r w:rsidRPr="000B76E0">
              <w:rPr>
                <w:lang w:val="ro-RO"/>
              </w:rPr>
              <w:t>ul</w:t>
            </w:r>
            <w:proofErr w:type="spellEnd"/>
            <w:r w:rsidRPr="000B76E0">
              <w:rPr>
                <w:lang w:val="ro-RO"/>
              </w:rPr>
              <w:t xml:space="preserve"> relevant al Uniunii în legislația națională, conform prevederilor Anexei XVI a Acordului menționat. Ca urmare, a fost aprobată Hotărîrea Guvernului nr.1289/2016 pentru aprobarea Reglementării tehnice privind echipamentul individual de protecție, care transpune Directiva Comunităţii Europene 89/686/CEE din 21 decembrie 1989 privind ajustarea legislaţiei statelor membre referitoare la echipamentul individual de protecţie (EIP). </w:t>
            </w:r>
            <w:r w:rsidR="00CD05A3">
              <w:rPr>
                <w:lang w:val="ro-RO"/>
              </w:rPr>
              <w:t xml:space="preserve">Prevederile hotărîrii nominalizate au intrat în vigoare la 02.12.2018. Hotărîrea Guvernului nr. 1289/2016 </w:t>
            </w:r>
            <w:r w:rsidR="00CD05A3" w:rsidRPr="002B45EF">
              <w:rPr>
                <w:lang w:val="ro-RO"/>
              </w:rPr>
              <w:t>stabile</w:t>
            </w:r>
            <w:r w:rsidR="00CD05A3">
              <w:rPr>
                <w:lang w:val="ro-RO"/>
              </w:rPr>
              <w:t>ș</w:t>
            </w:r>
            <w:r w:rsidR="00CD05A3" w:rsidRPr="002B45EF">
              <w:rPr>
                <w:lang w:val="ro-RO"/>
              </w:rPr>
              <w:t>te condiţiile care reglementează introducerea pe piaţă a  EIP, precum şi cerinţele esenţiale de securitate a acestora pe care trebuie să le respecte în vederea asigurării protecţiei sănătăţii şi securităţii utilizatorilor</w:t>
            </w:r>
            <w:r w:rsidR="00CD05A3">
              <w:rPr>
                <w:lang w:val="ro-RO"/>
              </w:rPr>
              <w:t>.</w:t>
            </w:r>
          </w:p>
          <w:p w:rsidR="000B76E0" w:rsidRDefault="000B76E0" w:rsidP="000B76E0">
            <w:pPr>
              <w:tabs>
                <w:tab w:val="left" w:pos="490"/>
              </w:tabs>
              <w:ind w:left="111" w:right="97"/>
              <w:jc w:val="both"/>
              <w:rPr>
                <w:lang w:val="ro-RO"/>
              </w:rPr>
            </w:pPr>
          </w:p>
          <w:p w:rsidR="000B76E0" w:rsidRPr="000B76E0" w:rsidRDefault="000B76E0" w:rsidP="000B76E0">
            <w:pPr>
              <w:tabs>
                <w:tab w:val="left" w:pos="490"/>
              </w:tabs>
              <w:ind w:left="111" w:right="97"/>
              <w:jc w:val="both"/>
              <w:rPr>
                <w:lang w:val="ro-RO"/>
              </w:rPr>
            </w:pPr>
            <w:r w:rsidRPr="000B76E0">
              <w:rPr>
                <w:lang w:val="ro-RO"/>
              </w:rPr>
              <w:t>Subsidiar, în conformitate cu obiectivele Comisiei Europene de simplificare a mediului de reglementare, parcurgând procedura legislativă ordinară de „codecizie”, la 9 martie 2016 Parlamentul European și Consiliul Uniunii Europene a adoptat Regulamentul (UE) 2016/425 privind echipamentele individuale de protecție și de abrogare a Directivei 89/686/CEE a Consiliului. În consecință, Directiva Comunităţii Europene 89/686/CEE a fost abrogată la data de 21 aprilie 2018 odată cu punerea în aplicare a Regulamentului (UE) 2016/425.</w:t>
            </w:r>
          </w:p>
          <w:p w:rsidR="000B76E0" w:rsidRDefault="000B76E0" w:rsidP="000B76E0">
            <w:pPr>
              <w:tabs>
                <w:tab w:val="left" w:pos="490"/>
              </w:tabs>
              <w:ind w:left="111" w:right="97"/>
              <w:jc w:val="both"/>
              <w:rPr>
                <w:lang w:val="ro-RO"/>
              </w:rPr>
            </w:pPr>
          </w:p>
          <w:p w:rsidR="000B76E0" w:rsidRDefault="000B76E0" w:rsidP="000B76E0">
            <w:pPr>
              <w:tabs>
                <w:tab w:val="left" w:pos="490"/>
              </w:tabs>
              <w:ind w:left="111" w:right="97"/>
              <w:jc w:val="both"/>
              <w:rPr>
                <w:lang w:val="ro-RO"/>
              </w:rPr>
            </w:pPr>
            <w:r w:rsidRPr="000B76E0">
              <w:rPr>
                <w:lang w:val="ro-RO"/>
              </w:rPr>
              <w:t xml:space="preserve">Întrucât mai multe acte ale Uniunii Europene, enumerate în anexa XVI la Acord, au fost modificate, reformate sau abrogate și înlocuite cu noi acte ale Uniunii, anexa respectivă a fost actualizată conform concluziilor operaționale celei de-a VII-a reuniune a Comitetului de </w:t>
            </w:r>
            <w:r w:rsidR="00CD05A3">
              <w:rPr>
                <w:lang w:val="ro-RO"/>
              </w:rPr>
              <w:t>A</w:t>
            </w:r>
            <w:r w:rsidRPr="000B76E0">
              <w:rPr>
                <w:lang w:val="ro-RO"/>
              </w:rPr>
              <w:t>sociere Republica Moldova – Uniunea Europeană în configurația comerț</w:t>
            </w:r>
            <w:r w:rsidR="00CD05A3">
              <w:rPr>
                <w:lang w:val="ro-RO"/>
              </w:rPr>
              <w:t xml:space="preserve">, </w:t>
            </w:r>
            <w:r w:rsidRPr="000B76E0">
              <w:rPr>
                <w:lang w:val="ro-RO"/>
              </w:rPr>
              <w:t xml:space="preserve"> din octombrie 2020. În consecință, respectînd art.173, art.436 și art. 449 din Acord,  Regulamentul (UE) 2016/425 al Parlamentului European și al Consiliului din 9 martie 2016 privind echipamentele individuale de protecție urmează a fi transpus în legislația națională. </w:t>
            </w:r>
          </w:p>
          <w:p w:rsidR="00CD05A3" w:rsidRPr="000B76E0" w:rsidRDefault="00CD05A3" w:rsidP="000B76E0">
            <w:pPr>
              <w:tabs>
                <w:tab w:val="left" w:pos="490"/>
              </w:tabs>
              <w:ind w:left="111" w:right="97"/>
              <w:jc w:val="both"/>
              <w:rPr>
                <w:lang w:val="ro-RO"/>
              </w:rPr>
            </w:pPr>
          </w:p>
          <w:p w:rsidR="000B76E0" w:rsidRPr="00F96C4E" w:rsidRDefault="000B76E0" w:rsidP="00CD05A3">
            <w:pPr>
              <w:tabs>
                <w:tab w:val="left" w:pos="490"/>
              </w:tabs>
              <w:ind w:left="111" w:right="97"/>
              <w:jc w:val="both"/>
              <w:rPr>
                <w:b/>
                <w:lang w:val="ro-RO"/>
              </w:rPr>
            </w:pPr>
            <w:r w:rsidRPr="000B76E0">
              <w:rPr>
                <w:lang w:val="ro-RO"/>
              </w:rPr>
              <w:t>Urmare celor menționate, precum și în scopul aplicării în Republica Moldova a prevederilor Regulamentului (UE) 2016/425 a fost elaborat proiect</w:t>
            </w:r>
            <w:r>
              <w:rPr>
                <w:lang w:val="ro-RO"/>
              </w:rPr>
              <w:t>ul</w:t>
            </w:r>
            <w:r w:rsidRPr="000B76E0">
              <w:rPr>
                <w:lang w:val="ro-RO"/>
              </w:rPr>
              <w:t xml:space="preserve"> de hotărâre de Guvern.</w:t>
            </w:r>
          </w:p>
        </w:tc>
      </w:tr>
      <w:tr w:rsidR="0058391B" w:rsidRPr="00F96C4E" w:rsidTr="00C02A28">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58391B" w:rsidRPr="00F96C4E" w:rsidRDefault="0074015F">
            <w:pPr>
              <w:rPr>
                <w:lang w:val="ro-RO"/>
              </w:rPr>
            </w:pPr>
            <w:r w:rsidRPr="00F96C4E">
              <w:rPr>
                <w:b/>
                <w:bCs/>
                <w:lang w:val="ro-RO"/>
              </w:rPr>
              <w:lastRenderedPageBreak/>
              <w:t>2. Stabilirea obiectivelor</w:t>
            </w:r>
          </w:p>
        </w:tc>
      </w:tr>
      <w:tr w:rsidR="0074015F" w:rsidRPr="00F96C4E" w:rsidTr="00C02A28">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4015F" w:rsidRPr="00F96C4E" w:rsidRDefault="0074015F">
            <w:pPr>
              <w:rPr>
                <w:bCs/>
                <w:lang w:val="ro-RO"/>
              </w:rPr>
            </w:pPr>
            <w:r w:rsidRPr="00F96C4E">
              <w:rPr>
                <w:bCs/>
                <w:lang w:val="ro-RO"/>
              </w:rPr>
              <w:t xml:space="preserve">a) </w:t>
            </w:r>
            <w:r w:rsidRPr="00F81781">
              <w:rPr>
                <w:bCs/>
                <w:i/>
                <w:lang w:val="ro-RO"/>
              </w:rPr>
              <w:t>Expuneți obiectivele (care trebuie să fie legate direct de problemă și cauzele acesteia, formulate cuantificat, măsurabil, fixat în timp și realist)</w:t>
            </w:r>
          </w:p>
        </w:tc>
      </w:tr>
      <w:tr w:rsidR="0058391B"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C476D" w:rsidRPr="00F96C4E" w:rsidRDefault="00CC476D" w:rsidP="00CC476D">
            <w:pPr>
              <w:tabs>
                <w:tab w:val="left" w:pos="567"/>
              </w:tabs>
              <w:spacing w:before="240"/>
              <w:jc w:val="both"/>
              <w:rPr>
                <w:lang w:val="ro-RO"/>
              </w:rPr>
            </w:pPr>
            <w:r w:rsidRPr="00F96C4E">
              <w:rPr>
                <w:lang w:val="ro-RO"/>
              </w:rPr>
              <w:t xml:space="preserve">Obiectivele </w:t>
            </w:r>
            <w:r w:rsidR="004264D2" w:rsidRPr="00F96C4E">
              <w:rPr>
                <w:lang w:val="ro-RO"/>
              </w:rPr>
              <w:t>care se propun a fi atinse</w:t>
            </w:r>
            <w:r w:rsidRPr="00F96C4E">
              <w:rPr>
                <w:lang w:val="ro-RO"/>
              </w:rPr>
              <w:t xml:space="preserve"> </w:t>
            </w:r>
            <w:r w:rsidRPr="00F96C4E">
              <w:rPr>
                <w:rFonts w:eastAsia="Arial Unicode MS"/>
                <w:bCs/>
                <w:lang w:val="ro-RO" w:eastAsia="ro-RO"/>
              </w:rPr>
              <w:t>sunt:</w:t>
            </w:r>
          </w:p>
          <w:p w:rsidR="00F86661" w:rsidRDefault="00C44824" w:rsidP="005D2AC3">
            <w:pPr>
              <w:pStyle w:val="NormalWeb"/>
              <w:numPr>
                <w:ilvl w:val="0"/>
                <w:numId w:val="2"/>
              </w:numPr>
              <w:ind w:right="141"/>
              <w:rPr>
                <w:lang w:val="ro-RO"/>
              </w:rPr>
            </w:pPr>
            <w:r>
              <w:rPr>
                <w:lang w:val="ro-RO"/>
              </w:rPr>
              <w:t>protejarea</w:t>
            </w:r>
            <w:r w:rsidR="00F86661">
              <w:rPr>
                <w:lang w:val="ro-RO"/>
              </w:rPr>
              <w:t xml:space="preserve"> populației de efectele nocive ale produselor neconforme puse la dispoziție pe piață, </w:t>
            </w:r>
            <w:r>
              <w:rPr>
                <w:lang w:val="ro-RO"/>
              </w:rPr>
              <w:t xml:space="preserve"> </w:t>
            </w:r>
            <w:r w:rsidR="00F86661" w:rsidRPr="006B3B91">
              <w:rPr>
                <w:lang w:val="ro-RO"/>
              </w:rPr>
              <w:t xml:space="preserve">garantarea </w:t>
            </w:r>
            <w:r w:rsidR="00F86661">
              <w:rPr>
                <w:lang w:val="ro-RO"/>
              </w:rPr>
              <w:t xml:space="preserve">protecției sănătății și a securității utilizatorilor de EIP, asigurată de respectarea cerințelor esențiale de sănătate și securitate prevăzute de </w:t>
            </w:r>
            <w:r w:rsidR="003A69A9">
              <w:rPr>
                <w:lang w:val="ro-RO"/>
              </w:rPr>
              <w:t xml:space="preserve">Reglementarea tehnică care transpune </w:t>
            </w:r>
            <w:r w:rsidR="00F86661">
              <w:rPr>
                <w:lang w:val="ro-RO"/>
              </w:rPr>
              <w:t xml:space="preserve">Regulamentul </w:t>
            </w:r>
            <w:r w:rsidR="00F86661" w:rsidRPr="00EB6D75">
              <w:rPr>
                <w:lang w:val="ro-RO"/>
              </w:rPr>
              <w:t>(UE) 2016/425</w:t>
            </w:r>
            <w:r w:rsidR="005D2AC3">
              <w:rPr>
                <w:lang w:val="ro-RO"/>
              </w:rPr>
              <w:t>;</w:t>
            </w:r>
          </w:p>
          <w:p w:rsidR="005757B4" w:rsidRDefault="005757B4" w:rsidP="005D2AC3">
            <w:pPr>
              <w:pStyle w:val="NormalWeb"/>
              <w:numPr>
                <w:ilvl w:val="0"/>
                <w:numId w:val="2"/>
              </w:numPr>
              <w:ind w:right="141"/>
              <w:rPr>
                <w:lang w:val="ro-RO"/>
              </w:rPr>
            </w:pPr>
            <w:r>
              <w:rPr>
                <w:lang w:val="ro-RO"/>
              </w:rPr>
              <w:t>crearea condițiilor de concurență echitabilă pentru operatorii economici din domeniul EIP și simplificarea mediului de reglementare.</w:t>
            </w:r>
          </w:p>
          <w:p w:rsidR="00D22E5F" w:rsidRDefault="005757B4" w:rsidP="005D2AC3">
            <w:pPr>
              <w:pStyle w:val="ListParagraph"/>
              <w:numPr>
                <w:ilvl w:val="0"/>
                <w:numId w:val="2"/>
              </w:numPr>
              <w:tabs>
                <w:tab w:val="left" w:pos="567"/>
              </w:tabs>
              <w:ind w:right="141"/>
              <w:jc w:val="both"/>
              <w:rPr>
                <w:lang w:val="ro-RO"/>
              </w:rPr>
            </w:pPr>
            <w:r>
              <w:rPr>
                <w:lang w:val="ro-RO"/>
              </w:rPr>
              <w:lastRenderedPageBreak/>
              <w:t xml:space="preserve">  </w:t>
            </w:r>
            <w:r w:rsidR="00F86661">
              <w:rPr>
                <w:lang w:val="ro-RO"/>
              </w:rPr>
              <w:t>r</w:t>
            </w:r>
            <w:r w:rsidR="00D22E5F" w:rsidRPr="00F96C4E">
              <w:rPr>
                <w:lang w:val="ro-RO"/>
              </w:rPr>
              <w:t>educerea</w:t>
            </w:r>
            <w:r w:rsidR="00F86661" w:rsidRPr="00F86661">
              <w:rPr>
                <w:lang w:val="ro-RO"/>
              </w:rPr>
              <w:t xml:space="preserve"> prejudici</w:t>
            </w:r>
            <w:r w:rsidR="00F86661">
              <w:rPr>
                <w:lang w:val="ro-RO"/>
              </w:rPr>
              <w:t xml:space="preserve">ilor </w:t>
            </w:r>
            <w:r w:rsidR="00F86661" w:rsidRPr="00F86661">
              <w:rPr>
                <w:lang w:val="ro-RO"/>
              </w:rPr>
              <w:t xml:space="preserve"> atât pe dimensiunea sănătății și vieții populații cît ș</w:t>
            </w:r>
            <w:r w:rsidR="00F86661">
              <w:rPr>
                <w:lang w:val="ro-RO"/>
              </w:rPr>
              <w:t xml:space="preserve">i prejudicii de ordin financiar </w:t>
            </w:r>
            <w:r w:rsidR="005D2AC3">
              <w:rPr>
                <w:lang w:val="ro-RO"/>
              </w:rPr>
              <w:t xml:space="preserve">urmare a </w:t>
            </w:r>
            <w:r w:rsidR="00F86661">
              <w:rPr>
                <w:lang w:val="ro-RO"/>
              </w:rPr>
              <w:t xml:space="preserve"> utiliz</w:t>
            </w:r>
            <w:r w:rsidR="005D2AC3">
              <w:rPr>
                <w:lang w:val="ro-RO"/>
              </w:rPr>
              <w:t>ării adecvate a EIP</w:t>
            </w:r>
            <w:r w:rsidR="00F8702C">
              <w:rPr>
                <w:lang w:val="ro-RO"/>
              </w:rPr>
              <w:t>. Având în vedere, că până în prezent nu au fost efectuate acțiuni de supraveghere a piețe privind conformitatea EIP cu cerințele esențiale</w:t>
            </w:r>
            <w:r w:rsidR="006B584D">
              <w:rPr>
                <w:lang w:val="ro-RO"/>
              </w:rPr>
              <w:t xml:space="preserve"> aplicabile</w:t>
            </w:r>
            <w:r w:rsidR="00F8702C">
              <w:rPr>
                <w:lang w:val="ro-RO"/>
              </w:rPr>
              <w:t>,</w:t>
            </w:r>
            <w:r w:rsidR="006B584D">
              <w:rPr>
                <w:lang w:val="ro-RO"/>
              </w:rPr>
              <w:t xml:space="preserve"> în nici un mod nu pot fi evaluate prejudiciile aduse consumatorilor la utilizarea EIP neconforme</w:t>
            </w:r>
            <w:r w:rsidR="005D2AC3">
              <w:rPr>
                <w:lang w:val="ro-RO"/>
              </w:rPr>
              <w:t>;</w:t>
            </w:r>
            <w:r w:rsidR="00F86661">
              <w:rPr>
                <w:lang w:val="ro-RO"/>
              </w:rPr>
              <w:t xml:space="preserve"> </w:t>
            </w:r>
          </w:p>
          <w:p w:rsidR="00C44824" w:rsidRDefault="00C44824" w:rsidP="005D2AC3">
            <w:pPr>
              <w:pStyle w:val="ListParagraph"/>
              <w:numPr>
                <w:ilvl w:val="0"/>
                <w:numId w:val="2"/>
              </w:numPr>
              <w:tabs>
                <w:tab w:val="left" w:pos="567"/>
              </w:tabs>
              <w:ind w:right="141"/>
              <w:jc w:val="both"/>
              <w:rPr>
                <w:lang w:val="ro-RO"/>
              </w:rPr>
            </w:pPr>
            <w:r>
              <w:rPr>
                <w:lang w:val="ro-RO"/>
              </w:rPr>
              <w:t>d</w:t>
            </w:r>
            <w:r w:rsidRPr="00C44824">
              <w:rPr>
                <w:lang w:val="ro-RO"/>
              </w:rPr>
              <w:t>ezvoltarea organismelor de evaluare a conformității, inclusiv</w:t>
            </w:r>
            <w:r>
              <w:rPr>
                <w:lang w:val="ro-RO"/>
              </w:rPr>
              <w:t xml:space="preserve">  a laboratoarelor de încercări pentru EIP</w:t>
            </w:r>
            <w:r w:rsidR="00F8702C">
              <w:rPr>
                <w:lang w:val="ro-RO"/>
              </w:rPr>
              <w:t xml:space="preserve">. Ținînd cont, că în prezent astfel de organisme de evaluare a conformității </w:t>
            </w:r>
            <w:r w:rsidR="009540A4">
              <w:rPr>
                <w:lang w:val="ro-RO"/>
              </w:rPr>
              <w:t xml:space="preserve">acreditate </w:t>
            </w:r>
            <w:r w:rsidR="00F8702C">
              <w:rPr>
                <w:lang w:val="ro-RO"/>
              </w:rPr>
              <w:t>nu există în țară,  se propune dezvoltarea a  1-2 organisme în cel mult 2 ani</w:t>
            </w:r>
            <w:r>
              <w:rPr>
                <w:lang w:val="ro-RO"/>
              </w:rPr>
              <w:t>;</w:t>
            </w:r>
          </w:p>
          <w:p w:rsidR="00FD1954" w:rsidRDefault="005757B4" w:rsidP="005D2AC3">
            <w:pPr>
              <w:pStyle w:val="ListParagraph"/>
              <w:numPr>
                <w:ilvl w:val="0"/>
                <w:numId w:val="2"/>
              </w:numPr>
              <w:tabs>
                <w:tab w:val="left" w:pos="567"/>
              </w:tabs>
              <w:ind w:right="141"/>
              <w:jc w:val="both"/>
              <w:rPr>
                <w:lang w:val="ro-RO"/>
              </w:rPr>
            </w:pPr>
            <w:r>
              <w:rPr>
                <w:lang w:val="ro-RO"/>
              </w:rPr>
              <w:t xml:space="preserve">   </w:t>
            </w:r>
            <w:r w:rsidR="00FD1954" w:rsidRPr="00FD1954">
              <w:rPr>
                <w:lang w:val="ro-RO"/>
              </w:rPr>
              <w:t xml:space="preserve">facilitarea exporturilor de produse autohtone pe piețele UE prin </w:t>
            </w:r>
            <w:r w:rsidR="00FD1954">
              <w:rPr>
                <w:lang w:val="ro-RO"/>
              </w:rPr>
              <w:t>r</w:t>
            </w:r>
            <w:r w:rsidR="00FD1954" w:rsidRPr="00FD1954">
              <w:rPr>
                <w:lang w:val="ro-RO"/>
              </w:rPr>
              <w:t>espectarea angajamentelor Republicii Moldova stabilite prin Acordul d</w:t>
            </w:r>
            <w:r w:rsidR="00FD1954">
              <w:rPr>
                <w:lang w:val="ro-RO"/>
              </w:rPr>
              <w:t xml:space="preserve">e Asociere cu Uniunea Europeana, inclusiv </w:t>
            </w:r>
            <w:r w:rsidR="00FD1954" w:rsidRPr="00FD1954">
              <w:rPr>
                <w:lang w:val="ro-RO"/>
              </w:rPr>
              <w:t>a principiilor şi recomandărilor internaţionale şi europene aplicabile domeniului EIP  prin armonizarea cadrului normativ național cu acquis-</w:t>
            </w:r>
            <w:proofErr w:type="spellStart"/>
            <w:r w:rsidR="00FD1954" w:rsidRPr="00FD1954">
              <w:rPr>
                <w:lang w:val="ro-RO"/>
              </w:rPr>
              <w:t>ul</w:t>
            </w:r>
            <w:proofErr w:type="spellEnd"/>
            <w:r w:rsidR="00FD1954" w:rsidRPr="00FD1954">
              <w:rPr>
                <w:lang w:val="ro-RO"/>
              </w:rPr>
              <w:t xml:space="preserve"> comunitar din acest domeniu</w:t>
            </w:r>
            <w:r w:rsidR="00FD1954">
              <w:rPr>
                <w:lang w:val="ro-RO"/>
              </w:rPr>
              <w:t xml:space="preserve">. Ca urmare se va </w:t>
            </w:r>
            <w:r w:rsidR="00E0524F">
              <w:rPr>
                <w:lang w:val="ro-RO"/>
              </w:rPr>
              <w:t xml:space="preserve">concretiza </w:t>
            </w:r>
            <w:r w:rsidR="00FD1954">
              <w:rPr>
                <w:lang w:val="ro-RO"/>
              </w:rPr>
              <w:t xml:space="preserve">domeniul de aplicare </w:t>
            </w:r>
            <w:r w:rsidR="00E0524F">
              <w:rPr>
                <w:lang w:val="ro-RO"/>
              </w:rPr>
              <w:t>a reglementării; coerența procedurilor de evaluare a conformității; cerințe privind certificatul de examinare de tip și documentația tehnică; rezonabilitatea cerințelor de bază de sănătate și siguranță.</w:t>
            </w:r>
          </w:p>
          <w:p w:rsidR="0058391B" w:rsidRPr="00F96C4E" w:rsidRDefault="00E0524F" w:rsidP="005757B4">
            <w:pPr>
              <w:pStyle w:val="ListParagraph"/>
              <w:numPr>
                <w:ilvl w:val="0"/>
                <w:numId w:val="2"/>
              </w:numPr>
              <w:tabs>
                <w:tab w:val="left" w:pos="567"/>
              </w:tabs>
              <w:ind w:right="141"/>
              <w:jc w:val="both"/>
              <w:rPr>
                <w:lang w:val="ro-RO"/>
              </w:rPr>
            </w:pPr>
            <w:r>
              <w:rPr>
                <w:lang w:val="ro-RO"/>
              </w:rPr>
              <w:t xml:space="preserve"> </w:t>
            </w:r>
            <w:r w:rsidR="00A57A32">
              <w:rPr>
                <w:lang w:val="ro-RO"/>
              </w:rPr>
              <w:t xml:space="preserve">  </w:t>
            </w:r>
            <w:r w:rsidR="00A57A32" w:rsidRPr="005757B4">
              <w:rPr>
                <w:lang w:val="ro-RO"/>
              </w:rPr>
              <w:t>facilitarea</w:t>
            </w:r>
            <w:r w:rsidRPr="005757B4">
              <w:rPr>
                <w:lang w:val="ro-RO"/>
              </w:rPr>
              <w:t xml:space="preserve"> liberei circulații a EIP, </w:t>
            </w:r>
            <w:r w:rsidR="00A57A32" w:rsidRPr="005757B4">
              <w:rPr>
                <w:lang w:val="ro-RO"/>
              </w:rPr>
              <w:t>asigurînd în același timp un nivel ridicat de protecție împotriva unuia sau mail multor pericole pentru sănătatea și siguranța  utilizatorilor</w:t>
            </w:r>
            <w:r w:rsidR="005757B4" w:rsidRPr="005757B4">
              <w:rPr>
                <w:lang w:val="ro-RO"/>
              </w:rPr>
              <w:t>, consumatorilor</w:t>
            </w:r>
            <w:r w:rsidR="00A57A32" w:rsidRPr="005757B4">
              <w:rPr>
                <w:lang w:val="ro-RO"/>
              </w:rPr>
              <w:t xml:space="preserve">. </w:t>
            </w:r>
          </w:p>
        </w:tc>
      </w:tr>
      <w:tr w:rsidR="0058391B"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74015F">
            <w:pPr>
              <w:rPr>
                <w:lang w:val="ro-RO"/>
              </w:rPr>
            </w:pPr>
            <w:r w:rsidRPr="00F96C4E">
              <w:rPr>
                <w:b/>
                <w:bCs/>
                <w:lang w:val="ro-RO"/>
              </w:rPr>
              <w:lastRenderedPageBreak/>
              <w:t>3</w:t>
            </w:r>
            <w:r w:rsidR="007573D2">
              <w:rPr>
                <w:b/>
                <w:bCs/>
                <w:lang w:val="ro-RO"/>
              </w:rPr>
              <w:t>. Identificarea opț</w:t>
            </w:r>
            <w:r w:rsidR="0058391B" w:rsidRPr="00F96C4E">
              <w:rPr>
                <w:b/>
                <w:bCs/>
                <w:lang w:val="ro-RO"/>
              </w:rPr>
              <w:t>iunilor</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4769A">
            <w:pPr>
              <w:rPr>
                <w:bCs/>
                <w:lang w:val="ro-RO"/>
              </w:rPr>
            </w:pPr>
            <w:r w:rsidRPr="00F96C4E">
              <w:rPr>
                <w:bCs/>
                <w:lang w:val="ro-RO"/>
              </w:rPr>
              <w:t xml:space="preserve">a) </w:t>
            </w:r>
            <w:r w:rsidRPr="00F81781">
              <w:rPr>
                <w:bCs/>
                <w:i/>
                <w:lang w:val="ro-RO"/>
              </w:rPr>
              <w:t>Expuneți succint opțiunea „a nu face nimic”, care presupune lipsa de intervenție</w:t>
            </w:r>
          </w:p>
        </w:tc>
      </w:tr>
      <w:tr w:rsidR="00B4769A" w:rsidRPr="00F96C4E" w:rsidTr="00C02A28">
        <w:trPr>
          <w:trHeight w:val="714"/>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35089" w:rsidRPr="00F96C4E" w:rsidRDefault="00337737" w:rsidP="00337737">
            <w:pPr>
              <w:jc w:val="both"/>
              <w:rPr>
                <w:lang w:val="ro-RO"/>
              </w:rPr>
            </w:pPr>
            <w:r w:rsidRPr="00F96C4E">
              <w:rPr>
                <w:b/>
                <w:lang w:val="ro-RO"/>
              </w:rPr>
              <w:t>I</w:t>
            </w:r>
            <w:r w:rsidRPr="00F96C4E">
              <w:rPr>
                <w:lang w:val="ro-RO"/>
              </w:rPr>
              <w:t xml:space="preserve"> - </w:t>
            </w:r>
            <w:r w:rsidR="00FF5DEC" w:rsidRPr="00F96C4E">
              <w:rPr>
                <w:lang w:val="ro-RO"/>
              </w:rPr>
              <w:t>opțiunea</w:t>
            </w:r>
            <w:r w:rsidRPr="00F96C4E">
              <w:rPr>
                <w:lang w:val="ro-RO"/>
              </w:rPr>
              <w:t xml:space="preserve"> „</w:t>
            </w:r>
            <w:r w:rsidRPr="00F96C4E">
              <w:rPr>
                <w:i/>
                <w:lang w:val="ro-RO"/>
              </w:rPr>
              <w:t>a nu face nimic</w:t>
            </w:r>
            <w:r w:rsidRPr="00F96C4E">
              <w:rPr>
                <w:lang w:val="ro-RO"/>
              </w:rPr>
              <w:t xml:space="preserve">”. </w:t>
            </w:r>
          </w:p>
          <w:p w:rsidR="005D2AC3" w:rsidRDefault="00A35089" w:rsidP="00645AF4">
            <w:pPr>
              <w:ind w:firstLine="415"/>
              <w:jc w:val="both"/>
              <w:rPr>
                <w:lang w:val="ro-RO"/>
              </w:rPr>
            </w:pPr>
            <w:r w:rsidRPr="00F96C4E">
              <w:rPr>
                <w:lang w:val="ro-RO"/>
              </w:rPr>
              <w:t xml:space="preserve">Opțiunea respectivă </w:t>
            </w:r>
            <w:r w:rsidR="00801A3E" w:rsidRPr="00F96C4E">
              <w:rPr>
                <w:lang w:val="ro-RO"/>
              </w:rPr>
              <w:t xml:space="preserve">prevede păstrarea </w:t>
            </w:r>
            <w:r w:rsidR="005D2AC3">
              <w:rPr>
                <w:lang w:val="ro-RO"/>
              </w:rPr>
              <w:t xml:space="preserve">în vigoare a Hotărîrii Guvernului nr. </w:t>
            </w:r>
            <w:r w:rsidR="005D2AC3" w:rsidRPr="005D2AC3">
              <w:rPr>
                <w:lang w:val="ro-RO"/>
              </w:rPr>
              <w:t>1289/2016 pentru aprobarea Reglementării tehnice privind echipamentul individual de protecție</w:t>
            </w:r>
            <w:r w:rsidR="005D2AC3">
              <w:rPr>
                <w:lang w:val="ro-RO"/>
              </w:rPr>
              <w:t xml:space="preserve">. </w:t>
            </w:r>
          </w:p>
          <w:p w:rsidR="005D2AC3" w:rsidRPr="005D2AC3" w:rsidRDefault="005D2AC3" w:rsidP="00AD6C64">
            <w:pPr>
              <w:ind w:firstLine="415"/>
              <w:jc w:val="both"/>
              <w:rPr>
                <w:bCs/>
                <w:lang w:val="ro-RO"/>
              </w:rPr>
            </w:pPr>
            <w:r w:rsidRPr="005D2AC3">
              <w:rPr>
                <w:bCs/>
                <w:lang w:val="ro-RO"/>
              </w:rPr>
              <w:t xml:space="preserve">Ca urmare </w:t>
            </w:r>
            <w:r>
              <w:rPr>
                <w:bCs/>
                <w:lang w:val="ro-RO"/>
              </w:rPr>
              <w:t xml:space="preserve">și pe viitor nu va fi clarificată situația privind </w:t>
            </w:r>
            <w:r w:rsidR="005F4E5A">
              <w:rPr>
                <w:bCs/>
                <w:lang w:val="ro-RO"/>
              </w:rPr>
              <w:t>introducerea</w:t>
            </w:r>
            <w:r>
              <w:rPr>
                <w:bCs/>
                <w:lang w:val="ro-RO"/>
              </w:rPr>
              <w:t xml:space="preserve"> pe piață </w:t>
            </w:r>
            <w:r w:rsidR="0059277D">
              <w:rPr>
                <w:bCs/>
                <w:lang w:val="ro-RO"/>
              </w:rPr>
              <w:t>și utilizarea în domeniile economiei naționale și domeniul sănătății a</w:t>
            </w:r>
            <w:r w:rsidR="00AD6C64">
              <w:rPr>
                <w:bCs/>
                <w:lang w:val="ro-RO"/>
              </w:rPr>
              <w:t xml:space="preserve"> EIP</w:t>
            </w:r>
            <w:r w:rsidR="0059277D">
              <w:rPr>
                <w:bCs/>
                <w:lang w:val="ro-RO"/>
              </w:rPr>
              <w:t>.</w:t>
            </w:r>
            <w:r>
              <w:rPr>
                <w:bCs/>
                <w:lang w:val="ro-RO"/>
              </w:rPr>
              <w:t xml:space="preserve"> </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4769A">
            <w:pPr>
              <w:rPr>
                <w:bCs/>
                <w:lang w:val="ro-RO"/>
              </w:rPr>
            </w:pPr>
            <w:r w:rsidRPr="00F96C4E">
              <w:rPr>
                <w:bCs/>
                <w:lang w:val="ro-RO"/>
              </w:rPr>
              <w:t>b) Expuneți principalele prevederi ale proiectului,</w:t>
            </w:r>
            <w:r w:rsidR="00AD6C64">
              <w:rPr>
                <w:bCs/>
                <w:lang w:val="ro-RO"/>
              </w:rPr>
              <w:t xml:space="preserve"> cu impact, explicâ</w:t>
            </w:r>
            <w:r w:rsidRPr="00F96C4E">
              <w:rPr>
                <w:bCs/>
                <w:lang w:val="ro-RO"/>
              </w:rPr>
              <w:t>nd cum acestea țintesc cauzele problemei, cu indicarea novațiilor și întregului spe</w:t>
            </w:r>
            <w:r w:rsidR="00AD6C64">
              <w:rPr>
                <w:bCs/>
                <w:lang w:val="ro-RO"/>
              </w:rPr>
              <w:t>ctru de soluţii/drepturi/obligaț</w:t>
            </w:r>
            <w:r w:rsidRPr="00F96C4E">
              <w:rPr>
                <w:bCs/>
                <w:lang w:val="ro-RO"/>
              </w:rPr>
              <w:t>ii ce se doresc să fie aprobate</w:t>
            </w:r>
          </w:p>
        </w:tc>
      </w:tr>
      <w:tr w:rsidR="00B4769A" w:rsidRPr="00B41DB3" w:rsidTr="00C02A28">
        <w:trPr>
          <w:trHeight w:val="786"/>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37737" w:rsidRDefault="00337737" w:rsidP="00337737">
            <w:pPr>
              <w:tabs>
                <w:tab w:val="left" w:pos="908"/>
              </w:tabs>
              <w:jc w:val="both"/>
              <w:rPr>
                <w:i/>
                <w:lang w:val="ro-RO"/>
              </w:rPr>
            </w:pPr>
            <w:r w:rsidRPr="00F96C4E">
              <w:rPr>
                <w:b/>
                <w:lang w:val="ro-RO"/>
              </w:rPr>
              <w:t>II</w:t>
            </w:r>
            <w:r w:rsidRPr="00F96C4E">
              <w:rPr>
                <w:lang w:val="ro-RO"/>
              </w:rPr>
              <w:t xml:space="preserve"> - </w:t>
            </w:r>
            <w:r w:rsidR="00FF5DEC" w:rsidRPr="00F96C4E">
              <w:rPr>
                <w:lang w:val="ro-RO"/>
              </w:rPr>
              <w:t>opțiunea</w:t>
            </w:r>
            <w:r w:rsidRPr="00F96C4E">
              <w:rPr>
                <w:lang w:val="ro-RO"/>
              </w:rPr>
              <w:t xml:space="preserve"> „</w:t>
            </w:r>
            <w:r w:rsidRPr="00F96C4E">
              <w:rPr>
                <w:i/>
                <w:lang w:val="ro-RO"/>
              </w:rPr>
              <w:t xml:space="preserve">elaborarea și adoptarea proiectului Hotărârii Guvernului pentru </w:t>
            </w:r>
            <w:r w:rsidR="007573D2">
              <w:rPr>
                <w:i/>
                <w:lang w:val="ro-RO"/>
              </w:rPr>
              <w:t xml:space="preserve">aprobarea Reglementării tehnice  privind echipamentele individuale de protecție” </w:t>
            </w:r>
          </w:p>
          <w:p w:rsidR="007573D2" w:rsidRPr="00F96C4E" w:rsidRDefault="0059277D" w:rsidP="00337737">
            <w:pPr>
              <w:tabs>
                <w:tab w:val="left" w:pos="908"/>
              </w:tabs>
              <w:jc w:val="both"/>
              <w:rPr>
                <w:lang w:val="ro-RO"/>
              </w:rPr>
            </w:pPr>
            <w:r>
              <w:rPr>
                <w:lang w:val="ro-RO"/>
              </w:rPr>
              <w:t xml:space="preserve"> Proiectul vine cu un șir de măsuri, și anume: </w:t>
            </w:r>
          </w:p>
          <w:p w:rsidR="0059277D" w:rsidRPr="00D66AA2" w:rsidRDefault="0059277D" w:rsidP="00D66AA2">
            <w:pPr>
              <w:pStyle w:val="NormalWeb"/>
              <w:numPr>
                <w:ilvl w:val="0"/>
                <w:numId w:val="3"/>
              </w:numPr>
              <w:ind w:left="536" w:right="141"/>
              <w:rPr>
                <w:lang w:val="ro-RO"/>
              </w:rPr>
            </w:pPr>
            <w:r w:rsidRPr="00D66AA2">
              <w:rPr>
                <w:lang w:val="ro-RO"/>
              </w:rPr>
              <w:t>Îmbunătățirea  trasabilității, făcând mai ușoară eliminarea produselor periculoase de pe piață</w:t>
            </w:r>
            <w:r w:rsidR="00D66AA2" w:rsidRPr="00D66AA2">
              <w:rPr>
                <w:lang w:val="ro-RO"/>
              </w:rPr>
              <w:t>.</w:t>
            </w:r>
            <w:r w:rsidR="00D66AA2">
              <w:t xml:space="preserve"> </w:t>
            </w:r>
            <w:r w:rsidR="00D66AA2" w:rsidRPr="00D66AA2">
              <w:rPr>
                <w:lang w:val="ro-RO"/>
              </w:rPr>
              <w:t xml:space="preserve">Etichetele obligatorii de pe produse vor simplifica urmărirea originii produselor EIP neconforme, facilitând rechemarea produselor care prezintă un risc și încurajând documentația exhaustivă pentru a garanta faptul că produsele rămân conforme </w:t>
            </w:r>
            <w:r w:rsidRPr="00D66AA2">
              <w:rPr>
                <w:lang w:val="ro-RO"/>
              </w:rPr>
              <w:t>;</w:t>
            </w:r>
          </w:p>
          <w:p w:rsidR="006B584D" w:rsidRPr="006B3B91" w:rsidRDefault="00603721" w:rsidP="008E7BAF">
            <w:pPr>
              <w:pStyle w:val="NormalWeb"/>
              <w:numPr>
                <w:ilvl w:val="0"/>
                <w:numId w:val="3"/>
              </w:numPr>
              <w:ind w:left="536" w:right="141"/>
              <w:rPr>
                <w:lang w:val="ro-RO"/>
              </w:rPr>
            </w:pPr>
            <w:r>
              <w:rPr>
                <w:lang w:val="ro-RO"/>
              </w:rPr>
              <w:t xml:space="preserve">Stabilirea cerințelor clare </w:t>
            </w:r>
            <w:r w:rsidR="008E7BAF" w:rsidRPr="008E7BAF">
              <w:rPr>
                <w:lang w:val="ro-RO"/>
              </w:rPr>
              <w:t xml:space="preserve">pentru organismele </w:t>
            </w:r>
            <w:r w:rsidR="005F55E2">
              <w:rPr>
                <w:lang w:val="ro-RO"/>
              </w:rPr>
              <w:t>recunoscute/</w:t>
            </w:r>
            <w:r w:rsidR="008E7BAF" w:rsidRPr="008E7BAF">
              <w:rPr>
                <w:lang w:val="ro-RO"/>
              </w:rPr>
              <w:t>notificate ce îndeplinesc atribuții de evaluare a conformității produselor, ca părți terțe</w:t>
            </w:r>
            <w:r w:rsidR="008E7BAF">
              <w:rPr>
                <w:lang w:val="ro-RO"/>
              </w:rPr>
              <w:t>;</w:t>
            </w:r>
          </w:p>
          <w:p w:rsidR="0059277D" w:rsidRDefault="0059277D" w:rsidP="0059277D">
            <w:pPr>
              <w:pStyle w:val="NormalWeb"/>
              <w:numPr>
                <w:ilvl w:val="0"/>
                <w:numId w:val="3"/>
              </w:numPr>
              <w:ind w:left="536" w:right="141"/>
              <w:rPr>
                <w:lang w:val="ro-RO"/>
              </w:rPr>
            </w:pPr>
            <w:r>
              <w:rPr>
                <w:lang w:val="ro-RO"/>
              </w:rPr>
              <w:t>D</w:t>
            </w:r>
            <w:r w:rsidRPr="006B3B91">
              <w:rPr>
                <w:lang w:val="ro-RO"/>
              </w:rPr>
              <w:t>efin</w:t>
            </w:r>
            <w:r>
              <w:rPr>
                <w:lang w:val="ro-RO"/>
              </w:rPr>
              <w:t>irea</w:t>
            </w:r>
            <w:r w:rsidRPr="006B3B91">
              <w:rPr>
                <w:lang w:val="ro-RO"/>
              </w:rPr>
              <w:t xml:space="preserve"> mai clar</w:t>
            </w:r>
            <w:r>
              <w:rPr>
                <w:lang w:val="ro-RO"/>
              </w:rPr>
              <w:t xml:space="preserve">ă a </w:t>
            </w:r>
            <w:r w:rsidRPr="006B3B91">
              <w:rPr>
                <w:lang w:val="ro-RO"/>
              </w:rPr>
              <w:t xml:space="preserve"> responsabilitățil</w:t>
            </w:r>
            <w:r>
              <w:rPr>
                <w:lang w:val="ro-RO"/>
              </w:rPr>
              <w:t>or</w:t>
            </w:r>
            <w:r w:rsidRPr="006B3B91">
              <w:rPr>
                <w:lang w:val="ro-RO"/>
              </w:rPr>
              <w:t xml:space="preserve"> părților implicate la toate nivelurile lanțului de aprovizionare</w:t>
            </w:r>
            <w:r>
              <w:rPr>
                <w:lang w:val="ro-RO"/>
              </w:rPr>
              <w:t xml:space="preserve"> </w:t>
            </w:r>
            <w:r w:rsidRPr="006B3B91">
              <w:rPr>
                <w:lang w:val="ro-RO"/>
              </w:rPr>
              <w:t xml:space="preserve">al produselor EIP. </w:t>
            </w:r>
            <w:r>
              <w:rPr>
                <w:lang w:val="ro-RO"/>
              </w:rPr>
              <w:t>O</w:t>
            </w:r>
            <w:r w:rsidRPr="006B3B91">
              <w:rPr>
                <w:lang w:val="ro-RO"/>
              </w:rPr>
              <w:t>peratori</w:t>
            </w:r>
            <w:r>
              <w:rPr>
                <w:lang w:val="ro-RO"/>
              </w:rPr>
              <w:t>i</w:t>
            </w:r>
            <w:r w:rsidRPr="006B3B91">
              <w:rPr>
                <w:lang w:val="ro-RO"/>
              </w:rPr>
              <w:t xml:space="preserve"> economici</w:t>
            </w:r>
            <w:r>
              <w:rPr>
                <w:lang w:val="ro-RO"/>
              </w:rPr>
              <w:t xml:space="preserve"> vor </w:t>
            </w:r>
            <w:r w:rsidRPr="006B3B91">
              <w:rPr>
                <w:lang w:val="ro-RO"/>
              </w:rPr>
              <w:t>trebui să își păstreze vigilența pentru a menține</w:t>
            </w:r>
            <w:r>
              <w:rPr>
                <w:lang w:val="ro-RO"/>
              </w:rPr>
              <w:t xml:space="preserve"> </w:t>
            </w:r>
            <w:r w:rsidR="005F55E2">
              <w:rPr>
                <w:lang w:val="ro-RO"/>
              </w:rPr>
              <w:t>conformitatea</w:t>
            </w:r>
            <w:r w:rsidRPr="006B3B91">
              <w:rPr>
                <w:lang w:val="ro-RO"/>
              </w:rPr>
              <w:t xml:space="preserve"> produselor și a g</w:t>
            </w:r>
            <w:r>
              <w:rPr>
                <w:lang w:val="ro-RO"/>
              </w:rPr>
              <w:t>aranta siguranța utilizatorilor;</w:t>
            </w:r>
          </w:p>
          <w:p w:rsidR="008E7BAF" w:rsidRPr="006B3B91" w:rsidRDefault="008E7BAF" w:rsidP="0059277D">
            <w:pPr>
              <w:pStyle w:val="NormalWeb"/>
              <w:numPr>
                <w:ilvl w:val="0"/>
                <w:numId w:val="3"/>
              </w:numPr>
              <w:ind w:left="536" w:right="141"/>
              <w:rPr>
                <w:lang w:val="ro-RO"/>
              </w:rPr>
            </w:pPr>
            <w:r>
              <w:rPr>
                <w:lang w:val="ro-RO"/>
              </w:rPr>
              <w:t>Stabilirea cerințelor esențiale de sănătate și securitate ale EIP;</w:t>
            </w:r>
          </w:p>
          <w:p w:rsidR="0059277D" w:rsidRDefault="0059277D" w:rsidP="0059277D">
            <w:pPr>
              <w:pStyle w:val="NormalWeb"/>
              <w:numPr>
                <w:ilvl w:val="0"/>
                <w:numId w:val="3"/>
              </w:numPr>
              <w:ind w:left="536" w:right="141"/>
              <w:rPr>
                <w:lang w:val="ro-RO"/>
              </w:rPr>
            </w:pPr>
            <w:r>
              <w:rPr>
                <w:lang w:val="ro-RO"/>
              </w:rPr>
              <w:t>Cre</w:t>
            </w:r>
            <w:r w:rsidRPr="006B3B91">
              <w:rPr>
                <w:lang w:val="ro-RO"/>
              </w:rPr>
              <w:t>a</w:t>
            </w:r>
            <w:r>
              <w:rPr>
                <w:lang w:val="ro-RO"/>
              </w:rPr>
              <w:t>rea</w:t>
            </w:r>
            <w:r w:rsidRPr="006B3B91">
              <w:rPr>
                <w:lang w:val="ro-RO"/>
              </w:rPr>
              <w:t xml:space="preserve"> un</w:t>
            </w:r>
            <w:r>
              <w:rPr>
                <w:lang w:val="ro-RO"/>
              </w:rPr>
              <w:t>ui</w:t>
            </w:r>
            <w:r w:rsidRPr="006B3B91">
              <w:rPr>
                <w:lang w:val="ro-RO"/>
              </w:rPr>
              <w:t xml:space="preserve"> sistem mai interactiv pentru supravegherea pieței, </w:t>
            </w:r>
            <w:r>
              <w:rPr>
                <w:lang w:val="ro-RO"/>
              </w:rPr>
              <w:t xml:space="preserve"> </w:t>
            </w:r>
            <w:r w:rsidRPr="006B3B91">
              <w:rPr>
                <w:lang w:val="ro-RO"/>
              </w:rPr>
              <w:t>încurajând schimburile de informații și răspunder</w:t>
            </w:r>
            <w:r>
              <w:rPr>
                <w:lang w:val="ro-RO"/>
              </w:rPr>
              <w:t xml:space="preserve">ea pentru </w:t>
            </w:r>
            <w:r w:rsidR="005F4E5A">
              <w:rPr>
                <w:lang w:val="ro-RO"/>
              </w:rPr>
              <w:t>conformitatea</w:t>
            </w:r>
            <w:r w:rsidR="006B584D">
              <w:rPr>
                <w:lang w:val="ro-RO"/>
              </w:rPr>
              <w:t xml:space="preserve"> produselor;</w:t>
            </w:r>
          </w:p>
          <w:p w:rsidR="0059277D" w:rsidRDefault="0059277D" w:rsidP="0059277D">
            <w:pPr>
              <w:pStyle w:val="NormalWeb"/>
              <w:ind w:left="536" w:right="141" w:firstLine="0"/>
              <w:rPr>
                <w:lang w:val="ro-RO"/>
              </w:rPr>
            </w:pPr>
          </w:p>
          <w:p w:rsidR="00340301" w:rsidRDefault="0059277D" w:rsidP="0059277D">
            <w:pPr>
              <w:pStyle w:val="NormalWeb"/>
              <w:ind w:left="142" w:right="141" w:firstLine="0"/>
              <w:rPr>
                <w:lang w:val="ro-RO"/>
              </w:rPr>
            </w:pPr>
            <w:r w:rsidRPr="006B3B91">
              <w:rPr>
                <w:lang w:val="ro-RO"/>
              </w:rPr>
              <w:t>Noile prevederi  vizează garantarea producției</w:t>
            </w:r>
            <w:r>
              <w:rPr>
                <w:lang w:val="ro-RO"/>
              </w:rPr>
              <w:t xml:space="preserve"> </w:t>
            </w:r>
            <w:r w:rsidRPr="006B3B91">
              <w:rPr>
                <w:lang w:val="ro-RO"/>
              </w:rPr>
              <w:t xml:space="preserve">și distribuției în condiții de siguranță a </w:t>
            </w:r>
            <w:r>
              <w:rPr>
                <w:lang w:val="ro-RO"/>
              </w:rPr>
              <w:t>EIP</w:t>
            </w:r>
            <w:r w:rsidRPr="006B3B91">
              <w:rPr>
                <w:lang w:val="ro-RO"/>
              </w:rPr>
              <w:t>, cu consecințe pentru operatorii</w:t>
            </w:r>
            <w:r>
              <w:rPr>
                <w:lang w:val="ro-RO"/>
              </w:rPr>
              <w:t xml:space="preserve"> </w:t>
            </w:r>
            <w:r w:rsidRPr="006B3B91">
              <w:rPr>
                <w:lang w:val="ro-RO"/>
              </w:rPr>
              <w:t>economici care nu se conformează.</w:t>
            </w:r>
            <w:r>
              <w:rPr>
                <w:lang w:val="ro-RO"/>
              </w:rPr>
              <w:t xml:space="preserve"> Așadar, un EIP pus la dispoziție pe piață trebuie în primul rând să garanteze protecția sănătății și a securității utilizatorilor, iar acesta poate fi asigurată doar cu respectarea cerințelor esențiale de sănătate și securitate prevăzute de </w:t>
            </w:r>
            <w:r w:rsidR="00BB066A">
              <w:rPr>
                <w:lang w:val="ro-RO"/>
              </w:rPr>
              <w:t>hotărârea Guvernului</w:t>
            </w:r>
            <w:r w:rsidR="005F4E5A">
              <w:rPr>
                <w:lang w:val="ro-RO"/>
              </w:rPr>
              <w:t xml:space="preserve"> care transpune </w:t>
            </w:r>
            <w:r>
              <w:rPr>
                <w:lang w:val="ro-RO"/>
              </w:rPr>
              <w:t xml:space="preserve">Regulamentul </w:t>
            </w:r>
            <w:r w:rsidRPr="00EB6D75">
              <w:rPr>
                <w:lang w:val="ro-RO"/>
              </w:rPr>
              <w:t>(UE) 2016/425</w:t>
            </w:r>
            <w:r>
              <w:rPr>
                <w:lang w:val="ro-RO"/>
              </w:rPr>
              <w:t xml:space="preserve">, </w:t>
            </w:r>
            <w:r w:rsidR="005F4E5A">
              <w:rPr>
                <w:lang w:val="ro-RO"/>
              </w:rPr>
              <w:t xml:space="preserve">și </w:t>
            </w:r>
            <w:r>
              <w:rPr>
                <w:lang w:val="ro-RO"/>
              </w:rPr>
              <w:t>care sunt obligatorii.</w:t>
            </w:r>
          </w:p>
          <w:p w:rsidR="00F700C0" w:rsidRPr="00F96C4E" w:rsidRDefault="00F700C0" w:rsidP="00340301">
            <w:pPr>
              <w:ind w:left="111" w:right="97"/>
              <w:jc w:val="both"/>
              <w:rPr>
                <w:b/>
                <w:bCs/>
                <w:lang w:val="ro-RO"/>
              </w:rPr>
            </w:pP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4769A">
            <w:pPr>
              <w:rPr>
                <w:bCs/>
                <w:lang w:val="ro-RO"/>
              </w:rPr>
            </w:pPr>
            <w:r w:rsidRPr="00F96C4E">
              <w:rPr>
                <w:bCs/>
                <w:lang w:val="ro-RO"/>
              </w:rPr>
              <w:t>c</w:t>
            </w:r>
            <w:r w:rsidRPr="00F81781">
              <w:rPr>
                <w:bCs/>
                <w:i/>
                <w:lang w:val="ro-RO"/>
              </w:rPr>
              <w:t>) Expuneți opțiunile alternative analizate sau explicați motivul de ce acestea nu au fost luate în considerare</w:t>
            </w:r>
          </w:p>
        </w:tc>
      </w:tr>
      <w:tr w:rsidR="00B4769A" w:rsidRPr="00F96C4E" w:rsidTr="00C02A28">
        <w:trPr>
          <w:trHeight w:val="354"/>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E4915" w:rsidRPr="00F96C4E" w:rsidRDefault="00CE4915" w:rsidP="00A47F4F">
            <w:pPr>
              <w:ind w:left="252" w:right="97"/>
              <w:jc w:val="both"/>
              <w:rPr>
                <w:bCs/>
                <w:lang w:val="ro-RO"/>
              </w:rPr>
            </w:pPr>
            <w:r w:rsidRPr="00F96C4E">
              <w:rPr>
                <w:lang w:val="ro-RO"/>
              </w:rPr>
              <w:t xml:space="preserve">Urmare a examinării problemei, </w:t>
            </w:r>
            <w:r w:rsidR="007B3C48" w:rsidRPr="00F96C4E">
              <w:rPr>
                <w:lang w:val="ro-RO"/>
              </w:rPr>
              <w:t>ris</w:t>
            </w:r>
            <w:r w:rsidR="00695917">
              <w:rPr>
                <w:lang w:val="ro-RO"/>
              </w:rPr>
              <w:t>curi relevante care pot cauza eșecul opț</w:t>
            </w:r>
            <w:r w:rsidR="007B3C48" w:rsidRPr="00F96C4E">
              <w:rPr>
                <w:lang w:val="ro-RO"/>
              </w:rPr>
              <w:t>iunii recomandate nu au fost</w:t>
            </w:r>
            <w:r w:rsidRPr="00F96C4E">
              <w:rPr>
                <w:lang w:val="ro-RO"/>
              </w:rPr>
              <w:t xml:space="preserve"> identificate</w:t>
            </w:r>
            <w:r w:rsidR="009624F6" w:rsidRPr="00F96C4E">
              <w:rPr>
                <w:lang w:val="ro-RO"/>
              </w:rPr>
              <w:t xml:space="preserve">. Respectiv, </w:t>
            </w:r>
            <w:r w:rsidR="00695917">
              <w:rPr>
                <w:lang w:val="ro-RO"/>
              </w:rPr>
              <w:t>nu sunt identificate opțiuni alternative.</w:t>
            </w:r>
          </w:p>
        </w:tc>
      </w:tr>
      <w:tr w:rsidR="0058391B"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695917">
            <w:pPr>
              <w:rPr>
                <w:lang w:val="ro-RO"/>
              </w:rPr>
            </w:pPr>
            <w:r>
              <w:rPr>
                <w:b/>
                <w:bCs/>
                <w:lang w:val="ro-RO"/>
              </w:rPr>
              <w:lastRenderedPageBreak/>
              <w:t>4. Analiza impacturilor opț</w:t>
            </w:r>
            <w:r w:rsidR="00B4769A" w:rsidRPr="00F96C4E">
              <w:rPr>
                <w:b/>
                <w:bCs/>
                <w:lang w:val="ro-RO"/>
              </w:rPr>
              <w:t>iunilor</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4769A">
            <w:pPr>
              <w:rPr>
                <w:bCs/>
                <w:lang w:val="ro-RO"/>
              </w:rPr>
            </w:pPr>
            <w:r w:rsidRPr="00F96C4E">
              <w:rPr>
                <w:bCs/>
                <w:lang w:val="ro-RO"/>
              </w:rPr>
              <w:t xml:space="preserve">a) </w:t>
            </w:r>
            <w:r w:rsidRPr="00F81781">
              <w:rPr>
                <w:bCs/>
                <w:i/>
                <w:lang w:val="ro-RO"/>
              </w:rPr>
              <w:t>Expuneți efectele negative şi pozitive ale stării actuale și evoluția acestora în viitor, care vor sta la baza calculării impacturilor opțiunii recomandate</w:t>
            </w:r>
          </w:p>
        </w:tc>
      </w:tr>
      <w:tr w:rsidR="00B4769A" w:rsidRPr="00F96C4E" w:rsidTr="00C02A28">
        <w:trPr>
          <w:trHeight w:val="876"/>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Default="002C6CB6" w:rsidP="00A47F4F">
            <w:pPr>
              <w:ind w:left="111" w:right="97"/>
              <w:jc w:val="both"/>
              <w:rPr>
                <w:bCs/>
                <w:lang w:val="ro-RO"/>
              </w:rPr>
            </w:pPr>
            <w:r w:rsidRPr="00F96C4E">
              <w:rPr>
                <w:bCs/>
                <w:lang w:val="ro-RO"/>
              </w:rPr>
              <w:t>In cazul aplicării opțiunii ,,a nu face nimic" survin următoarele efecte negative:</w:t>
            </w:r>
          </w:p>
          <w:p w:rsidR="00695917" w:rsidRDefault="00695917" w:rsidP="00A47F4F">
            <w:pPr>
              <w:ind w:left="111" w:right="97"/>
              <w:jc w:val="both"/>
              <w:rPr>
                <w:bCs/>
                <w:lang w:val="ro-RO"/>
              </w:rPr>
            </w:pPr>
            <w:r>
              <w:rPr>
                <w:bCs/>
                <w:lang w:val="ro-RO"/>
              </w:rPr>
              <w:t xml:space="preserve"> - </w:t>
            </w:r>
            <w:r w:rsidRPr="00695917">
              <w:rPr>
                <w:bCs/>
                <w:lang w:val="ro-RO"/>
              </w:rPr>
              <w:t xml:space="preserve"> populați</w:t>
            </w:r>
            <w:r>
              <w:rPr>
                <w:bCs/>
                <w:lang w:val="ro-RO"/>
              </w:rPr>
              <w:t xml:space="preserve">a și în continuare nu va fi protejată </w:t>
            </w:r>
            <w:r w:rsidRPr="00695917">
              <w:rPr>
                <w:bCs/>
                <w:lang w:val="ro-RO"/>
              </w:rPr>
              <w:t xml:space="preserve"> de efectele nocive ale produselor neconfo</w:t>
            </w:r>
            <w:r>
              <w:rPr>
                <w:bCs/>
                <w:lang w:val="ro-RO"/>
              </w:rPr>
              <w:t>rme puse la dispoziție pe piață;</w:t>
            </w:r>
          </w:p>
          <w:p w:rsidR="00695917" w:rsidRPr="00695917" w:rsidRDefault="00695917" w:rsidP="00A47F4F">
            <w:pPr>
              <w:ind w:left="111" w:right="97"/>
              <w:jc w:val="both"/>
              <w:rPr>
                <w:bCs/>
                <w:lang w:val="ro-RO"/>
              </w:rPr>
            </w:pPr>
            <w:r>
              <w:rPr>
                <w:bCs/>
                <w:lang w:val="ro-RO"/>
              </w:rPr>
              <w:t xml:space="preserve">-   nu va fi </w:t>
            </w:r>
            <w:r w:rsidRPr="00695917">
              <w:rPr>
                <w:bCs/>
                <w:lang w:val="ro-RO"/>
              </w:rPr>
              <w:t>garant</w:t>
            </w:r>
            <w:r>
              <w:rPr>
                <w:bCs/>
                <w:lang w:val="ro-RO"/>
              </w:rPr>
              <w:t xml:space="preserve">ată </w:t>
            </w:r>
            <w:r w:rsidRPr="00695917">
              <w:rPr>
                <w:bCs/>
                <w:lang w:val="ro-RO"/>
              </w:rPr>
              <w:t xml:space="preserve"> protecți</w:t>
            </w:r>
            <w:r>
              <w:rPr>
                <w:bCs/>
                <w:lang w:val="ro-RO"/>
              </w:rPr>
              <w:t>a</w:t>
            </w:r>
            <w:r w:rsidRPr="00695917">
              <w:rPr>
                <w:bCs/>
                <w:lang w:val="ro-RO"/>
              </w:rPr>
              <w:t xml:space="preserve"> sănătății și a securității utilizatorilor de EIP, </w:t>
            </w:r>
            <w:r>
              <w:rPr>
                <w:bCs/>
                <w:lang w:val="ro-RO"/>
              </w:rPr>
              <w:t xml:space="preserve">care este </w:t>
            </w:r>
            <w:r w:rsidRPr="00695917">
              <w:rPr>
                <w:bCs/>
                <w:lang w:val="ro-RO"/>
              </w:rPr>
              <w:t xml:space="preserve">asigurată de respectarea cerințelor esențiale de sănătate și securitate prevăzute de </w:t>
            </w:r>
            <w:r w:rsidR="005F4E5A">
              <w:rPr>
                <w:bCs/>
                <w:lang w:val="ro-RO"/>
              </w:rPr>
              <w:t xml:space="preserve">Reglementarea tehnică care transpune </w:t>
            </w:r>
            <w:r w:rsidRPr="00695917">
              <w:rPr>
                <w:bCs/>
                <w:lang w:val="ro-RO"/>
              </w:rPr>
              <w:t>Regulamentul (UE) 2016/425;</w:t>
            </w:r>
          </w:p>
          <w:p w:rsidR="00695917" w:rsidRPr="00695917" w:rsidRDefault="00695917" w:rsidP="00A47F4F">
            <w:pPr>
              <w:ind w:left="111" w:right="97"/>
              <w:jc w:val="both"/>
              <w:rPr>
                <w:bCs/>
                <w:lang w:val="ro-RO"/>
              </w:rPr>
            </w:pPr>
            <w:r>
              <w:rPr>
                <w:bCs/>
                <w:lang w:val="ro-RO"/>
              </w:rPr>
              <w:t xml:space="preserve">- nu vor fi diminuate </w:t>
            </w:r>
            <w:r w:rsidRPr="00695917">
              <w:rPr>
                <w:bCs/>
                <w:lang w:val="ro-RO"/>
              </w:rPr>
              <w:t xml:space="preserve"> prejudiciil</w:t>
            </w:r>
            <w:r>
              <w:rPr>
                <w:bCs/>
                <w:lang w:val="ro-RO"/>
              </w:rPr>
              <w:t>e</w:t>
            </w:r>
            <w:r w:rsidRPr="00695917">
              <w:rPr>
                <w:bCs/>
                <w:lang w:val="ro-RO"/>
              </w:rPr>
              <w:t xml:space="preserve">  atât pe dimensiunea sănătății și vieții populații cît și prejudicii</w:t>
            </w:r>
            <w:r>
              <w:rPr>
                <w:bCs/>
                <w:lang w:val="ro-RO"/>
              </w:rPr>
              <w:t>le</w:t>
            </w:r>
            <w:r w:rsidRPr="00695917">
              <w:rPr>
                <w:bCs/>
                <w:lang w:val="ro-RO"/>
              </w:rPr>
              <w:t xml:space="preserve"> de ordin financiar urmare a  utilizării adecvate a EIP; </w:t>
            </w:r>
          </w:p>
          <w:p w:rsidR="00695917" w:rsidRDefault="00695917" w:rsidP="00A47F4F">
            <w:pPr>
              <w:ind w:left="111" w:right="97"/>
              <w:jc w:val="both"/>
              <w:rPr>
                <w:bCs/>
                <w:lang w:val="ro-RO"/>
              </w:rPr>
            </w:pPr>
            <w:r>
              <w:rPr>
                <w:bCs/>
                <w:lang w:val="ro-RO"/>
              </w:rPr>
              <w:t xml:space="preserve">- nu vor fi </w:t>
            </w:r>
            <w:r w:rsidRPr="00695917">
              <w:rPr>
                <w:bCs/>
                <w:lang w:val="ro-RO"/>
              </w:rPr>
              <w:t xml:space="preserve"> dezvolta</w:t>
            </w:r>
            <w:r>
              <w:rPr>
                <w:bCs/>
                <w:lang w:val="ro-RO"/>
              </w:rPr>
              <w:t>te</w:t>
            </w:r>
            <w:r w:rsidRPr="00695917">
              <w:rPr>
                <w:bCs/>
                <w:lang w:val="ro-RO"/>
              </w:rPr>
              <w:t xml:space="preserve"> organismel</w:t>
            </w:r>
            <w:r>
              <w:rPr>
                <w:bCs/>
                <w:lang w:val="ro-RO"/>
              </w:rPr>
              <w:t>e</w:t>
            </w:r>
            <w:r w:rsidRPr="00695917">
              <w:rPr>
                <w:bCs/>
                <w:lang w:val="ro-RO"/>
              </w:rPr>
              <w:t xml:space="preserve"> de evaluare a conformității, inclusiv  a laboratoarelor de încercări pentru EIP;</w:t>
            </w:r>
          </w:p>
          <w:p w:rsidR="002E772C" w:rsidRDefault="002E772C" w:rsidP="00A47F4F">
            <w:pPr>
              <w:ind w:left="111" w:right="97"/>
              <w:jc w:val="both"/>
              <w:rPr>
                <w:bCs/>
                <w:lang w:val="ro-RO"/>
              </w:rPr>
            </w:pPr>
          </w:p>
          <w:p w:rsidR="00460BF0" w:rsidRPr="00F96C4E" w:rsidRDefault="00695917" w:rsidP="00A47F4F">
            <w:pPr>
              <w:ind w:left="111" w:right="97"/>
              <w:jc w:val="both"/>
              <w:rPr>
                <w:bCs/>
                <w:lang w:val="ro-RO"/>
              </w:rPr>
            </w:pPr>
            <w:r>
              <w:rPr>
                <w:bCs/>
                <w:lang w:val="ro-RO"/>
              </w:rPr>
              <w:t>Reieșind din faptul, că produsele neconforme pun în pericol viața și sănătatea oamenilor, b</w:t>
            </w:r>
            <w:r w:rsidR="00EF2BFF" w:rsidRPr="00F96C4E">
              <w:rPr>
                <w:bCs/>
                <w:lang w:val="ro-RO"/>
              </w:rPr>
              <w:t>eneficii</w:t>
            </w:r>
            <w:r w:rsidR="00460BF0" w:rsidRPr="00F96C4E">
              <w:rPr>
                <w:bCs/>
                <w:lang w:val="ro-RO"/>
              </w:rPr>
              <w:t xml:space="preserve"> pentru situația actuală </w:t>
            </w:r>
            <w:r>
              <w:rPr>
                <w:bCs/>
                <w:lang w:val="ro-RO"/>
              </w:rPr>
              <w:t>nu au fost identificate</w:t>
            </w:r>
            <w:r w:rsidR="00984A9C" w:rsidRPr="00F96C4E">
              <w:rPr>
                <w:bCs/>
                <w:lang w:val="ro-RO"/>
              </w:rPr>
              <w:t>.</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4769A" w:rsidP="00B4769A">
            <w:pPr>
              <w:rPr>
                <w:bCs/>
                <w:lang w:val="ro-RO"/>
              </w:rPr>
            </w:pPr>
            <w:r w:rsidRPr="00F96C4E">
              <w:rPr>
                <w:bCs/>
                <w:lang w:val="ro-RO"/>
              </w:rPr>
              <w:t>b</w:t>
            </w:r>
            <w:r w:rsidRPr="00F96C4E">
              <w:rPr>
                <w:bCs/>
                <w:vertAlign w:val="superscript"/>
                <w:lang w:val="ro-RO"/>
              </w:rPr>
              <w:t>1</w:t>
            </w:r>
            <w:r w:rsidRPr="00F96C4E">
              <w:rPr>
                <w:bCs/>
                <w:lang w:val="ro-RO"/>
              </w:rPr>
              <w:t xml:space="preserve">) </w:t>
            </w:r>
            <w:r w:rsidRPr="00F81781">
              <w:rPr>
                <w:bCs/>
                <w:i/>
                <w:lang w:val="ro-RO"/>
              </w:rPr>
              <w:t>Pentru opțiunea recomandată, i</w:t>
            </w:r>
            <w:r w:rsidR="00695917" w:rsidRPr="00F81781">
              <w:rPr>
                <w:bCs/>
                <w:i/>
                <w:lang w:val="ro-RO"/>
              </w:rPr>
              <w:t>dentificați impacturile completâ</w:t>
            </w:r>
            <w:r w:rsidRPr="00F81781">
              <w:rPr>
                <w:bCs/>
                <w:i/>
                <w:lang w:val="ro-RO"/>
              </w:rPr>
              <w:t>nd tabelul din anexa la prezentul formular. Descrieți pe larg impacturile sub formă de costuri sau beneficii, inclusiv părțile interesate care ar putea fi afectate pozitiv și negativ de acestea</w:t>
            </w:r>
          </w:p>
        </w:tc>
      </w:tr>
      <w:tr w:rsidR="00B4769A" w:rsidRPr="00F96C4E" w:rsidTr="00353F0A">
        <w:trPr>
          <w:trHeight w:val="679"/>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92B10" w:rsidRPr="00F96C4E" w:rsidRDefault="001504A4" w:rsidP="00192B10">
            <w:pPr>
              <w:ind w:firstLine="567"/>
              <w:jc w:val="both"/>
              <w:rPr>
                <w:b/>
                <w:lang w:val="ro-RO"/>
              </w:rPr>
            </w:pPr>
            <w:r w:rsidRPr="00F96C4E">
              <w:rPr>
                <w:b/>
                <w:lang w:val="ro-RO"/>
              </w:rPr>
              <w:t>C</w:t>
            </w:r>
            <w:r w:rsidR="00192B10" w:rsidRPr="00F96C4E">
              <w:rPr>
                <w:b/>
                <w:lang w:val="ro-RO"/>
              </w:rPr>
              <w:t xml:space="preserve">osturile </w:t>
            </w:r>
          </w:p>
          <w:p w:rsidR="00192B10" w:rsidRPr="00F96C4E" w:rsidRDefault="00192B10" w:rsidP="002E772C">
            <w:pPr>
              <w:ind w:left="111" w:right="97"/>
              <w:jc w:val="both"/>
              <w:rPr>
                <w:lang w:val="ro-RO"/>
              </w:rPr>
            </w:pPr>
            <w:r w:rsidRPr="00F96C4E">
              <w:rPr>
                <w:lang w:val="ro-RO"/>
              </w:rPr>
              <w:t xml:space="preserve">Aprobarea proiectului Hotărârii Guvernului </w:t>
            </w:r>
            <w:r w:rsidR="00695917" w:rsidRPr="00F96C4E">
              <w:rPr>
                <w:i/>
                <w:lang w:val="ro-RO"/>
              </w:rPr>
              <w:t xml:space="preserve">pentru </w:t>
            </w:r>
            <w:r w:rsidR="00695917">
              <w:rPr>
                <w:i/>
                <w:lang w:val="ro-RO"/>
              </w:rPr>
              <w:t>aprobarea Reglementării tehnice  privind echipamentele individuale de protecție</w:t>
            </w:r>
            <w:r w:rsidR="00695917" w:rsidRPr="00F96C4E">
              <w:rPr>
                <w:lang w:val="ro-RO"/>
              </w:rPr>
              <w:t xml:space="preserve"> </w:t>
            </w:r>
            <w:r w:rsidR="00695917">
              <w:rPr>
                <w:lang w:val="ro-RO"/>
              </w:rPr>
              <w:t xml:space="preserve"> </w:t>
            </w:r>
            <w:r w:rsidRPr="00F96C4E">
              <w:rPr>
                <w:lang w:val="ro-RO"/>
              </w:rPr>
              <w:t>nu presupune instituirea unor cheltuieli din partea statului.</w:t>
            </w:r>
          </w:p>
          <w:p w:rsidR="00192B10" w:rsidRPr="00F96C4E" w:rsidRDefault="00192B10" w:rsidP="002E772C">
            <w:pPr>
              <w:ind w:left="111" w:right="97"/>
              <w:jc w:val="both"/>
              <w:rPr>
                <w:lang w:val="ro-RO"/>
              </w:rPr>
            </w:pPr>
            <w:r w:rsidRPr="00F96C4E">
              <w:rPr>
                <w:lang w:val="ro-RO"/>
              </w:rPr>
              <w:t>În linii generale costurile sunt legate în primul rând de elaborarea documentului propriu zis, însă aceste costuri sânt nesemnificative şi se referă la:</w:t>
            </w:r>
          </w:p>
          <w:p w:rsidR="00192B10" w:rsidRPr="00F96C4E" w:rsidRDefault="00192B10" w:rsidP="002E772C">
            <w:pPr>
              <w:ind w:left="111" w:right="97" w:firstLine="567"/>
              <w:jc w:val="both"/>
              <w:rPr>
                <w:lang w:val="ro-RO"/>
              </w:rPr>
            </w:pPr>
            <w:r w:rsidRPr="00F96C4E">
              <w:rPr>
                <w:lang w:val="ro-RO"/>
              </w:rPr>
              <w:t>- cheltuielile ce țin de publicarea actului normativ în Monitorul Oficial;</w:t>
            </w:r>
          </w:p>
          <w:p w:rsidR="00192B10" w:rsidRPr="00F96C4E" w:rsidRDefault="00192B10" w:rsidP="002E772C">
            <w:pPr>
              <w:ind w:left="111" w:right="97" w:firstLine="567"/>
              <w:jc w:val="both"/>
              <w:rPr>
                <w:lang w:val="ro-RO"/>
              </w:rPr>
            </w:pPr>
            <w:r w:rsidRPr="00F96C4E">
              <w:rPr>
                <w:lang w:val="ro-RO"/>
              </w:rPr>
              <w:t xml:space="preserve">- costurile ce ţin de elaborarea şi procedura de aprobare a proiectului menţionat. </w:t>
            </w:r>
          </w:p>
          <w:p w:rsidR="00671E5E" w:rsidRDefault="00192B10" w:rsidP="002E772C">
            <w:pPr>
              <w:ind w:left="111" w:right="97"/>
              <w:jc w:val="both"/>
              <w:rPr>
                <w:lang w:val="ro-RO"/>
              </w:rPr>
            </w:pPr>
            <w:r w:rsidRPr="00F96C4E">
              <w:rPr>
                <w:lang w:val="ro-RO"/>
              </w:rPr>
              <w:t>Aprobarea proiectului propus nu va avea impact negativ asupra activităţii de întreprinzător, deoarece nu va genera cheltuieli suplimentare din partea acestora</w:t>
            </w:r>
            <w:r w:rsidR="00695917">
              <w:rPr>
                <w:lang w:val="ro-RO"/>
              </w:rPr>
              <w:t>.</w:t>
            </w:r>
          </w:p>
          <w:p w:rsidR="002C6CB6" w:rsidRPr="00F96C4E" w:rsidRDefault="00671E5E" w:rsidP="002E772C">
            <w:pPr>
              <w:ind w:left="111" w:right="97"/>
              <w:jc w:val="both"/>
              <w:rPr>
                <w:noProof/>
              </w:rPr>
            </w:pPr>
            <w:r>
              <w:rPr>
                <w:lang w:val="ro-RO"/>
              </w:rPr>
              <w:t>În cazul dezvoltării organismelor de evaluare a conformității naționale, costurile de evaluare a conformității, care actualmente se efectuează peste hotarele țării, se vor diminua semnificativ.</w:t>
            </w:r>
            <w:r w:rsidR="00192B10" w:rsidRPr="00F96C4E">
              <w:rPr>
                <w:lang w:val="ro-RO"/>
              </w:rPr>
              <w:t xml:space="preserve"> </w:t>
            </w:r>
            <w:r w:rsidR="002C6CB6" w:rsidRPr="00F96C4E">
              <w:rPr>
                <w:noProof/>
              </w:rPr>
              <w:t xml:space="preserve"> </w:t>
            </w:r>
            <w:r w:rsidR="009540A4">
              <w:rPr>
                <w:noProof/>
              </w:rPr>
              <w:t xml:space="preserve">Este de menționat, că unele laboratoare de încercări </w:t>
            </w:r>
            <w:r w:rsidR="001A0E81">
              <w:rPr>
                <w:noProof/>
              </w:rPr>
              <w:t xml:space="preserve">naționale efectuează încercări conform standardelor europene armonizate, aferente reglementării tehnice (de exemplu EN 149 „ Aparate de protecție respiratorie. Semi-măști filtrante împotriva particulelor”), dar nu dețin acreditarea pentru încercările respective. Se poate concluziona, că pentru dezvoltarea laboratoarelor respective, în scopul efectuării încercărilor conform standardelor armonizate, </w:t>
            </w:r>
            <w:r w:rsidR="00BB066A">
              <w:rPr>
                <w:noProof/>
              </w:rPr>
              <w:t>vor fi necesare investiții</w:t>
            </w:r>
            <w:r w:rsidR="001A0E81">
              <w:rPr>
                <w:noProof/>
              </w:rPr>
              <w:t xml:space="preserve">. Evaluând investițiile necesare, se poate estima că acestea vor fi de ordinul </w:t>
            </w:r>
            <w:r w:rsidR="001A0C74">
              <w:rPr>
                <w:noProof/>
              </w:rPr>
              <w:t>a zeci de mii lei.</w:t>
            </w:r>
          </w:p>
          <w:p w:rsidR="00192B10" w:rsidRPr="00F96C4E" w:rsidRDefault="001504A4" w:rsidP="002E772C">
            <w:pPr>
              <w:pStyle w:val="NormalWeb"/>
              <w:ind w:left="111" w:right="97"/>
              <w:rPr>
                <w:b/>
                <w:lang w:val="ro-RO"/>
              </w:rPr>
            </w:pPr>
            <w:r w:rsidRPr="00F96C4E">
              <w:rPr>
                <w:b/>
                <w:lang w:val="ro-RO"/>
              </w:rPr>
              <w:t>B</w:t>
            </w:r>
            <w:r w:rsidR="00192B10" w:rsidRPr="00F96C4E">
              <w:rPr>
                <w:b/>
                <w:lang w:val="ro-RO"/>
              </w:rPr>
              <w:t>eneficiile:</w:t>
            </w:r>
          </w:p>
          <w:p w:rsidR="008A29DA" w:rsidRDefault="00500C20" w:rsidP="00D85CDD">
            <w:pPr>
              <w:ind w:left="111" w:right="97"/>
              <w:jc w:val="both"/>
              <w:rPr>
                <w:bCs/>
                <w:lang w:val="ro-RO"/>
              </w:rPr>
            </w:pPr>
            <w:r w:rsidRPr="00F96C4E">
              <w:rPr>
                <w:lang w:val="ro-RO"/>
              </w:rPr>
              <w:t>B</w:t>
            </w:r>
            <w:r w:rsidR="001504A4" w:rsidRPr="00F96C4E">
              <w:rPr>
                <w:lang w:val="ro-RO"/>
              </w:rPr>
              <w:t>eneficiile scontate ale opțiunii recomandate sunt</w:t>
            </w:r>
            <w:r w:rsidR="008A29DA">
              <w:t xml:space="preserve"> </w:t>
            </w:r>
            <w:r w:rsidR="008A29DA" w:rsidRPr="008A29DA">
              <w:rPr>
                <w:lang w:val="ro-RO"/>
              </w:rPr>
              <w:t>garantarea producției și distribuției în condiții de siguranță a EIP</w:t>
            </w:r>
            <w:r w:rsidR="008A29DA">
              <w:rPr>
                <w:lang w:val="ro-RO"/>
              </w:rPr>
              <w:t xml:space="preserve">, precum și </w:t>
            </w:r>
            <w:r w:rsidR="008A29DA">
              <w:rPr>
                <w:bCs/>
                <w:lang w:val="ro-RO"/>
              </w:rPr>
              <w:t xml:space="preserve">diminuarea </w:t>
            </w:r>
            <w:r w:rsidR="008A29DA" w:rsidRPr="00695917">
              <w:rPr>
                <w:bCs/>
                <w:lang w:val="ro-RO"/>
              </w:rPr>
              <w:t xml:space="preserve"> prejudiciil</w:t>
            </w:r>
            <w:r w:rsidR="008A29DA">
              <w:rPr>
                <w:bCs/>
                <w:lang w:val="ro-RO"/>
              </w:rPr>
              <w:t>or</w:t>
            </w:r>
            <w:r w:rsidR="008A29DA" w:rsidRPr="00695917">
              <w:rPr>
                <w:bCs/>
                <w:lang w:val="ro-RO"/>
              </w:rPr>
              <w:t xml:space="preserve">  atât pe dimensiunea sănătății și vieții populații cît și prejudicii</w:t>
            </w:r>
            <w:r w:rsidR="008A29DA">
              <w:rPr>
                <w:bCs/>
                <w:lang w:val="ro-RO"/>
              </w:rPr>
              <w:t>le</w:t>
            </w:r>
            <w:r w:rsidR="008A29DA" w:rsidRPr="00695917">
              <w:rPr>
                <w:bCs/>
                <w:lang w:val="ro-RO"/>
              </w:rPr>
              <w:t xml:space="preserve"> de ordin financiar urmare a  utilizării adecvate a EIP</w:t>
            </w:r>
            <w:r w:rsidR="008A29DA">
              <w:rPr>
                <w:bCs/>
                <w:lang w:val="ro-RO"/>
              </w:rPr>
              <w:t>, menționate la pct. 1 lit. b).</w:t>
            </w:r>
          </w:p>
          <w:p w:rsidR="00D137A2" w:rsidRDefault="00353F0A" w:rsidP="00D85CDD">
            <w:pPr>
              <w:ind w:left="111" w:right="97"/>
              <w:jc w:val="both"/>
              <w:rPr>
                <w:lang w:val="ro-RO"/>
              </w:rPr>
            </w:pPr>
            <w:r>
              <w:rPr>
                <w:bCs/>
                <w:lang w:val="ro-RO"/>
              </w:rPr>
              <w:t>Alinierea la noul cadru legislativ (</w:t>
            </w:r>
            <w:r w:rsidR="004F53C5">
              <w:rPr>
                <w:bCs/>
                <w:lang w:val="ro-RO"/>
              </w:rPr>
              <w:t xml:space="preserve"> transpus în legislația națională prin Legea 235/2011</w:t>
            </w:r>
            <w:r>
              <w:rPr>
                <w:bCs/>
                <w:lang w:val="ro-RO"/>
              </w:rPr>
              <w:t xml:space="preserve">) </w:t>
            </w:r>
            <w:r w:rsidR="004F53C5">
              <w:rPr>
                <w:bCs/>
                <w:lang w:val="ro-RO"/>
              </w:rPr>
              <w:t xml:space="preserve"> </w:t>
            </w:r>
            <w:r w:rsidR="004F53C5" w:rsidRPr="004F53C5">
              <w:rPr>
                <w:bCs/>
                <w:lang w:val="ro-RO"/>
              </w:rPr>
              <w:t>este pasul major al sim</w:t>
            </w:r>
            <w:r w:rsidR="004F53C5">
              <w:rPr>
                <w:bCs/>
                <w:lang w:val="ro-RO"/>
              </w:rPr>
              <w:t xml:space="preserve">plificării, deoarece va asigura </w:t>
            </w:r>
            <w:r w:rsidR="00407F20">
              <w:rPr>
                <w:bCs/>
                <w:lang w:val="ro-RO"/>
              </w:rPr>
              <w:t xml:space="preserve">aplicarea procedurilor de evaluare a conformității </w:t>
            </w:r>
            <w:r w:rsidR="004F53C5" w:rsidRPr="004F53C5">
              <w:rPr>
                <w:bCs/>
                <w:lang w:val="ro-RO"/>
              </w:rPr>
              <w:t xml:space="preserve"> armonizate </w:t>
            </w:r>
            <w:r w:rsidR="00AC18AE">
              <w:rPr>
                <w:bCs/>
                <w:lang w:val="ro-RO"/>
              </w:rPr>
              <w:t>în scopul punerii la dispoziție pe piață a EIP.</w:t>
            </w:r>
            <w:r>
              <w:rPr>
                <w:bCs/>
                <w:lang w:val="ro-RO"/>
              </w:rPr>
              <w:t xml:space="preserve"> </w:t>
            </w:r>
            <w:r w:rsidRPr="00353F0A">
              <w:rPr>
                <w:bCs/>
                <w:lang w:val="ro-RO"/>
              </w:rPr>
              <w:t>Odată cu alinierea, obligațiile opera</w:t>
            </w:r>
            <w:r>
              <w:rPr>
                <w:bCs/>
                <w:lang w:val="ro-RO"/>
              </w:rPr>
              <w:t xml:space="preserve">torilor economici devin mai </w:t>
            </w:r>
            <w:r w:rsidRPr="00353F0A">
              <w:rPr>
                <w:bCs/>
                <w:lang w:val="ro-RO"/>
              </w:rPr>
              <w:t>clare și identice cu cele care implică alte elemente ale legislați</w:t>
            </w:r>
            <w:r>
              <w:rPr>
                <w:bCs/>
                <w:lang w:val="ro-RO"/>
              </w:rPr>
              <w:t>ei privind noua abordare. În același timp</w:t>
            </w:r>
            <w:r w:rsidRPr="00353F0A">
              <w:rPr>
                <w:bCs/>
                <w:lang w:val="ro-RO"/>
              </w:rPr>
              <w:t xml:space="preserve">, modulele pentru evaluarea conformității sunt armonizate cu cele care urmează să fie aplicate în </w:t>
            </w:r>
            <w:r w:rsidR="00FD728D">
              <w:rPr>
                <w:bCs/>
                <w:lang w:val="ro-RO"/>
              </w:rPr>
              <w:t>legislația europeană de armonizare.</w:t>
            </w:r>
            <w:r w:rsidRPr="00353F0A">
              <w:rPr>
                <w:bCs/>
                <w:lang w:val="ro-RO"/>
              </w:rPr>
              <w:t xml:space="preserve"> Propunerea actuală </w:t>
            </w:r>
            <w:r w:rsidR="00FD728D">
              <w:rPr>
                <w:bCs/>
                <w:lang w:val="ro-RO"/>
              </w:rPr>
              <w:t xml:space="preserve">va contribui </w:t>
            </w:r>
            <w:r w:rsidRPr="00353F0A">
              <w:rPr>
                <w:bCs/>
                <w:lang w:val="ro-RO"/>
              </w:rPr>
              <w:t>să ofere un cadru juridic mai structurat și mai clar.</w:t>
            </w:r>
            <w:r w:rsidR="00FD728D">
              <w:rPr>
                <w:bCs/>
                <w:lang w:val="ro-RO"/>
              </w:rPr>
              <w:t xml:space="preserve"> </w:t>
            </w:r>
            <w:r w:rsidR="00302D96">
              <w:rPr>
                <w:bCs/>
                <w:lang w:val="ro-RO"/>
              </w:rPr>
              <w:t xml:space="preserve">Totodată, producătorii autohtoni vor beneficia de serviciile organismelor de evaluare a conformității naționale. Subsidiar se presupune și diminuarea </w:t>
            </w:r>
            <w:r w:rsidR="005D4CB7" w:rsidRPr="005D4CB7">
              <w:rPr>
                <w:lang w:val="ro-RO"/>
              </w:rPr>
              <w:t xml:space="preserve"> </w:t>
            </w:r>
            <w:r w:rsidR="00302D96">
              <w:rPr>
                <w:lang w:val="ro-RO"/>
              </w:rPr>
              <w:t>semnificativă a EIP neconforme puse la dispoziție pe piața națională.</w:t>
            </w:r>
          </w:p>
          <w:p w:rsidR="00D85CDD" w:rsidRDefault="00D85CDD" w:rsidP="00D85CDD">
            <w:pPr>
              <w:ind w:left="111" w:right="97"/>
              <w:jc w:val="both"/>
              <w:rPr>
                <w:lang w:val="ro-RO"/>
              </w:rPr>
            </w:pPr>
          </w:p>
          <w:p w:rsidR="00D85CDD" w:rsidRDefault="00D85CDD" w:rsidP="00D85CDD">
            <w:pPr>
              <w:tabs>
                <w:tab w:val="left" w:pos="490"/>
                <w:tab w:val="left" w:pos="9466"/>
              </w:tabs>
              <w:ind w:left="111" w:right="239"/>
              <w:jc w:val="both"/>
              <w:rPr>
                <w:lang w:val="ro-RO"/>
              </w:rPr>
            </w:pPr>
            <w:r>
              <w:rPr>
                <w:lang w:val="ro-RO"/>
              </w:rPr>
              <w:t>Este de menționat, că i</w:t>
            </w:r>
            <w:r w:rsidRPr="00353F0A">
              <w:rPr>
                <w:lang w:val="ro-RO"/>
              </w:rPr>
              <w:t xml:space="preserve">ntroducerea unei reglementări obligatorii privind siguranța la locul de muncă </w:t>
            </w:r>
            <w:r w:rsidR="00BB066A">
              <w:rPr>
                <w:lang w:val="ro-RO"/>
              </w:rPr>
              <w:t>(</w:t>
            </w:r>
            <w:r>
              <w:rPr>
                <w:lang w:val="ro-RO"/>
              </w:rPr>
              <w:t xml:space="preserve">Hotărârea Guvernului nr. 906/2020 </w:t>
            </w:r>
            <w:r w:rsidRPr="00353F0A">
              <w:rPr>
                <w:lang w:val="ro-RO"/>
              </w:rPr>
              <w:t>privind aprobarea Cerinţelor minime de securitate şi sănătate pentru utilizarea de către lucrători a echipamentelor individuale de protecţie la locul de muncă</w:t>
            </w:r>
            <w:r w:rsidR="00BB066A">
              <w:rPr>
                <w:lang w:val="ro-RO"/>
              </w:rPr>
              <w:t>)</w:t>
            </w:r>
            <w:r w:rsidRPr="00353F0A">
              <w:rPr>
                <w:lang w:val="ro-RO"/>
              </w:rPr>
              <w:t xml:space="preserve">, </w:t>
            </w:r>
            <w:r>
              <w:rPr>
                <w:lang w:val="ro-RO"/>
              </w:rPr>
              <w:t xml:space="preserve">stimulează </w:t>
            </w:r>
            <w:r w:rsidRPr="00353F0A">
              <w:rPr>
                <w:lang w:val="ro-RO"/>
              </w:rPr>
              <w:t xml:space="preserve"> dezvoltare</w:t>
            </w:r>
            <w:r>
              <w:rPr>
                <w:lang w:val="ro-RO"/>
              </w:rPr>
              <w:t xml:space="preserve">a </w:t>
            </w:r>
            <w:r w:rsidRPr="00353F0A">
              <w:rPr>
                <w:lang w:val="ro-RO"/>
              </w:rPr>
              <w:t xml:space="preserve"> unei piețe </w:t>
            </w:r>
            <w:r>
              <w:rPr>
                <w:lang w:val="ro-RO"/>
              </w:rPr>
              <w:t>EIP</w:t>
            </w:r>
            <w:r w:rsidRPr="00353F0A">
              <w:rPr>
                <w:lang w:val="ro-RO"/>
              </w:rPr>
              <w:t xml:space="preserve"> </w:t>
            </w:r>
            <w:r>
              <w:rPr>
                <w:lang w:val="ro-RO"/>
              </w:rPr>
              <w:t xml:space="preserve">mature, bine stabilite și </w:t>
            </w:r>
            <w:r w:rsidRPr="00353F0A">
              <w:rPr>
                <w:lang w:val="ro-RO"/>
              </w:rPr>
              <w:t xml:space="preserve"> competitive. </w:t>
            </w:r>
          </w:p>
          <w:p w:rsidR="00FD728D" w:rsidRDefault="00FD728D" w:rsidP="00407F20">
            <w:pPr>
              <w:ind w:left="111" w:right="97"/>
              <w:jc w:val="both"/>
              <w:rPr>
                <w:lang w:val="ro-RO"/>
              </w:rPr>
            </w:pPr>
          </w:p>
          <w:p w:rsidR="00AC18AE" w:rsidRPr="00F96C4E" w:rsidRDefault="00AC18AE" w:rsidP="00353F0A">
            <w:pPr>
              <w:ind w:left="111" w:right="97"/>
              <w:jc w:val="both"/>
              <w:rPr>
                <w:bCs/>
                <w:lang w:val="ro-RO"/>
              </w:rPr>
            </w:pPr>
            <w:r>
              <w:rPr>
                <w:bCs/>
                <w:lang w:val="ro-RO"/>
              </w:rPr>
              <w:lastRenderedPageBreak/>
              <w:t>Concomitent, schimbările propuse vor aduce următoarele beneficii sociale:</w:t>
            </w:r>
            <w:r>
              <w:t xml:space="preserve"> </w:t>
            </w:r>
            <w:r w:rsidR="00B17DAA" w:rsidRPr="00B17DAA">
              <w:rPr>
                <w:lang w:val="ro-RO"/>
              </w:rPr>
              <w:t>crește</w:t>
            </w:r>
            <w:r w:rsidR="00B17DAA">
              <w:rPr>
                <w:lang w:val="ro-RO"/>
              </w:rPr>
              <w:t xml:space="preserve">rea nivelului de </w:t>
            </w:r>
            <w:r w:rsidR="00B17DAA">
              <w:t xml:space="preserve">  </w:t>
            </w:r>
            <w:r w:rsidR="00B17DAA">
              <w:rPr>
                <w:bCs/>
                <w:lang w:val="ro-RO"/>
              </w:rPr>
              <w:t xml:space="preserve">siguranță a </w:t>
            </w:r>
            <w:r w:rsidRPr="00AC18AE">
              <w:rPr>
                <w:bCs/>
                <w:lang w:val="ro-RO"/>
              </w:rPr>
              <w:t xml:space="preserve">utilizatorilor </w:t>
            </w:r>
            <w:r>
              <w:rPr>
                <w:bCs/>
                <w:lang w:val="ro-RO"/>
              </w:rPr>
              <w:t xml:space="preserve">de </w:t>
            </w:r>
            <w:r w:rsidRPr="00AC18AE">
              <w:rPr>
                <w:bCs/>
                <w:lang w:val="ro-RO"/>
              </w:rPr>
              <w:t>EIP</w:t>
            </w:r>
            <w:r w:rsidR="00B17DAA">
              <w:rPr>
                <w:bCs/>
                <w:lang w:val="ro-RO"/>
              </w:rPr>
              <w:t xml:space="preserve"> urmare a sporirii</w:t>
            </w:r>
            <w:r w:rsidR="00B17DAA" w:rsidRPr="00AC18AE">
              <w:rPr>
                <w:bCs/>
                <w:lang w:val="ro-RO"/>
              </w:rPr>
              <w:t xml:space="preserve"> nivelul</w:t>
            </w:r>
            <w:r w:rsidR="00B17DAA">
              <w:rPr>
                <w:bCs/>
                <w:lang w:val="ro-RO"/>
              </w:rPr>
              <w:t>ui</w:t>
            </w:r>
            <w:r w:rsidR="00B17DAA" w:rsidRPr="00AC18AE">
              <w:rPr>
                <w:bCs/>
                <w:lang w:val="ro-RO"/>
              </w:rPr>
              <w:t xml:space="preserve"> de</w:t>
            </w:r>
            <w:r w:rsidR="00B17DAA">
              <w:rPr>
                <w:bCs/>
                <w:lang w:val="ro-RO"/>
              </w:rPr>
              <w:t xml:space="preserve"> protecție oferit de EIP, ceea ce va mări protejarea sănătății acestora</w:t>
            </w:r>
            <w:r>
              <w:rPr>
                <w:bCs/>
                <w:lang w:val="ro-RO"/>
              </w:rPr>
              <w:t xml:space="preserve">; </w:t>
            </w:r>
            <w:r w:rsidR="00B17DAA">
              <w:rPr>
                <w:bCs/>
                <w:lang w:val="ro-RO"/>
              </w:rPr>
              <w:t xml:space="preserve"> </w:t>
            </w:r>
            <w:r w:rsidR="00D8342C">
              <w:rPr>
                <w:bCs/>
                <w:lang w:val="ro-RO"/>
              </w:rPr>
              <w:t>reducerea</w:t>
            </w:r>
            <w:r w:rsidR="00B17DAA">
              <w:rPr>
                <w:bCs/>
                <w:lang w:val="ro-RO"/>
              </w:rPr>
              <w:t xml:space="preserve"> </w:t>
            </w:r>
            <w:r w:rsidRPr="00AC18AE">
              <w:rPr>
                <w:bCs/>
                <w:lang w:val="ro-RO"/>
              </w:rPr>
              <w:t xml:space="preserve"> numărul</w:t>
            </w:r>
            <w:r w:rsidR="00B17DAA">
              <w:rPr>
                <w:bCs/>
                <w:lang w:val="ro-RO"/>
              </w:rPr>
              <w:t xml:space="preserve">ui </w:t>
            </w:r>
            <w:r w:rsidRPr="00AC18AE">
              <w:rPr>
                <w:bCs/>
                <w:lang w:val="ro-RO"/>
              </w:rPr>
              <w:t xml:space="preserve"> de </w:t>
            </w:r>
            <w:r w:rsidR="00B17DAA">
              <w:rPr>
                <w:bCs/>
                <w:lang w:val="ro-RO"/>
              </w:rPr>
              <w:t xml:space="preserve">EIP puse la dispoziție pe piață, </w:t>
            </w:r>
            <w:r w:rsidRPr="00AC18AE">
              <w:rPr>
                <w:bCs/>
                <w:lang w:val="ro-RO"/>
              </w:rPr>
              <w:t xml:space="preserve"> care nu asigură un nivel adecvat de protecție (</w:t>
            </w:r>
            <w:r w:rsidR="00B47566">
              <w:rPr>
                <w:bCs/>
                <w:lang w:val="ro-RO"/>
              </w:rPr>
              <w:t xml:space="preserve">ținând cont, că datele cantitative disponibile despre EIP puse la dispoziție pe piață nu sunt suficient de exacte și detaliate, </w:t>
            </w:r>
            <w:r w:rsidRPr="00AC18AE">
              <w:rPr>
                <w:bCs/>
                <w:lang w:val="ro-RO"/>
              </w:rPr>
              <w:t xml:space="preserve">procentul </w:t>
            </w:r>
            <w:r w:rsidR="00B47566">
              <w:rPr>
                <w:bCs/>
                <w:lang w:val="ro-RO"/>
              </w:rPr>
              <w:t xml:space="preserve">ipotetic </w:t>
            </w:r>
            <w:r w:rsidRPr="00AC18AE">
              <w:rPr>
                <w:bCs/>
                <w:lang w:val="ro-RO"/>
              </w:rPr>
              <w:t xml:space="preserve">așteptat de reducere </w:t>
            </w:r>
            <w:r w:rsidR="00D8342C">
              <w:rPr>
                <w:bCs/>
                <w:lang w:val="ro-RO"/>
              </w:rPr>
              <w:t xml:space="preserve">se estimează </w:t>
            </w:r>
            <w:r w:rsidRPr="00AC18AE">
              <w:rPr>
                <w:bCs/>
                <w:lang w:val="ro-RO"/>
              </w:rPr>
              <w:t xml:space="preserve">până la 50%). </w:t>
            </w:r>
            <w:r w:rsidR="00FD1954">
              <w:rPr>
                <w:bCs/>
                <w:lang w:val="ro-RO"/>
              </w:rPr>
              <w:t>Va fi adusă o claritate în procesul de  supraveghere a pieței</w:t>
            </w:r>
            <w:r w:rsidRPr="00AC18AE">
              <w:rPr>
                <w:bCs/>
                <w:lang w:val="ro-RO"/>
              </w:rPr>
              <w:t xml:space="preserve">. </w:t>
            </w:r>
            <w:r w:rsidR="00D8342C">
              <w:rPr>
                <w:bCs/>
                <w:lang w:val="ro-RO"/>
              </w:rPr>
              <w:t>Totodată p</w:t>
            </w:r>
            <w:r w:rsidRPr="00AC18AE">
              <w:rPr>
                <w:bCs/>
                <w:lang w:val="ro-RO"/>
              </w:rPr>
              <w:t xml:space="preserve">roducătorii </w:t>
            </w:r>
            <w:r w:rsidR="00D8342C">
              <w:rPr>
                <w:bCs/>
                <w:lang w:val="ro-RO"/>
              </w:rPr>
              <w:t xml:space="preserve">de EIP </w:t>
            </w:r>
            <w:r w:rsidRPr="00AC18AE">
              <w:rPr>
                <w:bCs/>
                <w:lang w:val="ro-RO"/>
              </w:rPr>
              <w:t>vor beneficia de o securitate juridică mai mare, precum și de</w:t>
            </w:r>
            <w:r w:rsidR="00D8342C">
              <w:rPr>
                <w:bCs/>
                <w:lang w:val="ro-RO"/>
              </w:rPr>
              <w:t xml:space="preserve"> </w:t>
            </w:r>
            <w:r w:rsidRPr="00AC18AE">
              <w:rPr>
                <w:bCs/>
                <w:lang w:val="ro-RO"/>
              </w:rPr>
              <w:t>condiții de joc stabil</w:t>
            </w:r>
            <w:r w:rsidR="00FD1954">
              <w:rPr>
                <w:bCs/>
                <w:lang w:val="ro-RO"/>
              </w:rPr>
              <w:t>e</w:t>
            </w:r>
            <w:r w:rsidRPr="00AC18AE">
              <w:rPr>
                <w:bCs/>
                <w:lang w:val="ro-RO"/>
              </w:rPr>
              <w:t>.</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4769A" w:rsidP="00E0053C">
            <w:pPr>
              <w:jc w:val="both"/>
              <w:rPr>
                <w:bCs/>
                <w:lang w:val="ro-RO"/>
              </w:rPr>
            </w:pPr>
            <w:r w:rsidRPr="00F96C4E">
              <w:rPr>
                <w:bCs/>
                <w:lang w:val="ro-RO"/>
              </w:rPr>
              <w:lastRenderedPageBreak/>
              <w:t>b</w:t>
            </w:r>
            <w:r w:rsidRPr="00F96C4E">
              <w:rPr>
                <w:bCs/>
                <w:vertAlign w:val="superscript"/>
                <w:lang w:val="ro-RO"/>
              </w:rPr>
              <w:t>2</w:t>
            </w:r>
            <w:r w:rsidRPr="00F96C4E">
              <w:rPr>
                <w:bCs/>
                <w:lang w:val="ro-RO"/>
              </w:rPr>
              <w:t xml:space="preserve">) </w:t>
            </w:r>
            <w:r w:rsidRPr="00F81781">
              <w:rPr>
                <w:bCs/>
                <w:i/>
                <w:lang w:val="ro-RO"/>
              </w:rPr>
              <w:t>Pentru opțiunile alternative analizate, i</w:t>
            </w:r>
            <w:r w:rsidR="0042060E" w:rsidRPr="00F81781">
              <w:rPr>
                <w:bCs/>
                <w:i/>
                <w:lang w:val="ro-RO"/>
              </w:rPr>
              <w:t>dentificați impacturile completâ</w:t>
            </w:r>
            <w:r w:rsidRPr="00F81781">
              <w:rPr>
                <w:bCs/>
                <w:i/>
                <w:lang w:val="ro-RO"/>
              </w:rPr>
              <w:t>nd tabelul din anexa la prezentul formular. Descrieți pe larg impacturile sub formă de costuri sau beneficii, inclusiv părțile interesate care ar putea fi afectate pozitiv și negativ de acestea</w:t>
            </w:r>
          </w:p>
        </w:tc>
      </w:tr>
      <w:tr w:rsidR="00B4769A" w:rsidRPr="00F96C4E" w:rsidTr="00C02A28">
        <w:trPr>
          <w:trHeight w:val="291"/>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614638">
            <w:pPr>
              <w:rPr>
                <w:bCs/>
                <w:lang w:val="ro-RO"/>
              </w:rPr>
            </w:pPr>
            <w:r w:rsidRPr="00F96C4E">
              <w:rPr>
                <w:bCs/>
                <w:lang w:val="ro-RO"/>
              </w:rPr>
              <w:t>-</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4769A">
            <w:pPr>
              <w:rPr>
                <w:bCs/>
                <w:lang w:val="ro-RO"/>
              </w:rPr>
            </w:pPr>
            <w:r w:rsidRPr="00F96C4E">
              <w:rPr>
                <w:bCs/>
                <w:lang w:val="ro-RO"/>
              </w:rPr>
              <w:t xml:space="preserve">c) </w:t>
            </w:r>
            <w:r w:rsidRPr="00F81781">
              <w:rPr>
                <w:bCs/>
                <w:i/>
                <w:lang w:val="ro-RO"/>
              </w:rPr>
              <w:t>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B4769A" w:rsidRPr="00F96C4E" w:rsidTr="00C02A28">
        <w:trPr>
          <w:trHeight w:val="219"/>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0AB1" w:rsidRPr="00F96C4E" w:rsidRDefault="0078690B" w:rsidP="005F4E5A">
            <w:pPr>
              <w:ind w:left="111" w:right="97"/>
              <w:jc w:val="both"/>
              <w:rPr>
                <w:lang w:val="ro-RO"/>
              </w:rPr>
            </w:pPr>
            <w:r w:rsidRPr="00E850DE">
              <w:rPr>
                <w:lang w:val="ro-RO"/>
              </w:rPr>
              <w:t>S</w:t>
            </w:r>
            <w:r w:rsidR="008A29DA" w:rsidRPr="00E850DE">
              <w:rPr>
                <w:lang w:val="ro-RO"/>
              </w:rPr>
              <w:t>oluți</w:t>
            </w:r>
            <w:r w:rsidRPr="00E850DE">
              <w:rPr>
                <w:lang w:val="ro-RO"/>
              </w:rPr>
              <w:t>a</w:t>
            </w:r>
            <w:r w:rsidR="008A29DA" w:rsidRPr="00E850DE">
              <w:rPr>
                <w:lang w:val="ro-RO"/>
              </w:rPr>
              <w:t xml:space="preserve"> propusă  nu prezintă riscuri majore sau evidente de a eșua.</w:t>
            </w:r>
            <w:r w:rsidR="008A29DA" w:rsidRPr="008A29DA">
              <w:rPr>
                <w:lang w:val="ro-RO"/>
              </w:rPr>
              <w:t xml:space="preserve"> Riscurile cele mai evidente se raportează la modul de punere în aplicare și implementare a prevederilor </w:t>
            </w:r>
            <w:r w:rsidR="00D625D8">
              <w:rPr>
                <w:lang w:val="ro-RO"/>
              </w:rPr>
              <w:t>proiectului</w:t>
            </w:r>
            <w:r w:rsidR="008A29DA" w:rsidRPr="008A29DA">
              <w:rPr>
                <w:lang w:val="ro-RO"/>
              </w:rPr>
              <w:t xml:space="preserve"> propus. În cazul în care procesul de implementare nu va fi desfășurat corespunzător și nu vor fi puse în aplicare unele mecanisme sau procese, atunci prevederile corespunzătoare din </w:t>
            </w:r>
            <w:r w:rsidR="00D625D8">
              <w:rPr>
                <w:lang w:val="ro-RO"/>
              </w:rPr>
              <w:t>hotărâre</w:t>
            </w:r>
            <w:r w:rsidR="008A29DA" w:rsidRPr="008A29DA">
              <w:rPr>
                <w:lang w:val="ro-RO"/>
              </w:rPr>
              <w:t xml:space="preserve"> nu vor avea efectul scontat. Spre exemplu, nu este suficient ca în </w:t>
            </w:r>
            <w:r w:rsidR="00D625D8">
              <w:rPr>
                <w:lang w:val="ro-RO"/>
              </w:rPr>
              <w:t xml:space="preserve">hotărâre </w:t>
            </w:r>
            <w:r w:rsidR="008A29DA" w:rsidRPr="008A29DA">
              <w:rPr>
                <w:lang w:val="ro-RO"/>
              </w:rPr>
              <w:t xml:space="preserve">să fie </w:t>
            </w:r>
            <w:r w:rsidR="00D625D8">
              <w:rPr>
                <w:lang w:val="ro-RO"/>
              </w:rPr>
              <w:t>stabilite categoriile de risc ale EIP și procedurile de evaluare a conformității</w:t>
            </w:r>
            <w:r w:rsidR="008A29DA" w:rsidRPr="008A29DA">
              <w:rPr>
                <w:lang w:val="ro-RO"/>
              </w:rPr>
              <w:t xml:space="preserve">, este extrem de important ca, după aprobarea </w:t>
            </w:r>
            <w:r w:rsidR="00D625D8">
              <w:rPr>
                <w:lang w:val="ro-RO"/>
              </w:rPr>
              <w:t>hotărârii</w:t>
            </w:r>
            <w:r w:rsidR="008A29DA" w:rsidRPr="008A29DA">
              <w:rPr>
                <w:lang w:val="ro-RO"/>
              </w:rPr>
              <w:t xml:space="preserve">, </w:t>
            </w:r>
            <w:r w:rsidR="00E850DE">
              <w:rPr>
                <w:lang w:val="ro-RO"/>
              </w:rPr>
              <w:t xml:space="preserve">să fie  dezvoltate organismele de evaluare a conformității care vor efectua sarcinile de evaluare a conformității EIP ca părți terțe. </w:t>
            </w:r>
            <w:r w:rsidR="008A29DA" w:rsidRPr="008A29DA">
              <w:rPr>
                <w:lang w:val="ro-RO"/>
              </w:rPr>
              <w:t xml:space="preserve"> Mai mult, este important ca</w:t>
            </w:r>
            <w:r w:rsidR="005F4E5A">
              <w:rPr>
                <w:lang w:val="ro-RO"/>
              </w:rPr>
              <w:t xml:space="preserve"> organul de supraveghere a pieței </w:t>
            </w:r>
            <w:r w:rsidR="00E850DE">
              <w:rPr>
                <w:lang w:val="ro-RO"/>
              </w:rPr>
              <w:t>să execute sarcinile stabilite privind supravegherea pieței și controlul  EIP.</w:t>
            </w:r>
            <w:r w:rsidR="008A29DA" w:rsidRPr="008A29DA">
              <w:rPr>
                <w:lang w:val="ro-RO"/>
              </w:rPr>
              <w:t xml:space="preserve"> </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0D77D5" w:rsidP="00E850DE">
            <w:pPr>
              <w:ind w:right="97"/>
              <w:jc w:val="both"/>
              <w:rPr>
                <w:bCs/>
                <w:lang w:val="ro-RO"/>
              </w:rPr>
            </w:pPr>
            <w:r w:rsidRPr="00F96C4E">
              <w:rPr>
                <w:bCs/>
                <w:lang w:val="ro-RO"/>
              </w:rPr>
              <w:t>d</w:t>
            </w:r>
            <w:r w:rsidRPr="00BB200F">
              <w:rPr>
                <w:bCs/>
                <w:lang w:val="ro-RO"/>
              </w:rPr>
              <w:t>)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r>
      <w:tr w:rsidR="00B4769A" w:rsidRPr="00F96C4E" w:rsidTr="00BB200F">
        <w:trPr>
          <w:trHeight w:val="381"/>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B200F" w:rsidP="003E5DBA">
            <w:pPr>
              <w:ind w:firstLine="299"/>
              <w:jc w:val="both"/>
              <w:rPr>
                <w:bCs/>
                <w:lang w:val="ro-RO"/>
              </w:rPr>
            </w:pPr>
            <w:r>
              <w:rPr>
                <w:bCs/>
                <w:lang w:val="ro-RO"/>
              </w:rPr>
              <w:t>-</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D77D5" w:rsidRPr="003942CF" w:rsidRDefault="000D77D5" w:rsidP="000D77D5">
            <w:pPr>
              <w:rPr>
                <w:b/>
                <w:bCs/>
                <w:u w:val="single"/>
                <w:lang w:val="ro-RO"/>
              </w:rPr>
            </w:pPr>
            <w:r w:rsidRPr="003942CF">
              <w:rPr>
                <w:b/>
                <w:bCs/>
                <w:u w:val="single"/>
                <w:lang w:val="ro-RO"/>
              </w:rPr>
              <w:t>Concluzie</w:t>
            </w:r>
          </w:p>
          <w:p w:rsidR="00B4769A" w:rsidRPr="00BB200F" w:rsidRDefault="000D77D5" w:rsidP="000D77D5">
            <w:pPr>
              <w:rPr>
                <w:bCs/>
                <w:highlight w:val="yellow"/>
                <w:lang w:val="ro-RO"/>
              </w:rPr>
            </w:pPr>
            <w:r w:rsidRPr="003942CF">
              <w:rPr>
                <w:bCs/>
                <w:lang w:val="ro-RO"/>
              </w:rPr>
              <w:t>e) Argumentați selectarea unei opțiunii, în baza atingerii obiectivelor, beneficiilor și costurilor, precum și a asigurării celui mai mic impact negativ asupra celor afectați</w:t>
            </w:r>
          </w:p>
        </w:tc>
      </w:tr>
      <w:tr w:rsidR="000D77D5"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5319" w:rsidRPr="00F96C4E" w:rsidRDefault="00187925" w:rsidP="00BB200F">
            <w:pPr>
              <w:jc w:val="both"/>
              <w:rPr>
                <w:lang w:val="ro-RO" w:eastAsia="ru-RU"/>
              </w:rPr>
            </w:pPr>
            <w:r w:rsidRPr="00F96C4E">
              <w:rPr>
                <w:bCs/>
                <w:lang w:val="ro-RO"/>
              </w:rPr>
              <w:t xml:space="preserve">Urmare a analizării opțiunilor prezentate, se recomandă aprobarea proiectului Hotărârii </w:t>
            </w:r>
            <w:r w:rsidR="00F033F2" w:rsidRPr="00F96C4E">
              <w:rPr>
                <w:bCs/>
                <w:lang w:val="ro-RO"/>
              </w:rPr>
              <w:t>G</w:t>
            </w:r>
            <w:r w:rsidRPr="00F96C4E">
              <w:rPr>
                <w:bCs/>
                <w:lang w:val="ro-RO"/>
              </w:rPr>
              <w:t>uvernului pentru</w:t>
            </w:r>
            <w:r w:rsidR="00BB200F">
              <w:t xml:space="preserve"> </w:t>
            </w:r>
            <w:r w:rsidR="00BB200F" w:rsidRPr="00BB200F">
              <w:rPr>
                <w:bCs/>
                <w:lang w:val="ro-RO"/>
              </w:rPr>
              <w:t>aprobarea Reglementării tehnice  privind echipamentele individuale de protecție</w:t>
            </w:r>
            <w:r w:rsidR="00F033F2" w:rsidRPr="00F96C4E">
              <w:rPr>
                <w:bCs/>
                <w:lang w:val="ro-RO"/>
              </w:rPr>
              <w:t>. Varianta preliminară a proiectului se anexează.</w:t>
            </w:r>
            <w:r w:rsidR="005B5319" w:rsidRPr="00F96C4E">
              <w:rPr>
                <w:lang w:val="ro-RO" w:eastAsia="ru-RU"/>
              </w:rPr>
              <w:t xml:space="preserve"> </w:t>
            </w:r>
          </w:p>
          <w:p w:rsidR="003942CF" w:rsidRDefault="003942CF" w:rsidP="003942CF">
            <w:pPr>
              <w:rPr>
                <w:lang w:val="ro-RO" w:eastAsia="ru-RU"/>
              </w:rPr>
            </w:pPr>
          </w:p>
          <w:p w:rsidR="000D77D5" w:rsidRPr="00F96C4E" w:rsidRDefault="005B5319" w:rsidP="003942CF">
            <w:pPr>
              <w:rPr>
                <w:bCs/>
                <w:lang w:val="ro-RO"/>
              </w:rPr>
            </w:pPr>
            <w:r w:rsidRPr="00F96C4E">
              <w:rPr>
                <w:lang w:val="ro-RO" w:eastAsia="ru-RU"/>
              </w:rPr>
              <w:t xml:space="preserve">Se recomandă ca proiectul actului propus să între în vigoare la </w:t>
            </w:r>
            <w:r w:rsidR="003942CF">
              <w:rPr>
                <w:lang w:val="ro-RO" w:eastAsia="ru-RU"/>
              </w:rPr>
              <w:t xml:space="preserve">12 luni de la </w:t>
            </w:r>
            <w:r w:rsidRPr="00F96C4E">
              <w:rPr>
                <w:lang w:val="ro-RO" w:eastAsia="ru-RU"/>
              </w:rPr>
              <w:t>data publicării acestuia.</w:t>
            </w:r>
            <w:r w:rsidRPr="00F96C4E">
              <w:rPr>
                <w:lang w:val="ro-RO"/>
              </w:rPr>
              <w:t xml:space="preserve">     </w:t>
            </w:r>
          </w:p>
        </w:tc>
      </w:tr>
      <w:tr w:rsidR="006B552D" w:rsidRPr="00F96C4E" w:rsidTr="00C02A28">
        <w:trPr>
          <w:trHeight w:val="4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B552D" w:rsidRPr="00F96C4E" w:rsidRDefault="00DE7162" w:rsidP="000263CA">
            <w:pPr>
              <w:rPr>
                <w:lang w:val="ro-RO"/>
              </w:rPr>
            </w:pPr>
            <w:r w:rsidRPr="00F96C4E">
              <w:rPr>
                <w:b/>
                <w:bCs/>
                <w:lang w:val="ro-RO"/>
              </w:rPr>
              <w:t>5</w:t>
            </w:r>
            <w:r w:rsidR="006B552D" w:rsidRPr="00F96C4E">
              <w:rPr>
                <w:b/>
                <w:bCs/>
                <w:lang w:val="ro-RO"/>
              </w:rPr>
              <w:t xml:space="preserve">. Implementarea şi monitorizarea </w:t>
            </w:r>
          </w:p>
        </w:tc>
      </w:tr>
      <w:tr w:rsidR="000263CA" w:rsidRPr="00F96C4E" w:rsidTr="00C02A28">
        <w:trPr>
          <w:trHeight w:val="4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0263CA" w:rsidRPr="00F96C4E" w:rsidRDefault="000263CA" w:rsidP="003E5DBA">
            <w:pPr>
              <w:tabs>
                <w:tab w:val="left" w:pos="2265"/>
              </w:tabs>
              <w:jc w:val="both"/>
              <w:rPr>
                <w:bCs/>
                <w:lang w:val="ro-RO"/>
              </w:rPr>
            </w:pPr>
            <w:r w:rsidRPr="00F96C4E">
              <w:rPr>
                <w:bCs/>
                <w:lang w:val="ro-RO"/>
              </w:rPr>
              <w:t>a) Descrieți cum va fi organizată implementarea opțiunii recomandate,</w:t>
            </w:r>
            <w:r w:rsidR="00EC482D" w:rsidRPr="00F96C4E">
              <w:rPr>
                <w:bCs/>
                <w:lang w:val="ro-RO"/>
              </w:rPr>
              <w:t xml:space="preserve"> </w:t>
            </w:r>
            <w:r w:rsidRPr="00F96C4E">
              <w:rPr>
                <w:bCs/>
                <w:lang w:val="ro-RO"/>
              </w:rPr>
              <w:t xml:space="preserve">ce cadru juridic necesită a fi modificat și/sau elaborat și aprobat, ce schimbări instituționale sînt necesare  </w:t>
            </w:r>
          </w:p>
        </w:tc>
      </w:tr>
      <w:tr w:rsidR="000263CA" w:rsidRPr="00F96C4E" w:rsidTr="00C02A28">
        <w:trPr>
          <w:trHeight w:val="921"/>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633D9F" w:rsidRDefault="007E659C" w:rsidP="00EC63E8">
            <w:pPr>
              <w:ind w:right="239" w:firstLine="111"/>
              <w:rPr>
                <w:bCs/>
                <w:lang w:val="ro-RO"/>
              </w:rPr>
            </w:pPr>
            <w:r w:rsidRPr="00F96C4E">
              <w:rPr>
                <w:bCs/>
                <w:lang w:val="ro-RO"/>
              </w:rPr>
              <w:t>Pentru implementarea opțiunii recomandate</w:t>
            </w:r>
            <w:r w:rsidRPr="00F96C4E">
              <w:rPr>
                <w:lang w:val="ro-RO"/>
              </w:rPr>
              <w:t xml:space="preserve"> nu </w:t>
            </w:r>
            <w:r w:rsidRPr="00F96C4E">
              <w:rPr>
                <w:bCs/>
                <w:lang w:val="ro-RO"/>
              </w:rPr>
              <w:t xml:space="preserve">sînt necesare schimbări instituționale. </w:t>
            </w:r>
          </w:p>
          <w:p w:rsidR="00633D9F" w:rsidRDefault="008334BD" w:rsidP="00EC63E8">
            <w:pPr>
              <w:ind w:right="239" w:firstLine="111"/>
              <w:rPr>
                <w:bCs/>
                <w:lang w:val="ro-RO"/>
              </w:rPr>
            </w:pPr>
            <w:r>
              <w:rPr>
                <w:bCs/>
                <w:lang w:val="ro-RO"/>
              </w:rPr>
              <w:t>În baza hotărârii</w:t>
            </w:r>
            <w:r w:rsidRPr="008334BD">
              <w:rPr>
                <w:bCs/>
                <w:lang w:val="ro-RO"/>
              </w:rPr>
              <w:t xml:space="preserve"> în cauză vor fi întreprinse următoarele activități:</w:t>
            </w:r>
          </w:p>
          <w:p w:rsidR="00633D9F" w:rsidRDefault="005B4CE8" w:rsidP="00EC63E8">
            <w:pPr>
              <w:pStyle w:val="ListParagraph"/>
              <w:numPr>
                <w:ilvl w:val="0"/>
                <w:numId w:val="21"/>
              </w:numPr>
              <w:ind w:right="239"/>
              <w:jc w:val="both"/>
              <w:rPr>
                <w:bCs/>
                <w:lang w:val="ro-RO"/>
              </w:rPr>
            </w:pPr>
            <w:r>
              <w:rPr>
                <w:bCs/>
                <w:lang w:val="ro-RO"/>
              </w:rPr>
              <w:t>e</w:t>
            </w:r>
            <w:r w:rsidRPr="005B4CE8">
              <w:rPr>
                <w:bCs/>
                <w:lang w:val="ro-RO"/>
              </w:rPr>
              <w:t>laborarea și aprobarea listei standardelor moldovenești care adoptă standarde europene armonizate  ale căror referințe au fost publicate în Jurnalul Oficial al Uniunii Europene</w:t>
            </w:r>
            <w:r>
              <w:rPr>
                <w:bCs/>
                <w:lang w:val="ro-RO"/>
              </w:rPr>
              <w:t xml:space="preserve"> pentru EIP;</w:t>
            </w:r>
          </w:p>
          <w:p w:rsidR="005B4CE8" w:rsidRDefault="005B4CE8" w:rsidP="00EC63E8">
            <w:pPr>
              <w:pStyle w:val="ListParagraph"/>
              <w:numPr>
                <w:ilvl w:val="0"/>
                <w:numId w:val="21"/>
              </w:numPr>
              <w:ind w:right="239"/>
              <w:jc w:val="both"/>
              <w:rPr>
                <w:bCs/>
                <w:lang w:val="ro-RO"/>
              </w:rPr>
            </w:pPr>
            <w:r>
              <w:rPr>
                <w:bCs/>
                <w:lang w:val="ro-RO"/>
              </w:rPr>
              <w:t>dezvoltarea organismelor</w:t>
            </w:r>
            <w:r w:rsidRPr="005B4CE8">
              <w:rPr>
                <w:bCs/>
                <w:lang w:val="ro-RO"/>
              </w:rPr>
              <w:t xml:space="preserve"> de evaluare a conformității</w:t>
            </w:r>
            <w:r>
              <w:rPr>
                <w:bCs/>
                <w:lang w:val="ro-RO"/>
              </w:rPr>
              <w:t xml:space="preserve"> existențe pentru a </w:t>
            </w:r>
            <w:r w:rsidRPr="005B4CE8">
              <w:rPr>
                <w:bCs/>
                <w:lang w:val="ro-RO"/>
              </w:rPr>
              <w:t xml:space="preserve"> efectua sarcinile de evaluare a conformității EIP ca părți terțe</w:t>
            </w:r>
            <w:r>
              <w:rPr>
                <w:bCs/>
                <w:lang w:val="ro-RO"/>
              </w:rPr>
              <w:t>;</w:t>
            </w:r>
          </w:p>
          <w:p w:rsidR="005B4CE8" w:rsidRPr="005B4CE8" w:rsidRDefault="005B4CE8" w:rsidP="00EC63E8">
            <w:pPr>
              <w:ind w:left="111" w:right="97"/>
              <w:jc w:val="both"/>
              <w:rPr>
                <w:bCs/>
                <w:lang w:val="ro-RO"/>
              </w:rPr>
            </w:pPr>
            <w:r>
              <w:rPr>
                <w:bCs/>
                <w:lang w:val="ro-RO"/>
              </w:rPr>
              <w:t xml:space="preserve">Conform art.16 din Legea 235/2011 organismele </w:t>
            </w:r>
            <w:r w:rsidRPr="005B4CE8">
              <w:rPr>
                <w:bCs/>
                <w:lang w:val="ro-RO"/>
              </w:rPr>
              <w:t xml:space="preserve"> de evaluare a conformităţii informează autoritatea cu funcţii de reglementare despre:</w:t>
            </w:r>
          </w:p>
          <w:p w:rsidR="005B4CE8" w:rsidRPr="005B4CE8" w:rsidRDefault="005B4CE8" w:rsidP="00EC63E8">
            <w:pPr>
              <w:ind w:left="111" w:right="97"/>
              <w:jc w:val="both"/>
              <w:rPr>
                <w:bCs/>
                <w:lang w:val="ro-RO"/>
              </w:rPr>
            </w:pPr>
            <w:r>
              <w:rPr>
                <w:bCs/>
                <w:lang w:val="ro-RO"/>
              </w:rPr>
              <w:t xml:space="preserve">                 a) orice refuz, restricț</w:t>
            </w:r>
            <w:r w:rsidRPr="005B4CE8">
              <w:rPr>
                <w:bCs/>
                <w:lang w:val="ro-RO"/>
              </w:rPr>
              <w:t>ie, suspendare sau retragere a certificatelor;</w:t>
            </w:r>
          </w:p>
          <w:p w:rsidR="005B4CE8" w:rsidRPr="005B4CE8" w:rsidRDefault="005B4CE8" w:rsidP="00EC63E8">
            <w:pPr>
              <w:ind w:left="111" w:right="97"/>
              <w:jc w:val="both"/>
              <w:rPr>
                <w:bCs/>
                <w:lang w:val="ro-RO"/>
              </w:rPr>
            </w:pPr>
            <w:r>
              <w:rPr>
                <w:bCs/>
                <w:lang w:val="ro-RO"/>
              </w:rPr>
              <w:t xml:space="preserve">                 b) circumstanț</w:t>
            </w:r>
            <w:r w:rsidRPr="005B4CE8">
              <w:rPr>
                <w:bCs/>
                <w:lang w:val="ro-RO"/>
              </w:rPr>
              <w:t>ele care afectează scopul şi condiţiile recunoaşterii de către autorităţile cu funcţii de reglementare;</w:t>
            </w:r>
          </w:p>
          <w:p w:rsidR="005B4CE8" w:rsidRPr="005B4CE8" w:rsidRDefault="005B4CE8" w:rsidP="00EC63E8">
            <w:pPr>
              <w:ind w:left="111" w:right="97"/>
              <w:jc w:val="both"/>
              <w:rPr>
                <w:bCs/>
                <w:lang w:val="ro-RO"/>
              </w:rPr>
            </w:pPr>
            <w:r>
              <w:rPr>
                <w:bCs/>
                <w:lang w:val="ro-RO"/>
              </w:rPr>
              <w:lastRenderedPageBreak/>
              <w:t xml:space="preserve">                 </w:t>
            </w:r>
            <w:r w:rsidRPr="005B4CE8">
              <w:rPr>
                <w:bCs/>
                <w:lang w:val="ro-RO"/>
              </w:rPr>
              <w:t>c) orice cerere de informare cu privire la activităţile de evaluare a conformităţii, primită de la autorităţile de supraveghere a pieţei;</w:t>
            </w:r>
          </w:p>
          <w:p w:rsidR="005B4CE8" w:rsidRPr="005B4CE8" w:rsidRDefault="005B4CE8" w:rsidP="00EC63E8">
            <w:pPr>
              <w:ind w:left="111" w:right="97"/>
              <w:jc w:val="both"/>
              <w:rPr>
                <w:bCs/>
                <w:lang w:val="ro-RO"/>
              </w:rPr>
            </w:pPr>
            <w:r>
              <w:rPr>
                <w:bCs/>
                <w:lang w:val="ro-RO"/>
              </w:rPr>
              <w:t xml:space="preserve">                 </w:t>
            </w:r>
            <w:r w:rsidRPr="005B4CE8">
              <w:rPr>
                <w:bCs/>
                <w:lang w:val="ro-RO"/>
              </w:rPr>
              <w:t>d) activităţile de evaluare a conformităţii, realizate în limita domeniului recunoaşterii în vederea notificării, şi despre orice alte activităţi realizate, inclusiv transfrontaliere şi subcontractare.</w:t>
            </w:r>
          </w:p>
          <w:p w:rsidR="00430A47" w:rsidRPr="00F96C4E" w:rsidRDefault="005B4CE8" w:rsidP="00EC63E8">
            <w:pPr>
              <w:rPr>
                <w:bCs/>
                <w:lang w:val="ro-RO"/>
              </w:rPr>
            </w:pPr>
            <w:r>
              <w:rPr>
                <w:bCs/>
                <w:lang w:val="ro-RO"/>
              </w:rPr>
              <w:t xml:space="preserve">Prevederea menționată va fi un </w:t>
            </w:r>
            <w:r w:rsidR="00EC63E8">
              <w:rPr>
                <w:bCs/>
                <w:lang w:val="ro-RO"/>
              </w:rPr>
              <w:t>instrument eficient pentru monitorizarea implementării prevederilor hotărârii de Guvern propuse spre aprobare.</w:t>
            </w:r>
          </w:p>
        </w:tc>
      </w:tr>
      <w:tr w:rsidR="000263CA" w:rsidRPr="00F96C4E" w:rsidTr="00C02A28">
        <w:trPr>
          <w:trHeight w:val="4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0263CA" w:rsidRPr="00F96C4E" w:rsidRDefault="000263CA" w:rsidP="000263CA">
            <w:pPr>
              <w:tabs>
                <w:tab w:val="left" w:pos="2025"/>
              </w:tabs>
              <w:rPr>
                <w:bCs/>
                <w:lang w:val="ro-RO"/>
              </w:rPr>
            </w:pPr>
            <w:r w:rsidRPr="00F96C4E">
              <w:rPr>
                <w:bCs/>
                <w:lang w:val="ro-RO"/>
              </w:rPr>
              <w:lastRenderedPageBreak/>
              <w:t>b) Indicați clar indicatorii de performanță în baza cărora se va efectua monitorizarea</w:t>
            </w:r>
          </w:p>
        </w:tc>
      </w:tr>
      <w:tr w:rsidR="000263CA" w:rsidRPr="00F96C4E" w:rsidTr="00C02A28">
        <w:trPr>
          <w:trHeight w:val="4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4B521E" w:rsidRDefault="00EC63E8" w:rsidP="00B91E70">
            <w:pPr>
              <w:ind w:firstLine="307"/>
              <w:jc w:val="both"/>
              <w:rPr>
                <w:lang w:val="ro-RO"/>
              </w:rPr>
            </w:pPr>
            <w:r>
              <w:rPr>
                <w:lang w:val="ro-RO"/>
              </w:rPr>
              <w:t>În c</w:t>
            </w:r>
            <w:r w:rsidR="003E5DBA" w:rsidRPr="00F96C4E">
              <w:rPr>
                <w:lang w:val="ro-RO"/>
              </w:rPr>
              <w:t xml:space="preserve">alitate de indicatori de performanţă </w:t>
            </w:r>
            <w:r>
              <w:rPr>
                <w:lang w:val="ro-RO"/>
              </w:rPr>
              <w:t>pot fi:</w:t>
            </w:r>
          </w:p>
          <w:p w:rsidR="00C31EE7" w:rsidRPr="00C31EE7" w:rsidRDefault="00C31EE7" w:rsidP="00C31EE7">
            <w:pPr>
              <w:pStyle w:val="ListParagraph"/>
              <w:numPr>
                <w:ilvl w:val="0"/>
                <w:numId w:val="21"/>
              </w:numPr>
              <w:jc w:val="both"/>
              <w:rPr>
                <w:lang w:val="ro-RO"/>
              </w:rPr>
            </w:pPr>
            <w:r>
              <w:rPr>
                <w:lang w:val="ro-RO"/>
              </w:rPr>
              <w:t xml:space="preserve">ponderea </w:t>
            </w:r>
            <w:r w:rsidRPr="00C31EE7">
              <w:rPr>
                <w:lang w:val="ro-RO"/>
              </w:rPr>
              <w:t xml:space="preserve"> de EIP puse la dispoziție pe piață,  care nu asigură un nivel adecvat de protecție</w:t>
            </w:r>
          </w:p>
          <w:p w:rsidR="00EC63E8" w:rsidRDefault="00EC63E8" w:rsidP="00EC63E8">
            <w:pPr>
              <w:pStyle w:val="NormalWeb"/>
              <w:numPr>
                <w:ilvl w:val="0"/>
                <w:numId w:val="21"/>
              </w:numPr>
              <w:ind w:right="141"/>
              <w:rPr>
                <w:lang w:val="ro-RO"/>
              </w:rPr>
            </w:pPr>
            <w:r>
              <w:rPr>
                <w:lang w:val="ro-RO"/>
              </w:rPr>
              <w:t>n</w:t>
            </w:r>
            <w:r w:rsidRPr="006401A0">
              <w:rPr>
                <w:lang w:val="ro-RO"/>
              </w:rPr>
              <w:t xml:space="preserve">umărul </w:t>
            </w:r>
            <w:r w:rsidRPr="00EC63E8">
              <w:rPr>
                <w:lang w:val="ro-RO"/>
              </w:rPr>
              <w:t>accidentați</w:t>
            </w:r>
            <w:r>
              <w:rPr>
                <w:lang w:val="ro-RO"/>
              </w:rPr>
              <w:t>lor</w:t>
            </w:r>
            <w:r w:rsidRPr="00EC63E8">
              <w:rPr>
                <w:lang w:val="ro-RO"/>
              </w:rPr>
              <w:t xml:space="preserve"> proveniți din accidente de muncă </w:t>
            </w:r>
            <w:r>
              <w:rPr>
                <w:lang w:val="ro-RO"/>
              </w:rPr>
              <w:t>(în scădere) corelat cu numărul total de angajați în industria corespunzătoare.</w:t>
            </w:r>
          </w:p>
          <w:p w:rsidR="00EC63E8" w:rsidRPr="00F96C4E" w:rsidRDefault="00EC63E8" w:rsidP="005F4E5A">
            <w:pPr>
              <w:pStyle w:val="NormalWeb"/>
              <w:numPr>
                <w:ilvl w:val="0"/>
                <w:numId w:val="21"/>
              </w:numPr>
              <w:ind w:right="141"/>
              <w:rPr>
                <w:lang w:val="ro-RO"/>
              </w:rPr>
            </w:pPr>
            <w:r w:rsidRPr="00EC63E8">
              <w:rPr>
                <w:lang w:val="ro-RO"/>
              </w:rPr>
              <w:t xml:space="preserve">numărul de sancțiuni și măsuri restrictive aplicate de </w:t>
            </w:r>
            <w:r w:rsidR="005F4E5A">
              <w:rPr>
                <w:lang w:val="ro-RO"/>
              </w:rPr>
              <w:t>organul de supraveghere a pieței</w:t>
            </w:r>
          </w:p>
        </w:tc>
      </w:tr>
      <w:tr w:rsidR="000263CA" w:rsidRPr="00F96C4E" w:rsidTr="00C02A28">
        <w:trPr>
          <w:trHeight w:val="4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0263CA" w:rsidRPr="00F96C4E" w:rsidRDefault="000263CA" w:rsidP="000263CA">
            <w:pPr>
              <w:rPr>
                <w:lang w:val="ro-RO"/>
              </w:rPr>
            </w:pPr>
            <w:r w:rsidRPr="00F96C4E">
              <w:rPr>
                <w:lang w:val="ro-RO"/>
              </w:rPr>
              <w:t xml:space="preserve">c) Identificați peste cît timp vor fi resimțite impacturile estimate și este necesară evaluarea performanței actului normativ propus. Explicați cum va fi monitorizată şi evaluată </w:t>
            </w:r>
            <w:r w:rsidR="008377CB" w:rsidRPr="00F96C4E">
              <w:rPr>
                <w:lang w:val="ro-RO"/>
              </w:rPr>
              <w:t>opțiunea</w:t>
            </w:r>
            <w:r w:rsidR="00B84A3A" w:rsidRPr="00F96C4E">
              <w:rPr>
                <w:lang w:val="ro-RO"/>
              </w:rPr>
              <w:t>.</w:t>
            </w:r>
          </w:p>
        </w:tc>
      </w:tr>
      <w:tr w:rsidR="006B552D" w:rsidRPr="00F96C4E" w:rsidTr="00C02A28">
        <w:trPr>
          <w:trHeight w:val="264"/>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B552D" w:rsidRPr="00F96C4E" w:rsidRDefault="00EC63E8" w:rsidP="00EC63E8">
            <w:pPr>
              <w:jc w:val="both"/>
              <w:rPr>
                <w:lang w:val="ro-RO"/>
              </w:rPr>
            </w:pPr>
            <w:r w:rsidRPr="00EC63E8">
              <w:rPr>
                <w:lang w:val="ro-RO"/>
              </w:rPr>
              <w:t>Posibilitatea colectării</w:t>
            </w:r>
            <w:r>
              <w:rPr>
                <w:lang w:val="ro-RO"/>
              </w:rPr>
              <w:t xml:space="preserve"> </w:t>
            </w:r>
            <w:r w:rsidRPr="00EC63E8">
              <w:rPr>
                <w:lang w:val="ro-RO"/>
              </w:rPr>
              <w:t xml:space="preserve">  indicatorilor de performanță </w:t>
            </w:r>
            <w:r>
              <w:rPr>
                <w:lang w:val="ro-RO"/>
              </w:rPr>
              <w:t xml:space="preserve">menționați la </w:t>
            </w:r>
            <w:proofErr w:type="spellStart"/>
            <w:r>
              <w:rPr>
                <w:lang w:val="ro-RO"/>
              </w:rPr>
              <w:t>lit.b</w:t>
            </w:r>
            <w:proofErr w:type="spellEnd"/>
            <w:r>
              <w:rPr>
                <w:lang w:val="ro-RO"/>
              </w:rPr>
              <w:t xml:space="preserve">) </w:t>
            </w:r>
            <w:r w:rsidRPr="00EC63E8">
              <w:rPr>
                <w:lang w:val="ro-RO"/>
              </w:rPr>
              <w:t xml:space="preserve"> va apărea peste un an de la intrarea în vigoare a proiectului de</w:t>
            </w:r>
            <w:r>
              <w:rPr>
                <w:lang w:val="ro-RO"/>
              </w:rPr>
              <w:t xml:space="preserve"> hotărâre. </w:t>
            </w:r>
            <w:r w:rsidRPr="00EC63E8">
              <w:rPr>
                <w:lang w:val="ro-RO"/>
              </w:rPr>
              <w:t>În paralel este important de organizat sondaje și mese rotunde cu agenții economici pentru a putea stabili schimbarea percepției.</w:t>
            </w:r>
          </w:p>
        </w:tc>
      </w:tr>
      <w:tr w:rsidR="0058391B"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0263CA" w:rsidP="006B552D">
            <w:pPr>
              <w:rPr>
                <w:lang w:val="ro-RO"/>
              </w:rPr>
            </w:pPr>
            <w:r w:rsidRPr="00F96C4E">
              <w:rPr>
                <w:b/>
                <w:bCs/>
                <w:lang w:val="ro-RO"/>
              </w:rPr>
              <w:t>6</w:t>
            </w:r>
            <w:r w:rsidR="0058391B" w:rsidRPr="00F96C4E">
              <w:rPr>
                <w:b/>
                <w:bCs/>
                <w:lang w:val="ro-RO"/>
              </w:rPr>
              <w:t>. Consultarea</w:t>
            </w:r>
          </w:p>
        </w:tc>
      </w:tr>
      <w:tr w:rsidR="000263CA" w:rsidRPr="00F96C4E" w:rsidTr="005D742B">
        <w:trPr>
          <w:trHeight w:val="402"/>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263CA" w:rsidRPr="00F96C4E" w:rsidRDefault="000263CA" w:rsidP="006B552D">
            <w:pPr>
              <w:rPr>
                <w:bCs/>
                <w:lang w:val="ro-RO"/>
              </w:rPr>
            </w:pPr>
            <w:r w:rsidRPr="00F96C4E">
              <w:rPr>
                <w:bCs/>
                <w:lang w:val="ro-RO"/>
              </w:rPr>
              <w:t>a) Identificați principalele părţi (grupuri) interesate în intervenţia propusă</w:t>
            </w:r>
          </w:p>
        </w:tc>
      </w:tr>
      <w:tr w:rsidR="000263CA" w:rsidRPr="00F96C4E" w:rsidTr="00C02A28">
        <w:trPr>
          <w:trHeight w:val="786"/>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263CA" w:rsidRPr="00F96C4E" w:rsidRDefault="00B84A3A" w:rsidP="00B84A3A">
            <w:pPr>
              <w:ind w:firstLine="381"/>
              <w:rPr>
                <w:lang w:val="ro-RO"/>
              </w:rPr>
            </w:pPr>
            <w:r w:rsidRPr="00F96C4E">
              <w:rPr>
                <w:lang w:val="ro-RO"/>
              </w:rPr>
              <w:t>Principalele grupuri de interese:</w:t>
            </w:r>
          </w:p>
          <w:p w:rsidR="00F81171" w:rsidRPr="00F96C4E" w:rsidRDefault="00F81171" w:rsidP="00F81171">
            <w:pPr>
              <w:pStyle w:val="NormalWeb"/>
              <w:ind w:left="57" w:right="97" w:firstLine="323"/>
              <w:rPr>
                <w:lang w:val="ro-RO"/>
              </w:rPr>
            </w:pPr>
            <w:r w:rsidRPr="00F96C4E">
              <w:rPr>
                <w:lang w:val="ro-RO"/>
              </w:rPr>
              <w:t>1. Autoritățile publice și autoritățile cu funcții de control</w:t>
            </w:r>
            <w:r w:rsidR="001D0C05" w:rsidRPr="00F96C4E">
              <w:rPr>
                <w:lang w:val="ro-RO"/>
              </w:rPr>
              <w:t xml:space="preserve"> și instituții publice</w:t>
            </w:r>
            <w:r w:rsidRPr="00F96C4E">
              <w:rPr>
                <w:lang w:val="ro-RO"/>
              </w:rPr>
              <w:t xml:space="preserve">: Ministerul Sănătății, </w:t>
            </w:r>
            <w:r w:rsidR="005F4E5A">
              <w:rPr>
                <w:lang w:val="ro-RO"/>
              </w:rPr>
              <w:t xml:space="preserve">Ministerul </w:t>
            </w:r>
            <w:r w:rsidRPr="00F96C4E">
              <w:rPr>
                <w:lang w:val="ro-RO"/>
              </w:rPr>
              <w:t>Muncii și Protecției Sociale, Ministerul Afacerilor Interne,  Centrul Național de Acreditare MOLDAC</w:t>
            </w:r>
            <w:r w:rsidR="005D742B">
              <w:rPr>
                <w:lang w:val="ro-RO"/>
              </w:rPr>
              <w:t xml:space="preserve">, </w:t>
            </w:r>
            <w:r w:rsidRPr="00F96C4E">
              <w:rPr>
                <w:lang w:val="ro-RO"/>
              </w:rPr>
              <w:t>Institutul de Standardizare din Moldova</w:t>
            </w:r>
            <w:r w:rsidR="005D742B">
              <w:rPr>
                <w:lang w:val="ro-RO"/>
              </w:rPr>
              <w:t xml:space="preserve">, Agenția pentru </w:t>
            </w:r>
            <w:r w:rsidR="005F4E5A">
              <w:rPr>
                <w:lang w:val="ro-RO"/>
              </w:rPr>
              <w:t>Protecția Consumatorilor și Supravegherea Pieței</w:t>
            </w:r>
            <w:r w:rsidRPr="00F96C4E">
              <w:rPr>
                <w:lang w:val="ro-RO"/>
              </w:rPr>
              <w:t xml:space="preserve">. </w:t>
            </w:r>
          </w:p>
          <w:p w:rsidR="005D742B" w:rsidRPr="00F96C4E" w:rsidRDefault="00F81171" w:rsidP="005D742B">
            <w:pPr>
              <w:pStyle w:val="NormalWeb"/>
              <w:ind w:right="97" w:firstLine="291"/>
              <w:rPr>
                <w:lang w:val="ro-RO"/>
              </w:rPr>
            </w:pPr>
            <w:r w:rsidRPr="00F96C4E">
              <w:rPr>
                <w:lang w:val="ro-RO"/>
              </w:rPr>
              <w:t xml:space="preserve">2. </w:t>
            </w:r>
            <w:r w:rsidR="005D742B">
              <w:rPr>
                <w:lang w:val="ro-RO"/>
              </w:rPr>
              <w:t xml:space="preserve">Agenții economici: </w:t>
            </w:r>
            <w:r w:rsidR="005D742B">
              <w:rPr>
                <w:bCs/>
                <w:lang w:val="ro-RO"/>
              </w:rPr>
              <w:t>producătorii, reprezentanții autorizați, importatorii, distribuitorii de EIP</w:t>
            </w:r>
            <w:r w:rsidR="005D742B" w:rsidRPr="00F96C4E">
              <w:rPr>
                <w:bCs/>
                <w:lang w:val="ro-RO"/>
              </w:rPr>
              <w:t>.</w:t>
            </w:r>
          </w:p>
          <w:p w:rsidR="00B84A3A" w:rsidRPr="00F96C4E" w:rsidRDefault="009F1E95" w:rsidP="009F1E95">
            <w:pPr>
              <w:pStyle w:val="NormalWeb"/>
              <w:ind w:left="57" w:right="97" w:firstLine="323"/>
              <w:rPr>
                <w:b/>
                <w:bCs/>
                <w:lang w:val="ro-RO"/>
              </w:rPr>
            </w:pPr>
            <w:r w:rsidRPr="00F96C4E">
              <w:rPr>
                <w:lang w:val="ro-RO" w:eastAsia="ar-SA"/>
              </w:rPr>
              <w:t xml:space="preserve"> </w:t>
            </w:r>
          </w:p>
        </w:tc>
      </w:tr>
      <w:tr w:rsidR="000263C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263CA" w:rsidRPr="009B589A" w:rsidRDefault="000263CA" w:rsidP="000263CA">
            <w:pPr>
              <w:rPr>
                <w:i/>
                <w:lang w:val="ro-RO"/>
              </w:rPr>
            </w:pPr>
            <w:r w:rsidRPr="009B589A">
              <w:rPr>
                <w:i/>
                <w:lang w:val="ro-RO"/>
              </w:rPr>
              <w:t>b) Explicați succint cum (prin ce metode) s-a asigurat consultarea adecvată a părţilor</w:t>
            </w:r>
          </w:p>
        </w:tc>
      </w:tr>
      <w:tr w:rsidR="000263CA" w:rsidRPr="00F96C4E" w:rsidTr="00C02A28">
        <w:trPr>
          <w:trHeight w:val="759"/>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742B" w:rsidRDefault="009146BD" w:rsidP="009146BD">
            <w:pPr>
              <w:pStyle w:val="NormalWeb"/>
              <w:ind w:left="57" w:right="97" w:firstLine="323"/>
              <w:rPr>
                <w:bCs/>
                <w:lang w:val="ro-RO"/>
              </w:rPr>
            </w:pPr>
            <w:r w:rsidRPr="00F96C4E">
              <w:rPr>
                <w:lang w:val="ro-RO"/>
              </w:rPr>
              <w:t>Consultarea a fost demarată prin publicarea</w:t>
            </w:r>
            <w:r w:rsidR="00B84DCA" w:rsidRPr="00F96C4E">
              <w:rPr>
                <w:lang w:val="ro-RO"/>
              </w:rPr>
              <w:t>, la</w:t>
            </w:r>
            <w:r w:rsidR="005D742B">
              <w:rPr>
                <w:lang w:val="ro-RO"/>
              </w:rPr>
              <w:t xml:space="preserve"> </w:t>
            </w:r>
            <w:r w:rsidR="00C625C0">
              <w:rPr>
                <w:lang w:val="ro-RO"/>
              </w:rPr>
              <w:t>05.04.2021</w:t>
            </w:r>
            <w:r w:rsidR="00B84DCA" w:rsidRPr="00F96C4E">
              <w:rPr>
                <w:lang w:val="ro-RO"/>
              </w:rPr>
              <w:t>,</w:t>
            </w:r>
            <w:r w:rsidRPr="00F96C4E">
              <w:rPr>
                <w:lang w:val="ro-RO"/>
              </w:rPr>
              <w:t xml:space="preserve"> pe pagina web oficială a Ministerului Economiei și </w:t>
            </w:r>
            <w:r w:rsidR="00B84DCA" w:rsidRPr="00F96C4E">
              <w:rPr>
                <w:lang w:val="ro-RO"/>
              </w:rPr>
              <w:t>Infrastructurii, compartimentul ”Transparență decizională”, a</w:t>
            </w:r>
            <w:r w:rsidRPr="00F96C4E">
              <w:rPr>
                <w:lang w:val="ro-RO"/>
              </w:rPr>
              <w:t xml:space="preserve"> anunțulu</w:t>
            </w:r>
            <w:r w:rsidR="00B84DCA" w:rsidRPr="00F96C4E">
              <w:rPr>
                <w:lang w:val="ro-RO"/>
              </w:rPr>
              <w:t>i</w:t>
            </w:r>
            <w:r w:rsidRPr="00F96C4E">
              <w:rPr>
                <w:lang w:val="ro-RO"/>
              </w:rPr>
              <w:t xml:space="preserve"> cu privire la </w:t>
            </w:r>
            <w:r w:rsidR="00C625C0">
              <w:rPr>
                <w:lang w:val="ro-RO"/>
              </w:rPr>
              <w:t>iniț</w:t>
            </w:r>
            <w:r w:rsidR="00B84DCA" w:rsidRPr="00F96C4E">
              <w:rPr>
                <w:lang w:val="ro-RO"/>
              </w:rPr>
              <w:t xml:space="preserve">ierea elaborării proiectului </w:t>
            </w:r>
            <w:r w:rsidR="005D742B" w:rsidRPr="00F96C4E">
              <w:rPr>
                <w:bCs/>
                <w:lang w:val="ro-RO"/>
              </w:rPr>
              <w:t>Hotărârii Guvernului pentru</w:t>
            </w:r>
            <w:r w:rsidR="005D742B">
              <w:t xml:space="preserve"> </w:t>
            </w:r>
            <w:r w:rsidR="005D742B" w:rsidRPr="00BB200F">
              <w:rPr>
                <w:bCs/>
                <w:lang w:val="ro-RO"/>
              </w:rPr>
              <w:t>aprobarea Reglementării tehnice  privind echipamentele individuale de protecție</w:t>
            </w:r>
            <w:r w:rsidR="005D742B">
              <w:rPr>
                <w:bCs/>
                <w:lang w:val="ro-RO"/>
              </w:rPr>
              <w:t>.</w:t>
            </w:r>
          </w:p>
          <w:p w:rsidR="00C625C0" w:rsidRDefault="00C625C0" w:rsidP="009146BD">
            <w:pPr>
              <w:pStyle w:val="NormalWeb"/>
              <w:ind w:left="57" w:right="97" w:firstLine="323"/>
              <w:rPr>
                <w:lang w:val="ro-RO"/>
              </w:rPr>
            </w:pPr>
            <w:r>
              <w:rPr>
                <w:bCs/>
                <w:lang w:val="ro-RO"/>
              </w:rPr>
              <w:t>La data de 0</w:t>
            </w:r>
            <w:r w:rsidR="00B41DB3">
              <w:rPr>
                <w:bCs/>
                <w:lang w:val="ro-RO"/>
              </w:rPr>
              <w:t>9</w:t>
            </w:r>
            <w:bookmarkStart w:id="0" w:name="_GoBack"/>
            <w:bookmarkEnd w:id="0"/>
            <w:r>
              <w:rPr>
                <w:bCs/>
                <w:lang w:val="ro-RO"/>
              </w:rPr>
              <w:t xml:space="preserve">.09.2021 pe pagina web oficială a Ministerului Economiei, </w:t>
            </w:r>
            <w:r w:rsidRPr="00C625C0">
              <w:rPr>
                <w:bCs/>
                <w:lang w:val="ro-RO"/>
              </w:rPr>
              <w:t>compartimentul ”Transparență decizională”</w:t>
            </w:r>
            <w:r>
              <w:rPr>
                <w:bCs/>
                <w:lang w:val="ro-RO"/>
              </w:rPr>
              <w:t>, a fost publicat pentru consultare  analiza impactului de reglementare.</w:t>
            </w:r>
          </w:p>
          <w:p w:rsidR="005D742B" w:rsidRPr="00F96C4E" w:rsidRDefault="00B84DCA" w:rsidP="00C31EE7">
            <w:pPr>
              <w:pStyle w:val="NormalWeb"/>
              <w:ind w:left="57" w:right="97" w:firstLine="323"/>
              <w:rPr>
                <w:b/>
                <w:bCs/>
                <w:lang w:val="ro-RO"/>
              </w:rPr>
            </w:pPr>
            <w:r w:rsidRPr="00F96C4E">
              <w:rPr>
                <w:lang w:val="ro-RO"/>
              </w:rPr>
              <w:t xml:space="preserve">De asemenea </w:t>
            </w:r>
            <w:r w:rsidR="005D742B">
              <w:rPr>
                <w:lang w:val="ro-RO"/>
              </w:rPr>
              <w:t>urmare a d</w:t>
            </w:r>
            <w:r w:rsidRPr="00F96C4E">
              <w:rPr>
                <w:lang w:val="ro-RO"/>
              </w:rPr>
              <w:t>e</w:t>
            </w:r>
            <w:r w:rsidR="005D742B">
              <w:rPr>
                <w:lang w:val="ro-RO"/>
              </w:rPr>
              <w:t>me</w:t>
            </w:r>
            <w:r w:rsidRPr="00F96C4E">
              <w:rPr>
                <w:lang w:val="ro-RO"/>
              </w:rPr>
              <w:t>rsu</w:t>
            </w:r>
            <w:r w:rsidR="005D742B">
              <w:rPr>
                <w:lang w:val="ro-RO"/>
              </w:rPr>
              <w:t>rilor nr.41/2154 din 24.06.2020 și nr. 41/2277 din 03.07.2020 ale Ministerului Afacerilor Interne al Republicii Moldova</w:t>
            </w:r>
            <w:r w:rsidRPr="00F96C4E">
              <w:rPr>
                <w:lang w:val="ro-RO"/>
              </w:rPr>
              <w:t xml:space="preserve"> </w:t>
            </w:r>
            <w:r w:rsidR="005D742B">
              <w:rPr>
                <w:lang w:val="ro-RO"/>
              </w:rPr>
              <w:t>au fost organizate un șir de ședințe comune privind revizuirea integrală a legislației în domeniul EIP și atribuire</w:t>
            </w:r>
            <w:r w:rsidR="00C31EE7">
              <w:rPr>
                <w:lang w:val="ro-RO"/>
              </w:rPr>
              <w:t>a ME</w:t>
            </w:r>
            <w:r w:rsidR="005D742B">
              <w:rPr>
                <w:lang w:val="ro-RO"/>
              </w:rPr>
              <w:t xml:space="preserve"> a calității de autoritate </w:t>
            </w:r>
            <w:r w:rsidR="00C31EE7">
              <w:rPr>
                <w:lang w:val="ro-RO"/>
              </w:rPr>
              <w:t>de reglementare pentru domeniul</w:t>
            </w:r>
            <w:r w:rsidR="005D742B">
              <w:rPr>
                <w:lang w:val="ro-RO"/>
              </w:rPr>
              <w:t xml:space="preserve"> menționat</w:t>
            </w:r>
            <w:r w:rsidR="00C625C0">
              <w:rPr>
                <w:lang w:val="ro-RO"/>
              </w:rPr>
              <w:t>.</w:t>
            </w:r>
          </w:p>
        </w:tc>
      </w:tr>
      <w:tr w:rsidR="000263C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263CA" w:rsidRPr="00F96C4E" w:rsidRDefault="000263CA" w:rsidP="00DE797E">
            <w:pPr>
              <w:jc w:val="both"/>
              <w:rPr>
                <w:b/>
                <w:bCs/>
                <w:lang w:val="ro-RO"/>
              </w:rPr>
            </w:pPr>
            <w:r w:rsidRPr="00F96C4E">
              <w:rPr>
                <w:lang w:val="ro-RO"/>
              </w:rPr>
              <w:t xml:space="preserve">c) </w:t>
            </w:r>
            <w:r w:rsidRPr="009B589A">
              <w:rPr>
                <w:i/>
                <w:lang w:val="ro-RO"/>
              </w:rPr>
              <w:t>Expuneți succint poziţia fiecărei entităţi consultate față de documentul de analiză a impactului şi/sau intervenţia propusă (se expune poziția a cel puțin unui exponent din fiecare grup de interese identificat</w:t>
            </w:r>
            <w:r w:rsidRPr="00F96C4E">
              <w:rPr>
                <w:lang w:val="ro-RO"/>
              </w:rPr>
              <w:t>)</w:t>
            </w:r>
          </w:p>
        </w:tc>
      </w:tr>
      <w:tr w:rsidR="000263C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263CA" w:rsidRPr="009B589A" w:rsidRDefault="00CE3488" w:rsidP="009B589A">
            <w:pPr>
              <w:jc w:val="both"/>
              <w:rPr>
                <w:b/>
                <w:bCs/>
                <w:lang w:val="ro-RO"/>
              </w:rPr>
            </w:pPr>
            <w:r w:rsidRPr="009B589A">
              <w:rPr>
                <w:lang w:val="ro-RO"/>
              </w:rPr>
              <w:t xml:space="preserve">Comentariile, obiecţiile şi propunerile părţilor consultate </w:t>
            </w:r>
            <w:r w:rsidR="00733EEB" w:rsidRPr="009B589A">
              <w:rPr>
                <w:lang w:val="ro-RO"/>
              </w:rPr>
              <w:t>au fost</w:t>
            </w:r>
            <w:r w:rsidRPr="009B589A">
              <w:rPr>
                <w:lang w:val="ro-RO"/>
              </w:rPr>
              <w:t xml:space="preserve"> analizate şi luate în consideraţie la îmbunătăţirea proiectului actului normativ şi analizei impactului de reglementare. </w:t>
            </w:r>
          </w:p>
        </w:tc>
      </w:tr>
      <w:tr w:rsidR="000263C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DA5F19" w:rsidRPr="00F96C4E" w:rsidRDefault="000263CA" w:rsidP="00DA5F19">
            <w:pPr>
              <w:jc w:val="right"/>
              <w:rPr>
                <w:b/>
                <w:bCs/>
                <w:lang w:val="ro-RO"/>
              </w:rPr>
            </w:pPr>
            <w:r w:rsidRPr="00F96C4E">
              <w:rPr>
                <w:b/>
                <w:bCs/>
                <w:lang w:val="ro-RO"/>
              </w:rPr>
              <w:t>Anexă</w:t>
            </w:r>
          </w:p>
          <w:p w:rsidR="000263CA" w:rsidRPr="00F96C4E" w:rsidRDefault="000263CA" w:rsidP="00DA5F19">
            <w:pPr>
              <w:jc w:val="center"/>
              <w:rPr>
                <w:lang w:val="ro-RO"/>
              </w:rPr>
            </w:pPr>
            <w:r w:rsidRPr="00F96C4E">
              <w:rPr>
                <w:b/>
                <w:bCs/>
                <w:lang w:val="ro-RO"/>
              </w:rPr>
              <w:t>Tabel pentru identificarea impacturilor</w:t>
            </w:r>
          </w:p>
        </w:tc>
      </w:tr>
      <w:tr w:rsidR="00D826C6" w:rsidRPr="00F96C4E" w:rsidTr="00C02A28">
        <w:trPr>
          <w:trHeight w:val="345"/>
        </w:trPr>
        <w:tc>
          <w:tcPr>
            <w:tcW w:w="2433" w:type="pct"/>
            <w:tcBorders>
              <w:top w:val="single" w:sz="6" w:space="0" w:color="000000"/>
              <w:left w:val="single" w:sz="6" w:space="0" w:color="000000"/>
              <w:bottom w:val="single" w:sz="4" w:space="0" w:color="auto"/>
              <w:right w:val="single" w:sz="4" w:space="0" w:color="auto"/>
            </w:tcBorders>
            <w:tcMar>
              <w:top w:w="15" w:type="dxa"/>
              <w:left w:w="45" w:type="dxa"/>
              <w:bottom w:w="15" w:type="dxa"/>
              <w:right w:w="45" w:type="dxa"/>
            </w:tcMar>
          </w:tcPr>
          <w:p w:rsidR="00D826C6" w:rsidRPr="00F96C4E" w:rsidRDefault="00D826C6" w:rsidP="00D826C6">
            <w:pPr>
              <w:jc w:val="center"/>
              <w:rPr>
                <w:b/>
                <w:bCs/>
                <w:lang w:val="ro-RO"/>
              </w:rPr>
            </w:pPr>
            <w:r w:rsidRPr="00F96C4E">
              <w:rPr>
                <w:b/>
                <w:bCs/>
                <w:lang w:val="ro-RO"/>
              </w:rPr>
              <w:t>Categorii de impact</w:t>
            </w:r>
          </w:p>
        </w:tc>
        <w:tc>
          <w:tcPr>
            <w:tcW w:w="2567" w:type="pct"/>
            <w:gridSpan w:val="3"/>
            <w:tcBorders>
              <w:top w:val="single" w:sz="6" w:space="0" w:color="000000"/>
              <w:left w:val="single" w:sz="4" w:space="0" w:color="auto"/>
              <w:bottom w:val="single" w:sz="4" w:space="0" w:color="auto"/>
              <w:right w:val="single" w:sz="6" w:space="0" w:color="000000"/>
            </w:tcBorders>
          </w:tcPr>
          <w:p w:rsidR="00D826C6" w:rsidRPr="00F96C4E" w:rsidRDefault="00D826C6" w:rsidP="00D826C6">
            <w:pPr>
              <w:jc w:val="center"/>
              <w:rPr>
                <w:b/>
                <w:bCs/>
                <w:lang w:val="ro-RO"/>
              </w:rPr>
            </w:pPr>
            <w:r w:rsidRPr="00F96C4E">
              <w:rPr>
                <w:b/>
                <w:lang w:val="ro-RO"/>
              </w:rPr>
              <w:t>Punctaj atribuit</w:t>
            </w:r>
          </w:p>
        </w:tc>
      </w:tr>
      <w:tr w:rsidR="00D826C6" w:rsidRPr="00F96C4E" w:rsidTr="00C02A28">
        <w:trPr>
          <w:trHeight w:val="390"/>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D826C6" w:rsidRPr="00F96C4E" w:rsidRDefault="00D826C6" w:rsidP="00D826C6">
            <w:pPr>
              <w:jc w:val="right"/>
              <w:rPr>
                <w:b/>
                <w:bCs/>
                <w:lang w:val="ro-RO"/>
              </w:rPr>
            </w:pPr>
          </w:p>
        </w:tc>
        <w:tc>
          <w:tcPr>
            <w:tcW w:w="783" w:type="pct"/>
            <w:tcBorders>
              <w:top w:val="single" w:sz="4" w:space="0" w:color="auto"/>
              <w:left w:val="single" w:sz="4" w:space="0" w:color="auto"/>
              <w:bottom w:val="single" w:sz="4" w:space="0" w:color="auto"/>
              <w:right w:val="single" w:sz="4" w:space="0" w:color="auto"/>
            </w:tcBorders>
          </w:tcPr>
          <w:p w:rsidR="00D826C6" w:rsidRPr="00F96C4E" w:rsidRDefault="00D826C6" w:rsidP="00D826C6">
            <w:pPr>
              <w:rPr>
                <w:i/>
                <w:lang w:val="ro-RO"/>
              </w:rPr>
            </w:pPr>
            <w:r w:rsidRPr="00F96C4E">
              <w:rPr>
                <w:i/>
                <w:lang w:val="ro-RO"/>
              </w:rPr>
              <w:t xml:space="preserve">Opțiunea </w:t>
            </w:r>
          </w:p>
          <w:p w:rsidR="00D826C6" w:rsidRPr="00F96C4E" w:rsidRDefault="00D826C6" w:rsidP="00D826C6">
            <w:pPr>
              <w:rPr>
                <w:i/>
                <w:lang w:val="ro-RO"/>
              </w:rPr>
            </w:pPr>
            <w:r w:rsidRPr="00F96C4E">
              <w:rPr>
                <w:i/>
                <w:lang w:val="ro-RO"/>
              </w:rPr>
              <w:t>propusă</w:t>
            </w:r>
          </w:p>
        </w:tc>
        <w:tc>
          <w:tcPr>
            <w:tcW w:w="737" w:type="pct"/>
            <w:tcBorders>
              <w:top w:val="single" w:sz="4" w:space="0" w:color="auto"/>
              <w:left w:val="single" w:sz="4" w:space="0" w:color="auto"/>
              <w:bottom w:val="single" w:sz="4" w:space="0" w:color="auto"/>
              <w:right w:val="single" w:sz="4" w:space="0" w:color="auto"/>
            </w:tcBorders>
          </w:tcPr>
          <w:p w:rsidR="00D826C6" w:rsidRPr="00F96C4E" w:rsidRDefault="00D826C6" w:rsidP="00D826C6">
            <w:pPr>
              <w:rPr>
                <w:bCs/>
                <w:i/>
                <w:lang w:val="ro-RO"/>
              </w:rPr>
            </w:pPr>
            <w:r w:rsidRPr="00F96C4E">
              <w:rPr>
                <w:bCs/>
                <w:i/>
                <w:lang w:val="ro-RO"/>
              </w:rPr>
              <w:t>Opțiunea alterativă 1</w:t>
            </w:r>
          </w:p>
        </w:tc>
        <w:tc>
          <w:tcPr>
            <w:tcW w:w="1047" w:type="pct"/>
            <w:tcBorders>
              <w:top w:val="single" w:sz="4" w:space="0" w:color="auto"/>
              <w:left w:val="single" w:sz="4" w:space="0" w:color="auto"/>
              <w:bottom w:val="single" w:sz="4" w:space="0" w:color="auto"/>
              <w:right w:val="single" w:sz="6" w:space="0" w:color="000000"/>
            </w:tcBorders>
          </w:tcPr>
          <w:p w:rsidR="00D826C6" w:rsidRPr="00F96C4E" w:rsidRDefault="00D826C6" w:rsidP="00D826C6">
            <w:pPr>
              <w:rPr>
                <w:bCs/>
                <w:i/>
                <w:lang w:val="ro-RO"/>
              </w:rPr>
            </w:pPr>
            <w:r w:rsidRPr="00F96C4E">
              <w:rPr>
                <w:bCs/>
                <w:i/>
                <w:lang w:val="ro-RO"/>
              </w:rPr>
              <w:t>Opțiunea alterativă 2</w:t>
            </w:r>
          </w:p>
        </w:tc>
      </w:tr>
      <w:tr w:rsidR="00D826C6" w:rsidRPr="00F96C4E" w:rsidTr="00C02A28">
        <w:trPr>
          <w:trHeight w:val="188"/>
        </w:trPr>
        <w:tc>
          <w:tcPr>
            <w:tcW w:w="5000"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D826C6" w:rsidRPr="00F96C4E" w:rsidRDefault="00D826C6" w:rsidP="00D826C6">
            <w:pPr>
              <w:rPr>
                <w:b/>
                <w:bCs/>
                <w:lang w:val="ro-RO"/>
              </w:rPr>
            </w:pPr>
            <w:r w:rsidRPr="00F96C4E">
              <w:rPr>
                <w:b/>
                <w:bCs/>
                <w:lang w:val="ro-RO"/>
              </w:rPr>
              <w:t>Economic</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lang w:val="ro-RO"/>
              </w:rPr>
            </w:pPr>
            <w:r w:rsidRPr="00F96C4E">
              <w:rPr>
                <w:bCs/>
                <w:lang w:val="ro-RO"/>
              </w:rPr>
              <w:t>costurile desfășurării afacerilor</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4538CD">
            <w:pPr>
              <w:jc w:val="right"/>
              <w:rPr>
                <w:bCs/>
                <w:lang w:val="ro-RO"/>
              </w:rPr>
            </w:pPr>
            <w:r w:rsidRPr="00F96C4E">
              <w:rPr>
                <w:bCs/>
                <w:lang w:val="ro-RO"/>
              </w:rPr>
              <w:t>+</w:t>
            </w:r>
            <w:r w:rsidR="004538CD">
              <w:rPr>
                <w:bCs/>
                <w:lang w:val="ro-RO"/>
              </w:rPr>
              <w:t>1</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78"/>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povara administrativă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4538CD" w:rsidP="003800BB">
            <w:pPr>
              <w:jc w:val="right"/>
              <w:rPr>
                <w:bCs/>
                <w:lang w:val="ro-RO"/>
              </w:rPr>
            </w:pPr>
            <w:r>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lang w:val="ro-RO"/>
              </w:rPr>
            </w:pPr>
            <w:r w:rsidRPr="00F96C4E">
              <w:rPr>
                <w:bCs/>
                <w:lang w:val="ro-RO"/>
              </w:rPr>
              <w:t>fluxurile comerciale și investiționale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78"/>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lang w:val="ro-RO"/>
              </w:rPr>
            </w:pPr>
            <w:r w:rsidRPr="00F96C4E">
              <w:rPr>
                <w:bCs/>
                <w:lang w:val="ro-RO"/>
              </w:rPr>
              <w:t>competitivitatea afacerilor</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4538CD">
            <w:pPr>
              <w:jc w:val="right"/>
              <w:rPr>
                <w:bCs/>
                <w:lang w:val="ro-RO"/>
              </w:rPr>
            </w:pPr>
            <w:r w:rsidRPr="00F96C4E">
              <w:rPr>
                <w:bCs/>
                <w:lang w:val="ro-RO"/>
              </w:rPr>
              <w:t>+</w:t>
            </w:r>
            <w:r w:rsidR="004538CD">
              <w:rPr>
                <w:bCs/>
                <w:lang w:val="ro-RO"/>
              </w:rPr>
              <w:t>2</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lastRenderedPageBreak/>
              <w:t>activitatea diferitor categorii de întreprinderi mici și mijlocii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4538CD" w:rsidP="003800BB">
            <w:pPr>
              <w:jc w:val="right"/>
              <w:rPr>
                <w:bCs/>
                <w:lang w:val="ro-RO"/>
              </w:rPr>
            </w:pPr>
            <w:r>
              <w:rPr>
                <w:bCs/>
                <w:lang w:val="ro-RO"/>
              </w:rPr>
              <w:t>+1</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concurența pe piață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4538CD">
            <w:pPr>
              <w:jc w:val="right"/>
              <w:rPr>
                <w:bCs/>
                <w:lang w:val="ro-RO"/>
              </w:rPr>
            </w:pPr>
            <w:r w:rsidRPr="00F96C4E">
              <w:rPr>
                <w:bCs/>
                <w:lang w:val="ro-RO"/>
              </w:rPr>
              <w:t>+</w:t>
            </w:r>
            <w:r w:rsidR="004538CD">
              <w:rPr>
                <w:bCs/>
                <w:lang w:val="ro-RO"/>
              </w:rPr>
              <w:t>2</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activitatea de inovare și cercetare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veniturile și cheltuielile publice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cadrul instituțional al autorităților publice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alegerea, calitatea și prețurile pentru consumatori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4538CD">
            <w:pPr>
              <w:jc w:val="right"/>
              <w:rPr>
                <w:bCs/>
                <w:lang w:val="ro-RO"/>
              </w:rPr>
            </w:pPr>
            <w:r w:rsidRPr="00F96C4E">
              <w:rPr>
                <w:bCs/>
                <w:lang w:val="ro-RO"/>
              </w:rPr>
              <w:t>+</w:t>
            </w:r>
            <w:r w:rsidR="004538CD">
              <w:rPr>
                <w:bCs/>
                <w:lang w:val="ro-RO"/>
              </w:rPr>
              <w:t>2</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bunăstarea gospodăriilor casnice și a cetățenilor</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situația social-economică în anumite regiuni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situația macroeconomică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alte aspecte economice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7C3E53" w:rsidRPr="00F96C4E" w:rsidTr="00C02A28">
        <w:trPr>
          <w:trHeight w:val="233"/>
        </w:trPr>
        <w:tc>
          <w:tcPr>
            <w:tcW w:w="5000"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C3E53" w:rsidRPr="00F96C4E" w:rsidRDefault="007C3E53" w:rsidP="007C3E53">
            <w:pPr>
              <w:rPr>
                <w:b/>
                <w:bCs/>
                <w:lang w:val="ro-RO"/>
              </w:rPr>
            </w:pPr>
            <w:r w:rsidRPr="00F96C4E">
              <w:rPr>
                <w:b/>
                <w:bCs/>
                <w:lang w:val="ro-RO"/>
              </w:rPr>
              <w:t>Social</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gradul de ocupare a forței de muncă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nivelul de salarizare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condițiile și organizarea muncii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sănătatea și securitatea muncii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formarea profesională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inegalitatea și distribuția veniturilor</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nivelul veniturilor populației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nivelul sărăciei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accesul la bunuri și servicii de bază, în special pentru persoanele social-vulnerabile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diversitatea culturală și lingvistică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partidele politice și organizațiile civice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sănătatea publică, inclusiv mortalitatea și morbiditatea</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modul sănătos de viață al populației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nivelul criminalității și securității publice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accesul și calitatea serviciilor de protecție socială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accesul și calitatea serviciilor educaționale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accesul și calitatea serviciilor medicale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accesul și calitatea serviciilor publice administrative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nivelul și calitatea educației populației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conservarea patrimoniului cultural</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accesul populației la resurse culturale și participarea în manifestații culturale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accesul și participarea populației în activități sportive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discriminarea</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alte aspecte sociale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7C3E53" w:rsidRPr="00F96C4E" w:rsidTr="00C02A28">
        <w:trPr>
          <w:trHeight w:val="233"/>
        </w:trPr>
        <w:tc>
          <w:tcPr>
            <w:tcW w:w="5000"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C3E53" w:rsidRPr="00F96C4E" w:rsidRDefault="007C3E53" w:rsidP="007C3E53">
            <w:pPr>
              <w:rPr>
                <w:b/>
                <w:bCs/>
                <w:lang w:val="ro-RO"/>
              </w:rPr>
            </w:pPr>
            <w:r w:rsidRPr="00F96C4E">
              <w:rPr>
                <w:b/>
                <w:lang w:val="ro-RO"/>
              </w:rPr>
              <w:t>De mediu</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clima, inclusiv emisiile gazelor cu efect de seră și celor care afectează stratul de ozon</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calitatea aerului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lang w:val="ro-RO"/>
              </w:rPr>
            </w:pPr>
            <w:r w:rsidRPr="00F96C4E">
              <w:rPr>
                <w:bCs/>
                <w:lang w:val="ro-RO"/>
              </w:rPr>
              <w:t>calitatea și cantitatea apei și resurselor acvatice, inclusiv a apei potabile și de alt gen</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biodiversitatea</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lastRenderedPageBreak/>
              <w:t>flora</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fauna</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peisajele naturale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starea și resursele solului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producerea și reciclarea deșeurilor</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utilizarea eficientă a resurselor regenerabile și neregenerabile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consumul și producția durabilă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intensitatea energetică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eficiența și performanța energetică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bunăstarea animalelor</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riscuri majore pentru mediu (incendii, explozii, accidente etc.)</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utilizarea terenurilor</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alte aspecte de mediu</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2868C9" w:rsidRPr="00F96C4E" w:rsidTr="00C02A28">
        <w:trPr>
          <w:trHeight w:val="233"/>
        </w:trPr>
        <w:tc>
          <w:tcPr>
            <w:tcW w:w="5000"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2868C9" w:rsidRPr="00F96C4E" w:rsidRDefault="002868C9" w:rsidP="002868C9">
            <w:pPr>
              <w:jc w:val="both"/>
              <w:rPr>
                <w:b/>
                <w:bCs/>
                <w:lang w:val="ro-RO"/>
              </w:rPr>
            </w:pPr>
            <w:r w:rsidRPr="00F96C4E">
              <w:rPr>
                <w:bCs/>
                <w:i/>
                <w:iCs/>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F96C4E">
              <w:rPr>
                <w:bCs/>
                <w:i/>
                <w:iCs/>
                <w:vertAlign w:val="superscript"/>
                <w:lang w:val="ro-RO"/>
              </w:rPr>
              <w:t>1</w:t>
            </w:r>
            <w:r w:rsidRPr="00F96C4E">
              <w:rPr>
                <w:bCs/>
                <w:i/>
                <w:iCs/>
                <w:lang w:val="ro-RO"/>
              </w:rPr>
              <w:t>) și, după caz,  b</w:t>
            </w:r>
            <w:r w:rsidRPr="00F96C4E">
              <w:rPr>
                <w:bCs/>
                <w:i/>
                <w:iCs/>
                <w:vertAlign w:val="superscript"/>
                <w:lang w:val="ro-RO"/>
              </w:rPr>
              <w:t>2</w:t>
            </w:r>
            <w:r w:rsidRPr="00F96C4E">
              <w:rPr>
                <w:bCs/>
                <w:i/>
                <w:iCs/>
                <w:lang w:val="ro-RO"/>
              </w:rPr>
              <w:t>), privind analiza impacturilor opțiunilor.</w:t>
            </w:r>
          </w:p>
        </w:tc>
      </w:tr>
      <w:tr w:rsidR="002868C9" w:rsidRPr="00F96C4E" w:rsidTr="00C02A28">
        <w:trPr>
          <w:trHeight w:val="233"/>
        </w:trPr>
        <w:tc>
          <w:tcPr>
            <w:tcW w:w="5000"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2868C9" w:rsidRPr="00F96C4E" w:rsidRDefault="002868C9" w:rsidP="007C3E53">
            <w:pPr>
              <w:jc w:val="right"/>
              <w:rPr>
                <w:b/>
                <w:bCs/>
                <w:lang w:val="ro-RO"/>
              </w:rPr>
            </w:pPr>
            <w:r w:rsidRPr="00F96C4E">
              <w:rPr>
                <w:b/>
                <w:bCs/>
                <w:lang w:val="ro-RO"/>
              </w:rPr>
              <w:t>Anexe</w:t>
            </w:r>
          </w:p>
        </w:tc>
      </w:tr>
      <w:tr w:rsidR="002868C9" w:rsidRPr="00F96C4E" w:rsidTr="00C02A28">
        <w:trPr>
          <w:trHeight w:val="233"/>
        </w:trPr>
        <w:tc>
          <w:tcPr>
            <w:tcW w:w="5000"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2868C9" w:rsidRPr="00F96C4E" w:rsidRDefault="002868C9" w:rsidP="002868C9">
            <w:pPr>
              <w:pStyle w:val="lf"/>
              <w:rPr>
                <w:lang w:val="ro-RO"/>
              </w:rPr>
            </w:pPr>
            <w:r w:rsidRPr="00F96C4E">
              <w:rPr>
                <w:lang w:val="ro-RO"/>
              </w:rPr>
              <w:t>Proiectul preliminar de act normativ</w:t>
            </w:r>
          </w:p>
          <w:p w:rsidR="002868C9" w:rsidRPr="00F96C4E" w:rsidRDefault="002868C9" w:rsidP="00F96C4E">
            <w:pPr>
              <w:jc w:val="both"/>
              <w:rPr>
                <w:bCs/>
                <w:iCs/>
                <w:lang w:val="ro-RO"/>
              </w:rPr>
            </w:pPr>
          </w:p>
        </w:tc>
      </w:tr>
    </w:tbl>
    <w:p w:rsidR="0058391B" w:rsidRPr="00F96C4E" w:rsidRDefault="0058391B">
      <w:pPr>
        <w:tabs>
          <w:tab w:val="left" w:pos="567"/>
          <w:tab w:val="left" w:pos="709"/>
        </w:tabs>
        <w:jc w:val="both"/>
        <w:rPr>
          <w:lang w:val="ro-RO" w:eastAsia="ru-RU"/>
        </w:rPr>
      </w:pPr>
    </w:p>
    <w:p w:rsidR="0058391B" w:rsidRPr="00F96C4E" w:rsidRDefault="0058391B">
      <w:pPr>
        <w:tabs>
          <w:tab w:val="left" w:pos="567"/>
          <w:tab w:val="left" w:pos="709"/>
        </w:tabs>
        <w:jc w:val="both"/>
        <w:rPr>
          <w:lang w:val="ro-RO" w:eastAsia="ru-RU"/>
        </w:rPr>
      </w:pPr>
    </w:p>
    <w:sectPr w:rsidR="0058391B" w:rsidRPr="00F96C4E" w:rsidSect="00357A78">
      <w:pgSz w:w="11906" w:h="16838"/>
      <w:pgMar w:top="540" w:right="1440" w:bottom="8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EUAlbertina">
    <w:altName w:val="Times New Roman"/>
    <w:panose1 w:val="00000000000000000000"/>
    <w:charset w:val="00"/>
    <w:family w:val="auto"/>
    <w:notTrueType/>
    <w:pitch w:val="default"/>
    <w:sig w:usb0="00000001"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77E3"/>
    <w:multiLevelType w:val="hybridMultilevel"/>
    <w:tmpl w:val="1E9ED3B2"/>
    <w:lvl w:ilvl="0" w:tplc="12EA0C6E">
      <w:start w:val="1"/>
      <w:numFmt w:val="lowerLetter"/>
      <w:lvlText w:val="%1)"/>
      <w:lvlJc w:val="left"/>
      <w:pPr>
        <w:ind w:left="733" w:hanging="360"/>
      </w:pPr>
      <w:rPr>
        <w:rFonts w:hint="default"/>
      </w:rPr>
    </w:lvl>
    <w:lvl w:ilvl="1" w:tplc="08090019" w:tentative="1">
      <w:start w:val="1"/>
      <w:numFmt w:val="lowerLetter"/>
      <w:lvlText w:val="%2."/>
      <w:lvlJc w:val="left"/>
      <w:pPr>
        <w:ind w:left="1453" w:hanging="360"/>
      </w:pPr>
    </w:lvl>
    <w:lvl w:ilvl="2" w:tplc="0809001B" w:tentative="1">
      <w:start w:val="1"/>
      <w:numFmt w:val="lowerRoman"/>
      <w:lvlText w:val="%3."/>
      <w:lvlJc w:val="right"/>
      <w:pPr>
        <w:ind w:left="2173" w:hanging="180"/>
      </w:pPr>
    </w:lvl>
    <w:lvl w:ilvl="3" w:tplc="0809000F" w:tentative="1">
      <w:start w:val="1"/>
      <w:numFmt w:val="decimal"/>
      <w:lvlText w:val="%4."/>
      <w:lvlJc w:val="left"/>
      <w:pPr>
        <w:ind w:left="2893" w:hanging="360"/>
      </w:pPr>
    </w:lvl>
    <w:lvl w:ilvl="4" w:tplc="08090019" w:tentative="1">
      <w:start w:val="1"/>
      <w:numFmt w:val="lowerLetter"/>
      <w:lvlText w:val="%5."/>
      <w:lvlJc w:val="left"/>
      <w:pPr>
        <w:ind w:left="3613" w:hanging="360"/>
      </w:pPr>
    </w:lvl>
    <w:lvl w:ilvl="5" w:tplc="0809001B" w:tentative="1">
      <w:start w:val="1"/>
      <w:numFmt w:val="lowerRoman"/>
      <w:lvlText w:val="%6."/>
      <w:lvlJc w:val="right"/>
      <w:pPr>
        <w:ind w:left="4333" w:hanging="180"/>
      </w:pPr>
    </w:lvl>
    <w:lvl w:ilvl="6" w:tplc="0809000F" w:tentative="1">
      <w:start w:val="1"/>
      <w:numFmt w:val="decimal"/>
      <w:lvlText w:val="%7."/>
      <w:lvlJc w:val="left"/>
      <w:pPr>
        <w:ind w:left="5053" w:hanging="360"/>
      </w:pPr>
    </w:lvl>
    <w:lvl w:ilvl="7" w:tplc="08090019" w:tentative="1">
      <w:start w:val="1"/>
      <w:numFmt w:val="lowerLetter"/>
      <w:lvlText w:val="%8."/>
      <w:lvlJc w:val="left"/>
      <w:pPr>
        <w:ind w:left="5773" w:hanging="360"/>
      </w:pPr>
    </w:lvl>
    <w:lvl w:ilvl="8" w:tplc="0809001B" w:tentative="1">
      <w:start w:val="1"/>
      <w:numFmt w:val="lowerRoman"/>
      <w:lvlText w:val="%9."/>
      <w:lvlJc w:val="right"/>
      <w:pPr>
        <w:ind w:left="6493" w:hanging="180"/>
      </w:pPr>
    </w:lvl>
  </w:abstractNum>
  <w:abstractNum w:abstractNumId="1" w15:restartNumberingAfterBreak="0">
    <w:nsid w:val="0BF26AE7"/>
    <w:multiLevelType w:val="hybridMultilevel"/>
    <w:tmpl w:val="DF262E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69E63D1"/>
    <w:multiLevelType w:val="hybridMultilevel"/>
    <w:tmpl w:val="9844D1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1B890427"/>
    <w:multiLevelType w:val="hybridMultilevel"/>
    <w:tmpl w:val="B2C2680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EE03BD4"/>
    <w:multiLevelType w:val="hybridMultilevel"/>
    <w:tmpl w:val="2C02B71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5350A07"/>
    <w:multiLevelType w:val="hybridMultilevel"/>
    <w:tmpl w:val="B15C8FD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30764DAA"/>
    <w:multiLevelType w:val="hybridMultilevel"/>
    <w:tmpl w:val="6EA2D23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321D5021"/>
    <w:multiLevelType w:val="multilevel"/>
    <w:tmpl w:val="A7AE3446"/>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36D25E33"/>
    <w:multiLevelType w:val="hybridMultilevel"/>
    <w:tmpl w:val="78886A4A"/>
    <w:lvl w:ilvl="0" w:tplc="3BA2387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8FE3092"/>
    <w:multiLevelType w:val="hybridMultilevel"/>
    <w:tmpl w:val="A9522F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484A7F90"/>
    <w:multiLevelType w:val="hybridMultilevel"/>
    <w:tmpl w:val="15B291D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49D52572"/>
    <w:multiLevelType w:val="hybridMultilevel"/>
    <w:tmpl w:val="B2DAF0E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4A1138AB"/>
    <w:multiLevelType w:val="hybridMultilevel"/>
    <w:tmpl w:val="24808DB6"/>
    <w:lvl w:ilvl="0" w:tplc="3BA23870">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15:restartNumberingAfterBreak="0">
    <w:nsid w:val="4E624A6A"/>
    <w:multiLevelType w:val="hybridMultilevel"/>
    <w:tmpl w:val="1A7A08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4ED625CF"/>
    <w:multiLevelType w:val="hybridMultilevel"/>
    <w:tmpl w:val="EC46FBE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 w15:restartNumberingAfterBreak="0">
    <w:nsid w:val="53C62A20"/>
    <w:multiLevelType w:val="multilevel"/>
    <w:tmpl w:val="D26E53A6"/>
    <w:lvl w:ilvl="0">
      <w:start w:val="1"/>
      <w:numFmt w:val="decimal"/>
      <w:lvlText w:val="%1."/>
      <w:lvlJc w:val="left"/>
      <w:pPr>
        <w:ind w:left="48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18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435" w:hanging="1080"/>
      </w:pPr>
      <w:rPr>
        <w:rFonts w:hint="default"/>
      </w:rPr>
    </w:lvl>
    <w:lvl w:ilvl="6">
      <w:start w:val="1"/>
      <w:numFmt w:val="decimal"/>
      <w:isLgl/>
      <w:lvlText w:val="%1.%2.%3.%4.%5.%6.%7."/>
      <w:lvlJc w:val="left"/>
      <w:pPr>
        <w:ind w:left="4242" w:hanging="1440"/>
      </w:pPr>
      <w:rPr>
        <w:rFonts w:hint="default"/>
      </w:rPr>
    </w:lvl>
    <w:lvl w:ilvl="7">
      <w:start w:val="1"/>
      <w:numFmt w:val="decimal"/>
      <w:isLgl/>
      <w:lvlText w:val="%1.%2.%3.%4.%5.%6.%7.%8."/>
      <w:lvlJc w:val="left"/>
      <w:pPr>
        <w:ind w:left="4689" w:hanging="1440"/>
      </w:pPr>
      <w:rPr>
        <w:rFonts w:hint="default"/>
      </w:rPr>
    </w:lvl>
    <w:lvl w:ilvl="8">
      <w:start w:val="1"/>
      <w:numFmt w:val="decimal"/>
      <w:isLgl/>
      <w:lvlText w:val="%1.%2.%3.%4.%5.%6.%7.%8.%9."/>
      <w:lvlJc w:val="left"/>
      <w:pPr>
        <w:ind w:left="5496" w:hanging="1800"/>
      </w:pPr>
      <w:rPr>
        <w:rFonts w:hint="default"/>
      </w:rPr>
    </w:lvl>
  </w:abstractNum>
  <w:abstractNum w:abstractNumId="16" w15:restartNumberingAfterBreak="0">
    <w:nsid w:val="5C5146EA"/>
    <w:multiLevelType w:val="hybridMultilevel"/>
    <w:tmpl w:val="6162468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8" w15:restartNumberingAfterBreak="0">
    <w:nsid w:val="61A70F23"/>
    <w:multiLevelType w:val="hybridMultilevel"/>
    <w:tmpl w:val="52920DBE"/>
    <w:lvl w:ilvl="0" w:tplc="3650E64A">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9" w15:restartNumberingAfterBreak="0">
    <w:nsid w:val="64696EA4"/>
    <w:multiLevelType w:val="hybridMultilevel"/>
    <w:tmpl w:val="27E004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67C11656"/>
    <w:multiLevelType w:val="hybridMultilevel"/>
    <w:tmpl w:val="E1A4067A"/>
    <w:lvl w:ilvl="0" w:tplc="3738CD62">
      <w:start w:val="1"/>
      <w:numFmt w:val="bullet"/>
      <w:lvlText w:val="-"/>
      <w:lvlJc w:val="left"/>
      <w:pPr>
        <w:ind w:left="612" w:hanging="360"/>
      </w:pPr>
      <w:rPr>
        <w:rFonts w:ascii="Times New Roman" w:eastAsia="Times New Roman"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1" w15:restartNumberingAfterBreak="0">
    <w:nsid w:val="6A9D5992"/>
    <w:multiLevelType w:val="hybridMultilevel"/>
    <w:tmpl w:val="8E5E1694"/>
    <w:lvl w:ilvl="0" w:tplc="3BA2387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6DA81D91"/>
    <w:multiLevelType w:val="hybridMultilevel"/>
    <w:tmpl w:val="466035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F7E0B74"/>
    <w:multiLevelType w:val="hybridMultilevel"/>
    <w:tmpl w:val="15ACBB2C"/>
    <w:lvl w:ilvl="0" w:tplc="0809000B">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4" w15:restartNumberingAfterBreak="0">
    <w:nsid w:val="741A53AB"/>
    <w:multiLevelType w:val="hybridMultilevel"/>
    <w:tmpl w:val="46E8B96E"/>
    <w:lvl w:ilvl="0" w:tplc="3BA2387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7"/>
  </w:num>
  <w:num w:numId="2">
    <w:abstractNumId w:val="0"/>
  </w:num>
  <w:num w:numId="3">
    <w:abstractNumId w:val="10"/>
  </w:num>
  <w:num w:numId="4">
    <w:abstractNumId w:val="13"/>
  </w:num>
  <w:num w:numId="5">
    <w:abstractNumId w:val="11"/>
  </w:num>
  <w:num w:numId="6">
    <w:abstractNumId w:val="15"/>
  </w:num>
  <w:num w:numId="7">
    <w:abstractNumId w:val="6"/>
  </w:num>
  <w:num w:numId="8">
    <w:abstractNumId w:val="21"/>
  </w:num>
  <w:num w:numId="9">
    <w:abstractNumId w:val="1"/>
  </w:num>
  <w:num w:numId="10">
    <w:abstractNumId w:val="7"/>
  </w:num>
  <w:num w:numId="11">
    <w:abstractNumId w:val="14"/>
  </w:num>
  <w:num w:numId="12">
    <w:abstractNumId w:val="5"/>
  </w:num>
  <w:num w:numId="13">
    <w:abstractNumId w:val="16"/>
  </w:num>
  <w:num w:numId="14">
    <w:abstractNumId w:val="3"/>
  </w:num>
  <w:num w:numId="15">
    <w:abstractNumId w:val="12"/>
  </w:num>
  <w:num w:numId="16">
    <w:abstractNumId w:val="4"/>
  </w:num>
  <w:num w:numId="17">
    <w:abstractNumId w:val="2"/>
  </w:num>
  <w:num w:numId="18">
    <w:abstractNumId w:val="9"/>
  </w:num>
  <w:num w:numId="19">
    <w:abstractNumId w:val="24"/>
  </w:num>
  <w:num w:numId="20">
    <w:abstractNumId w:val="19"/>
  </w:num>
  <w:num w:numId="21">
    <w:abstractNumId w:val="8"/>
  </w:num>
  <w:num w:numId="22">
    <w:abstractNumId w:val="22"/>
  </w:num>
  <w:num w:numId="23">
    <w:abstractNumId w:val="23"/>
  </w:num>
  <w:num w:numId="24">
    <w:abstractNumId w:val="18"/>
  </w:num>
  <w:num w:numId="25">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4D"/>
    <w:rsid w:val="000050D3"/>
    <w:rsid w:val="00006D67"/>
    <w:rsid w:val="00007169"/>
    <w:rsid w:val="00007CB0"/>
    <w:rsid w:val="00021938"/>
    <w:rsid w:val="00021C23"/>
    <w:rsid w:val="000230EC"/>
    <w:rsid w:val="000263CA"/>
    <w:rsid w:val="00026FD9"/>
    <w:rsid w:val="00030460"/>
    <w:rsid w:val="00032301"/>
    <w:rsid w:val="000349C1"/>
    <w:rsid w:val="00040D0F"/>
    <w:rsid w:val="00040DFB"/>
    <w:rsid w:val="000537C9"/>
    <w:rsid w:val="000540E2"/>
    <w:rsid w:val="000576EE"/>
    <w:rsid w:val="000673C7"/>
    <w:rsid w:val="0007304C"/>
    <w:rsid w:val="00080F1C"/>
    <w:rsid w:val="00086113"/>
    <w:rsid w:val="00090FE2"/>
    <w:rsid w:val="00093DB2"/>
    <w:rsid w:val="00095777"/>
    <w:rsid w:val="00097F26"/>
    <w:rsid w:val="000A1852"/>
    <w:rsid w:val="000A1AC1"/>
    <w:rsid w:val="000A400A"/>
    <w:rsid w:val="000B05D2"/>
    <w:rsid w:val="000B0C29"/>
    <w:rsid w:val="000B5B24"/>
    <w:rsid w:val="000B6826"/>
    <w:rsid w:val="000B76E0"/>
    <w:rsid w:val="000B7F11"/>
    <w:rsid w:val="000C1D4E"/>
    <w:rsid w:val="000C4A86"/>
    <w:rsid w:val="000D1494"/>
    <w:rsid w:val="000D1634"/>
    <w:rsid w:val="000D77D5"/>
    <w:rsid w:val="000E1529"/>
    <w:rsid w:val="000E167E"/>
    <w:rsid w:val="000E1D5D"/>
    <w:rsid w:val="000E32E3"/>
    <w:rsid w:val="000E6086"/>
    <w:rsid w:val="00103DD6"/>
    <w:rsid w:val="00113132"/>
    <w:rsid w:val="00113961"/>
    <w:rsid w:val="00120BFE"/>
    <w:rsid w:val="001367F4"/>
    <w:rsid w:val="00136E3E"/>
    <w:rsid w:val="00142A43"/>
    <w:rsid w:val="0014434A"/>
    <w:rsid w:val="001444AE"/>
    <w:rsid w:val="001504A4"/>
    <w:rsid w:val="00150D93"/>
    <w:rsid w:val="001567B7"/>
    <w:rsid w:val="00165A02"/>
    <w:rsid w:val="001723A2"/>
    <w:rsid w:val="001723ED"/>
    <w:rsid w:val="00176275"/>
    <w:rsid w:val="001804D2"/>
    <w:rsid w:val="00183465"/>
    <w:rsid w:val="0018723A"/>
    <w:rsid w:val="00187925"/>
    <w:rsid w:val="00187A17"/>
    <w:rsid w:val="00190E49"/>
    <w:rsid w:val="00192B10"/>
    <w:rsid w:val="001945EB"/>
    <w:rsid w:val="0019608E"/>
    <w:rsid w:val="001A0C74"/>
    <w:rsid w:val="001A0E81"/>
    <w:rsid w:val="001A2038"/>
    <w:rsid w:val="001A3340"/>
    <w:rsid w:val="001B18EB"/>
    <w:rsid w:val="001B1925"/>
    <w:rsid w:val="001B24FC"/>
    <w:rsid w:val="001B2ECC"/>
    <w:rsid w:val="001B3283"/>
    <w:rsid w:val="001C20D6"/>
    <w:rsid w:val="001C21B0"/>
    <w:rsid w:val="001C5B15"/>
    <w:rsid w:val="001C7D67"/>
    <w:rsid w:val="001D0C05"/>
    <w:rsid w:val="001D12B6"/>
    <w:rsid w:val="001D6D3D"/>
    <w:rsid w:val="001E5370"/>
    <w:rsid w:val="001E712E"/>
    <w:rsid w:val="001F048D"/>
    <w:rsid w:val="001F1326"/>
    <w:rsid w:val="001F367D"/>
    <w:rsid w:val="001F47E6"/>
    <w:rsid w:val="001F6593"/>
    <w:rsid w:val="00204916"/>
    <w:rsid w:val="002063BC"/>
    <w:rsid w:val="00213162"/>
    <w:rsid w:val="00214C71"/>
    <w:rsid w:val="00216B24"/>
    <w:rsid w:val="00217B3C"/>
    <w:rsid w:val="00220843"/>
    <w:rsid w:val="002224AF"/>
    <w:rsid w:val="002275D7"/>
    <w:rsid w:val="00230AB1"/>
    <w:rsid w:val="00230C19"/>
    <w:rsid w:val="002324CE"/>
    <w:rsid w:val="00234DAA"/>
    <w:rsid w:val="002367F4"/>
    <w:rsid w:val="002465F6"/>
    <w:rsid w:val="00251AA4"/>
    <w:rsid w:val="002576D3"/>
    <w:rsid w:val="002604F1"/>
    <w:rsid w:val="00271B08"/>
    <w:rsid w:val="002721E3"/>
    <w:rsid w:val="002747E2"/>
    <w:rsid w:val="002868C9"/>
    <w:rsid w:val="00290189"/>
    <w:rsid w:val="002A2AD8"/>
    <w:rsid w:val="002A396D"/>
    <w:rsid w:val="002A44C8"/>
    <w:rsid w:val="002A64EE"/>
    <w:rsid w:val="002A652E"/>
    <w:rsid w:val="002B136C"/>
    <w:rsid w:val="002B45EF"/>
    <w:rsid w:val="002B4DF0"/>
    <w:rsid w:val="002C07DB"/>
    <w:rsid w:val="002C37DC"/>
    <w:rsid w:val="002C6CB6"/>
    <w:rsid w:val="002D0578"/>
    <w:rsid w:val="002D5CEB"/>
    <w:rsid w:val="002D71B7"/>
    <w:rsid w:val="002E1073"/>
    <w:rsid w:val="002E52AD"/>
    <w:rsid w:val="002E772C"/>
    <w:rsid w:val="00302D96"/>
    <w:rsid w:val="003053C6"/>
    <w:rsid w:val="00306EFA"/>
    <w:rsid w:val="00307132"/>
    <w:rsid w:val="003072E7"/>
    <w:rsid w:val="003161E7"/>
    <w:rsid w:val="00316F7E"/>
    <w:rsid w:val="00320505"/>
    <w:rsid w:val="003226EA"/>
    <w:rsid w:val="003245BA"/>
    <w:rsid w:val="00331175"/>
    <w:rsid w:val="00334411"/>
    <w:rsid w:val="00337737"/>
    <w:rsid w:val="00340301"/>
    <w:rsid w:val="0034588D"/>
    <w:rsid w:val="003461CA"/>
    <w:rsid w:val="00353F0A"/>
    <w:rsid w:val="00357A78"/>
    <w:rsid w:val="003618D4"/>
    <w:rsid w:val="00361E0C"/>
    <w:rsid w:val="003625A2"/>
    <w:rsid w:val="00366450"/>
    <w:rsid w:val="00367D61"/>
    <w:rsid w:val="00375050"/>
    <w:rsid w:val="003800BB"/>
    <w:rsid w:val="00380A04"/>
    <w:rsid w:val="003853E8"/>
    <w:rsid w:val="00385F01"/>
    <w:rsid w:val="003877E4"/>
    <w:rsid w:val="00390680"/>
    <w:rsid w:val="00393206"/>
    <w:rsid w:val="003942CF"/>
    <w:rsid w:val="00394AC1"/>
    <w:rsid w:val="00395814"/>
    <w:rsid w:val="00395F56"/>
    <w:rsid w:val="003A1943"/>
    <w:rsid w:val="003A1BB0"/>
    <w:rsid w:val="003A2E7D"/>
    <w:rsid w:val="003A5D5F"/>
    <w:rsid w:val="003A6397"/>
    <w:rsid w:val="003A69A9"/>
    <w:rsid w:val="003B37AB"/>
    <w:rsid w:val="003B5303"/>
    <w:rsid w:val="003D2F4E"/>
    <w:rsid w:val="003D3E4D"/>
    <w:rsid w:val="003D61D4"/>
    <w:rsid w:val="003D69CD"/>
    <w:rsid w:val="003E5DBA"/>
    <w:rsid w:val="00402BA8"/>
    <w:rsid w:val="00404559"/>
    <w:rsid w:val="00406AFA"/>
    <w:rsid w:val="00407F20"/>
    <w:rsid w:val="00410CAA"/>
    <w:rsid w:val="00412982"/>
    <w:rsid w:val="00414490"/>
    <w:rsid w:val="004155B2"/>
    <w:rsid w:val="00417ECD"/>
    <w:rsid w:val="00420547"/>
    <w:rsid w:val="0042060E"/>
    <w:rsid w:val="00422701"/>
    <w:rsid w:val="004257A7"/>
    <w:rsid w:val="004264D2"/>
    <w:rsid w:val="00426751"/>
    <w:rsid w:val="004301F6"/>
    <w:rsid w:val="00430A47"/>
    <w:rsid w:val="004318B7"/>
    <w:rsid w:val="00434BBB"/>
    <w:rsid w:val="00440B54"/>
    <w:rsid w:val="004427FF"/>
    <w:rsid w:val="004459AC"/>
    <w:rsid w:val="00446D58"/>
    <w:rsid w:val="004504BE"/>
    <w:rsid w:val="004538CD"/>
    <w:rsid w:val="00460BF0"/>
    <w:rsid w:val="00461E92"/>
    <w:rsid w:val="0046281F"/>
    <w:rsid w:val="0046476D"/>
    <w:rsid w:val="00466D56"/>
    <w:rsid w:val="00466FC0"/>
    <w:rsid w:val="00473DFF"/>
    <w:rsid w:val="00474889"/>
    <w:rsid w:val="00475DC0"/>
    <w:rsid w:val="00493985"/>
    <w:rsid w:val="004A0A1D"/>
    <w:rsid w:val="004A59D0"/>
    <w:rsid w:val="004A62FB"/>
    <w:rsid w:val="004A6954"/>
    <w:rsid w:val="004A795D"/>
    <w:rsid w:val="004B1AC7"/>
    <w:rsid w:val="004B1F61"/>
    <w:rsid w:val="004B3EF0"/>
    <w:rsid w:val="004B521E"/>
    <w:rsid w:val="004C2E0A"/>
    <w:rsid w:val="004C4B79"/>
    <w:rsid w:val="004C6A70"/>
    <w:rsid w:val="004D2E98"/>
    <w:rsid w:val="004D684C"/>
    <w:rsid w:val="004D6F1A"/>
    <w:rsid w:val="004E3881"/>
    <w:rsid w:val="004E4DB0"/>
    <w:rsid w:val="004F0396"/>
    <w:rsid w:val="004F53C5"/>
    <w:rsid w:val="00500C20"/>
    <w:rsid w:val="005023FD"/>
    <w:rsid w:val="00502777"/>
    <w:rsid w:val="00507CF0"/>
    <w:rsid w:val="00513AC7"/>
    <w:rsid w:val="00521BF3"/>
    <w:rsid w:val="005228D0"/>
    <w:rsid w:val="00522B0A"/>
    <w:rsid w:val="0052672D"/>
    <w:rsid w:val="00531C9D"/>
    <w:rsid w:val="00541C80"/>
    <w:rsid w:val="0054454A"/>
    <w:rsid w:val="00544B8B"/>
    <w:rsid w:val="00545082"/>
    <w:rsid w:val="00545CBA"/>
    <w:rsid w:val="00550AAC"/>
    <w:rsid w:val="00551DAA"/>
    <w:rsid w:val="00555D97"/>
    <w:rsid w:val="005564C0"/>
    <w:rsid w:val="00561619"/>
    <w:rsid w:val="00562235"/>
    <w:rsid w:val="0057185A"/>
    <w:rsid w:val="005757B4"/>
    <w:rsid w:val="0057714B"/>
    <w:rsid w:val="00577A04"/>
    <w:rsid w:val="00580E72"/>
    <w:rsid w:val="00582C33"/>
    <w:rsid w:val="0058391B"/>
    <w:rsid w:val="005918BE"/>
    <w:rsid w:val="00591B54"/>
    <w:rsid w:val="0059277D"/>
    <w:rsid w:val="005A55B0"/>
    <w:rsid w:val="005B4CE8"/>
    <w:rsid w:val="005B5319"/>
    <w:rsid w:val="005B68C2"/>
    <w:rsid w:val="005C05B7"/>
    <w:rsid w:val="005C12F5"/>
    <w:rsid w:val="005C3723"/>
    <w:rsid w:val="005D2AC3"/>
    <w:rsid w:val="005D3208"/>
    <w:rsid w:val="005D351E"/>
    <w:rsid w:val="005D4CB7"/>
    <w:rsid w:val="005D742B"/>
    <w:rsid w:val="005D7CDC"/>
    <w:rsid w:val="005D7FC4"/>
    <w:rsid w:val="005E46B4"/>
    <w:rsid w:val="005E783A"/>
    <w:rsid w:val="005F2130"/>
    <w:rsid w:val="005F4E5A"/>
    <w:rsid w:val="005F53AB"/>
    <w:rsid w:val="005F55E2"/>
    <w:rsid w:val="00600702"/>
    <w:rsid w:val="00600C2B"/>
    <w:rsid w:val="006018B3"/>
    <w:rsid w:val="00603721"/>
    <w:rsid w:val="00606487"/>
    <w:rsid w:val="00614638"/>
    <w:rsid w:val="006217B7"/>
    <w:rsid w:val="006254B1"/>
    <w:rsid w:val="00630056"/>
    <w:rsid w:val="00630499"/>
    <w:rsid w:val="0063074B"/>
    <w:rsid w:val="00631B8C"/>
    <w:rsid w:val="00631D05"/>
    <w:rsid w:val="00633D9F"/>
    <w:rsid w:val="00634DC2"/>
    <w:rsid w:val="006358BF"/>
    <w:rsid w:val="00645AF4"/>
    <w:rsid w:val="00645FDF"/>
    <w:rsid w:val="0065106C"/>
    <w:rsid w:val="006513BE"/>
    <w:rsid w:val="00654F98"/>
    <w:rsid w:val="00655819"/>
    <w:rsid w:val="00657298"/>
    <w:rsid w:val="0066488D"/>
    <w:rsid w:val="00671E5E"/>
    <w:rsid w:val="00676CE8"/>
    <w:rsid w:val="00695917"/>
    <w:rsid w:val="00697015"/>
    <w:rsid w:val="006A1B90"/>
    <w:rsid w:val="006A544D"/>
    <w:rsid w:val="006B3B91"/>
    <w:rsid w:val="006B552D"/>
    <w:rsid w:val="006B584D"/>
    <w:rsid w:val="006B7266"/>
    <w:rsid w:val="006D0D67"/>
    <w:rsid w:val="006E2C52"/>
    <w:rsid w:val="006E2D72"/>
    <w:rsid w:val="006E69A2"/>
    <w:rsid w:val="006F46F4"/>
    <w:rsid w:val="006F4B51"/>
    <w:rsid w:val="00710AA1"/>
    <w:rsid w:val="007112AA"/>
    <w:rsid w:val="00711C3A"/>
    <w:rsid w:val="00717897"/>
    <w:rsid w:val="0072073B"/>
    <w:rsid w:val="007211CE"/>
    <w:rsid w:val="007329EA"/>
    <w:rsid w:val="00733EEB"/>
    <w:rsid w:val="0073538A"/>
    <w:rsid w:val="0074015F"/>
    <w:rsid w:val="00740E06"/>
    <w:rsid w:val="00742551"/>
    <w:rsid w:val="00750EFA"/>
    <w:rsid w:val="007573D2"/>
    <w:rsid w:val="00760DCF"/>
    <w:rsid w:val="00764E20"/>
    <w:rsid w:val="0077078E"/>
    <w:rsid w:val="007718FB"/>
    <w:rsid w:val="00772936"/>
    <w:rsid w:val="007751DF"/>
    <w:rsid w:val="0078162A"/>
    <w:rsid w:val="00784983"/>
    <w:rsid w:val="0078690B"/>
    <w:rsid w:val="0079117F"/>
    <w:rsid w:val="0079787A"/>
    <w:rsid w:val="007A01C6"/>
    <w:rsid w:val="007A0AA5"/>
    <w:rsid w:val="007A1091"/>
    <w:rsid w:val="007A68FD"/>
    <w:rsid w:val="007A7BF0"/>
    <w:rsid w:val="007B1F77"/>
    <w:rsid w:val="007B201C"/>
    <w:rsid w:val="007B3C48"/>
    <w:rsid w:val="007B647C"/>
    <w:rsid w:val="007B6DD0"/>
    <w:rsid w:val="007C3E53"/>
    <w:rsid w:val="007C5CF0"/>
    <w:rsid w:val="007D1A10"/>
    <w:rsid w:val="007D4D6D"/>
    <w:rsid w:val="007D6B3D"/>
    <w:rsid w:val="007E4BD8"/>
    <w:rsid w:val="007E6420"/>
    <w:rsid w:val="007E659C"/>
    <w:rsid w:val="00801201"/>
    <w:rsid w:val="008014C5"/>
    <w:rsid w:val="00801A3E"/>
    <w:rsid w:val="008232A0"/>
    <w:rsid w:val="008244EC"/>
    <w:rsid w:val="00827C92"/>
    <w:rsid w:val="008305FF"/>
    <w:rsid w:val="00830A11"/>
    <w:rsid w:val="008334BD"/>
    <w:rsid w:val="008377CB"/>
    <w:rsid w:val="008407C6"/>
    <w:rsid w:val="00840A74"/>
    <w:rsid w:val="00842CFA"/>
    <w:rsid w:val="008431C2"/>
    <w:rsid w:val="00853428"/>
    <w:rsid w:val="00865FD8"/>
    <w:rsid w:val="0086748B"/>
    <w:rsid w:val="00873391"/>
    <w:rsid w:val="008739B9"/>
    <w:rsid w:val="00873CC9"/>
    <w:rsid w:val="00873EBA"/>
    <w:rsid w:val="008856BB"/>
    <w:rsid w:val="008920AD"/>
    <w:rsid w:val="008922A3"/>
    <w:rsid w:val="008A29DA"/>
    <w:rsid w:val="008A2ADF"/>
    <w:rsid w:val="008A2FBD"/>
    <w:rsid w:val="008B4D65"/>
    <w:rsid w:val="008B5AE8"/>
    <w:rsid w:val="008B642D"/>
    <w:rsid w:val="008B6FBA"/>
    <w:rsid w:val="008C1190"/>
    <w:rsid w:val="008D02E0"/>
    <w:rsid w:val="008D0849"/>
    <w:rsid w:val="008D181B"/>
    <w:rsid w:val="008D3180"/>
    <w:rsid w:val="008D4CA9"/>
    <w:rsid w:val="008D5F44"/>
    <w:rsid w:val="008D734E"/>
    <w:rsid w:val="008E263A"/>
    <w:rsid w:val="008E333E"/>
    <w:rsid w:val="008E5AA7"/>
    <w:rsid w:val="008E6446"/>
    <w:rsid w:val="008E70C6"/>
    <w:rsid w:val="008E7BAF"/>
    <w:rsid w:val="008F7A93"/>
    <w:rsid w:val="008F7E20"/>
    <w:rsid w:val="0090013F"/>
    <w:rsid w:val="00901080"/>
    <w:rsid w:val="00903740"/>
    <w:rsid w:val="009146BD"/>
    <w:rsid w:val="00915539"/>
    <w:rsid w:val="00922342"/>
    <w:rsid w:val="00933249"/>
    <w:rsid w:val="00934C93"/>
    <w:rsid w:val="00942403"/>
    <w:rsid w:val="0094636A"/>
    <w:rsid w:val="009465AF"/>
    <w:rsid w:val="00953536"/>
    <w:rsid w:val="009540A4"/>
    <w:rsid w:val="00960F63"/>
    <w:rsid w:val="00961667"/>
    <w:rsid w:val="009624F6"/>
    <w:rsid w:val="00962CC5"/>
    <w:rsid w:val="009655EF"/>
    <w:rsid w:val="0096679B"/>
    <w:rsid w:val="009722C4"/>
    <w:rsid w:val="00976755"/>
    <w:rsid w:val="0098024E"/>
    <w:rsid w:val="00982652"/>
    <w:rsid w:val="00983246"/>
    <w:rsid w:val="00984A9C"/>
    <w:rsid w:val="00984D83"/>
    <w:rsid w:val="009850C8"/>
    <w:rsid w:val="00990FCE"/>
    <w:rsid w:val="009951F1"/>
    <w:rsid w:val="009A080C"/>
    <w:rsid w:val="009A5ACF"/>
    <w:rsid w:val="009A690A"/>
    <w:rsid w:val="009B349C"/>
    <w:rsid w:val="009B3894"/>
    <w:rsid w:val="009B589A"/>
    <w:rsid w:val="009B61AD"/>
    <w:rsid w:val="009B6C3D"/>
    <w:rsid w:val="009C128F"/>
    <w:rsid w:val="009C7673"/>
    <w:rsid w:val="009C7E18"/>
    <w:rsid w:val="009D598C"/>
    <w:rsid w:val="009D5B41"/>
    <w:rsid w:val="009D61A0"/>
    <w:rsid w:val="009E0B04"/>
    <w:rsid w:val="009E7FEB"/>
    <w:rsid w:val="009F1E95"/>
    <w:rsid w:val="009F6F82"/>
    <w:rsid w:val="00A035C1"/>
    <w:rsid w:val="00A0494D"/>
    <w:rsid w:val="00A12528"/>
    <w:rsid w:val="00A23C80"/>
    <w:rsid w:val="00A2717A"/>
    <w:rsid w:val="00A321F2"/>
    <w:rsid w:val="00A32863"/>
    <w:rsid w:val="00A35089"/>
    <w:rsid w:val="00A37E91"/>
    <w:rsid w:val="00A37F50"/>
    <w:rsid w:val="00A40A86"/>
    <w:rsid w:val="00A4188C"/>
    <w:rsid w:val="00A429CF"/>
    <w:rsid w:val="00A47F4F"/>
    <w:rsid w:val="00A5269A"/>
    <w:rsid w:val="00A57A32"/>
    <w:rsid w:val="00A61431"/>
    <w:rsid w:val="00A635EB"/>
    <w:rsid w:val="00A736F2"/>
    <w:rsid w:val="00A854B1"/>
    <w:rsid w:val="00A87094"/>
    <w:rsid w:val="00A87A31"/>
    <w:rsid w:val="00A90932"/>
    <w:rsid w:val="00A91ED7"/>
    <w:rsid w:val="00A94556"/>
    <w:rsid w:val="00A9589A"/>
    <w:rsid w:val="00A95EE7"/>
    <w:rsid w:val="00A972C9"/>
    <w:rsid w:val="00AA3109"/>
    <w:rsid w:val="00AA65BA"/>
    <w:rsid w:val="00AB0BC4"/>
    <w:rsid w:val="00AB4D33"/>
    <w:rsid w:val="00AB599D"/>
    <w:rsid w:val="00AB6530"/>
    <w:rsid w:val="00AB7059"/>
    <w:rsid w:val="00AC00CD"/>
    <w:rsid w:val="00AC18AE"/>
    <w:rsid w:val="00AC5930"/>
    <w:rsid w:val="00AC68EB"/>
    <w:rsid w:val="00AC7479"/>
    <w:rsid w:val="00AD0E65"/>
    <w:rsid w:val="00AD0FA8"/>
    <w:rsid w:val="00AD1A5F"/>
    <w:rsid w:val="00AD3556"/>
    <w:rsid w:val="00AD3DB2"/>
    <w:rsid w:val="00AD6C64"/>
    <w:rsid w:val="00AE41F3"/>
    <w:rsid w:val="00AF3FA1"/>
    <w:rsid w:val="00AF40AE"/>
    <w:rsid w:val="00AF797C"/>
    <w:rsid w:val="00B1083C"/>
    <w:rsid w:val="00B17C97"/>
    <w:rsid w:val="00B17DAA"/>
    <w:rsid w:val="00B25217"/>
    <w:rsid w:val="00B25BC1"/>
    <w:rsid w:val="00B303A7"/>
    <w:rsid w:val="00B3143E"/>
    <w:rsid w:val="00B3564C"/>
    <w:rsid w:val="00B35C63"/>
    <w:rsid w:val="00B37483"/>
    <w:rsid w:val="00B408B7"/>
    <w:rsid w:val="00B41DB3"/>
    <w:rsid w:val="00B43F94"/>
    <w:rsid w:val="00B46EB5"/>
    <w:rsid w:val="00B47566"/>
    <w:rsid w:val="00B4769A"/>
    <w:rsid w:val="00B509A1"/>
    <w:rsid w:val="00B50C87"/>
    <w:rsid w:val="00B563ED"/>
    <w:rsid w:val="00B577A9"/>
    <w:rsid w:val="00B62E73"/>
    <w:rsid w:val="00B63CD3"/>
    <w:rsid w:val="00B679BA"/>
    <w:rsid w:val="00B750BF"/>
    <w:rsid w:val="00B7518F"/>
    <w:rsid w:val="00B83F6D"/>
    <w:rsid w:val="00B84A3A"/>
    <w:rsid w:val="00B84DCA"/>
    <w:rsid w:val="00B86FC9"/>
    <w:rsid w:val="00B9167B"/>
    <w:rsid w:val="00B91E70"/>
    <w:rsid w:val="00B92AA3"/>
    <w:rsid w:val="00BA17B5"/>
    <w:rsid w:val="00BA6E4C"/>
    <w:rsid w:val="00BA7F08"/>
    <w:rsid w:val="00BB066A"/>
    <w:rsid w:val="00BB200F"/>
    <w:rsid w:val="00BB552E"/>
    <w:rsid w:val="00BB6813"/>
    <w:rsid w:val="00BC2526"/>
    <w:rsid w:val="00BC35A3"/>
    <w:rsid w:val="00BD0053"/>
    <w:rsid w:val="00BE22B4"/>
    <w:rsid w:val="00BE3347"/>
    <w:rsid w:val="00BE7A97"/>
    <w:rsid w:val="00BF1829"/>
    <w:rsid w:val="00BF1ADC"/>
    <w:rsid w:val="00BF44F9"/>
    <w:rsid w:val="00C02A28"/>
    <w:rsid w:val="00C0513E"/>
    <w:rsid w:val="00C14D83"/>
    <w:rsid w:val="00C15478"/>
    <w:rsid w:val="00C21B5C"/>
    <w:rsid w:val="00C225DD"/>
    <w:rsid w:val="00C2574C"/>
    <w:rsid w:val="00C26855"/>
    <w:rsid w:val="00C30978"/>
    <w:rsid w:val="00C30E52"/>
    <w:rsid w:val="00C31770"/>
    <w:rsid w:val="00C31EE7"/>
    <w:rsid w:val="00C34923"/>
    <w:rsid w:val="00C35034"/>
    <w:rsid w:val="00C374E8"/>
    <w:rsid w:val="00C44824"/>
    <w:rsid w:val="00C50659"/>
    <w:rsid w:val="00C54140"/>
    <w:rsid w:val="00C625C0"/>
    <w:rsid w:val="00C62B20"/>
    <w:rsid w:val="00C62B5D"/>
    <w:rsid w:val="00C64A21"/>
    <w:rsid w:val="00C64ED5"/>
    <w:rsid w:val="00C66E8F"/>
    <w:rsid w:val="00C700DB"/>
    <w:rsid w:val="00C711C9"/>
    <w:rsid w:val="00C72081"/>
    <w:rsid w:val="00C812BC"/>
    <w:rsid w:val="00C848C5"/>
    <w:rsid w:val="00C87185"/>
    <w:rsid w:val="00C9267A"/>
    <w:rsid w:val="00CA1962"/>
    <w:rsid w:val="00CA2561"/>
    <w:rsid w:val="00CA2605"/>
    <w:rsid w:val="00CA388B"/>
    <w:rsid w:val="00CA42CC"/>
    <w:rsid w:val="00CA570E"/>
    <w:rsid w:val="00CA7761"/>
    <w:rsid w:val="00CA7CC5"/>
    <w:rsid w:val="00CB4E0E"/>
    <w:rsid w:val="00CB58C5"/>
    <w:rsid w:val="00CC3902"/>
    <w:rsid w:val="00CC476D"/>
    <w:rsid w:val="00CC4FAE"/>
    <w:rsid w:val="00CC7C7F"/>
    <w:rsid w:val="00CD053F"/>
    <w:rsid w:val="00CD05A3"/>
    <w:rsid w:val="00CD0C0C"/>
    <w:rsid w:val="00CD2DA7"/>
    <w:rsid w:val="00CD6519"/>
    <w:rsid w:val="00CD6AA3"/>
    <w:rsid w:val="00CE3488"/>
    <w:rsid w:val="00CE370F"/>
    <w:rsid w:val="00CE4915"/>
    <w:rsid w:val="00CF30E4"/>
    <w:rsid w:val="00CF73FA"/>
    <w:rsid w:val="00CF7CD6"/>
    <w:rsid w:val="00D000BA"/>
    <w:rsid w:val="00D11D08"/>
    <w:rsid w:val="00D137A2"/>
    <w:rsid w:val="00D156F9"/>
    <w:rsid w:val="00D17846"/>
    <w:rsid w:val="00D2168F"/>
    <w:rsid w:val="00D22E5F"/>
    <w:rsid w:val="00D23BD1"/>
    <w:rsid w:val="00D24BA5"/>
    <w:rsid w:val="00D41923"/>
    <w:rsid w:val="00D43C72"/>
    <w:rsid w:val="00D52FC2"/>
    <w:rsid w:val="00D6024D"/>
    <w:rsid w:val="00D6135A"/>
    <w:rsid w:val="00D625D8"/>
    <w:rsid w:val="00D63680"/>
    <w:rsid w:val="00D64F4A"/>
    <w:rsid w:val="00D659B2"/>
    <w:rsid w:val="00D66AA2"/>
    <w:rsid w:val="00D6799C"/>
    <w:rsid w:val="00D71B38"/>
    <w:rsid w:val="00D74ACD"/>
    <w:rsid w:val="00D826C6"/>
    <w:rsid w:val="00D8342C"/>
    <w:rsid w:val="00D83802"/>
    <w:rsid w:val="00D83958"/>
    <w:rsid w:val="00D85CDD"/>
    <w:rsid w:val="00D87533"/>
    <w:rsid w:val="00D94F26"/>
    <w:rsid w:val="00D95E49"/>
    <w:rsid w:val="00DA127C"/>
    <w:rsid w:val="00DA5F19"/>
    <w:rsid w:val="00DB37ED"/>
    <w:rsid w:val="00DB3A3B"/>
    <w:rsid w:val="00DC0A15"/>
    <w:rsid w:val="00DC25CE"/>
    <w:rsid w:val="00DC36C1"/>
    <w:rsid w:val="00DD0C21"/>
    <w:rsid w:val="00DD4290"/>
    <w:rsid w:val="00DD5D91"/>
    <w:rsid w:val="00DE0FD7"/>
    <w:rsid w:val="00DE7162"/>
    <w:rsid w:val="00DE797E"/>
    <w:rsid w:val="00DF13EB"/>
    <w:rsid w:val="00DF4DC3"/>
    <w:rsid w:val="00E0053C"/>
    <w:rsid w:val="00E00E74"/>
    <w:rsid w:val="00E0366E"/>
    <w:rsid w:val="00E0524F"/>
    <w:rsid w:val="00E061E0"/>
    <w:rsid w:val="00E07FE1"/>
    <w:rsid w:val="00E15397"/>
    <w:rsid w:val="00E26082"/>
    <w:rsid w:val="00E26A90"/>
    <w:rsid w:val="00E33693"/>
    <w:rsid w:val="00E36FB7"/>
    <w:rsid w:val="00E44825"/>
    <w:rsid w:val="00E452DF"/>
    <w:rsid w:val="00E45B75"/>
    <w:rsid w:val="00E47D65"/>
    <w:rsid w:val="00E505A8"/>
    <w:rsid w:val="00E50A19"/>
    <w:rsid w:val="00E52F70"/>
    <w:rsid w:val="00E61398"/>
    <w:rsid w:val="00E6568A"/>
    <w:rsid w:val="00E663EA"/>
    <w:rsid w:val="00E67D62"/>
    <w:rsid w:val="00E70359"/>
    <w:rsid w:val="00E70C7C"/>
    <w:rsid w:val="00E817E2"/>
    <w:rsid w:val="00E850DE"/>
    <w:rsid w:val="00E9249C"/>
    <w:rsid w:val="00E929F2"/>
    <w:rsid w:val="00E9591E"/>
    <w:rsid w:val="00E9703B"/>
    <w:rsid w:val="00E97CDC"/>
    <w:rsid w:val="00EA335A"/>
    <w:rsid w:val="00EA73DB"/>
    <w:rsid w:val="00EA7B37"/>
    <w:rsid w:val="00EB6D75"/>
    <w:rsid w:val="00EC4820"/>
    <w:rsid w:val="00EC482D"/>
    <w:rsid w:val="00EC59E5"/>
    <w:rsid w:val="00EC63E8"/>
    <w:rsid w:val="00EC72A4"/>
    <w:rsid w:val="00EE1C3E"/>
    <w:rsid w:val="00EE4DEB"/>
    <w:rsid w:val="00EE7E19"/>
    <w:rsid w:val="00EF01A9"/>
    <w:rsid w:val="00EF2BFF"/>
    <w:rsid w:val="00EF464A"/>
    <w:rsid w:val="00F033F2"/>
    <w:rsid w:val="00F0460A"/>
    <w:rsid w:val="00F156DE"/>
    <w:rsid w:val="00F170C7"/>
    <w:rsid w:val="00F223CB"/>
    <w:rsid w:val="00F335FB"/>
    <w:rsid w:val="00F468D3"/>
    <w:rsid w:val="00F675C7"/>
    <w:rsid w:val="00F700C0"/>
    <w:rsid w:val="00F7040C"/>
    <w:rsid w:val="00F71E66"/>
    <w:rsid w:val="00F728D3"/>
    <w:rsid w:val="00F8048F"/>
    <w:rsid w:val="00F81171"/>
    <w:rsid w:val="00F81781"/>
    <w:rsid w:val="00F86661"/>
    <w:rsid w:val="00F8702C"/>
    <w:rsid w:val="00F875FB"/>
    <w:rsid w:val="00F90D25"/>
    <w:rsid w:val="00F91700"/>
    <w:rsid w:val="00F96C4E"/>
    <w:rsid w:val="00FA1160"/>
    <w:rsid w:val="00FA2366"/>
    <w:rsid w:val="00FA5717"/>
    <w:rsid w:val="00FB3514"/>
    <w:rsid w:val="00FB74CB"/>
    <w:rsid w:val="00FC6FA0"/>
    <w:rsid w:val="00FD0108"/>
    <w:rsid w:val="00FD1954"/>
    <w:rsid w:val="00FD3443"/>
    <w:rsid w:val="00FD5232"/>
    <w:rsid w:val="00FD728D"/>
    <w:rsid w:val="00FD7ED1"/>
    <w:rsid w:val="00FE035F"/>
    <w:rsid w:val="00FE041B"/>
    <w:rsid w:val="00FE2105"/>
    <w:rsid w:val="00FE28BA"/>
    <w:rsid w:val="00FE2936"/>
    <w:rsid w:val="00FE54D8"/>
    <w:rsid w:val="00FE6A9F"/>
    <w:rsid w:val="00FF44B5"/>
    <w:rsid w:val="00FF5DEC"/>
    <w:rsid w:val="00FF61A3"/>
    <w:rsid w:val="00FF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6E960A-838D-4699-97BF-7F5E5EE5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0D3"/>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u-RU"/>
    </w:rPr>
  </w:style>
  <w:style w:type="character" w:customStyle="1" w:styleId="HTMLPreformattedChar">
    <w:name w:val="HTML Preformatted Char"/>
    <w:link w:val="HTMLPreformatted"/>
    <w:locked/>
    <w:rPr>
      <w:rFonts w:ascii="Arial Unicode MS" w:eastAsia="Arial Unicode MS" w:hAnsi="Arial Unicode MS" w:cs="Arial Unicode MS" w:hint="eastAsia"/>
      <w:lang w:val="ro-RO" w:eastAsia="ru-RU"/>
    </w:rPr>
  </w:style>
  <w:style w:type="paragraph" w:styleId="NormalWeb">
    <w:name w:val="Normal (Web)"/>
    <w:aliases w:val="Знак"/>
    <w:basedOn w:val="Normal"/>
    <w:link w:val="NormalWebChar"/>
    <w:uiPriority w:val="99"/>
    <w:unhideWhenUsed/>
    <w:pPr>
      <w:ind w:firstLine="567"/>
      <w:jc w:val="both"/>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locked/>
    <w:rPr>
      <w:rFonts w:ascii="Times New Roman" w:eastAsia="Times New Roman" w:hAnsi="Times New Roman" w:cs="Times New Roman" w:hint="default"/>
    </w:rPr>
  </w:style>
  <w:style w:type="paragraph" w:styleId="BodyText">
    <w:name w:val="Body Text"/>
    <w:basedOn w:val="Normal"/>
    <w:link w:val="BodyTextChar"/>
    <w:uiPriority w:val="1"/>
    <w:semiHidden/>
    <w:unhideWhenUsed/>
    <w:qFormat/>
    <w:pPr>
      <w:widowControl w:val="0"/>
    </w:pPr>
    <w:rPr>
      <w:rFonts w:ascii="Tahoma" w:eastAsia="Tahoma" w:hAnsi="Tahoma" w:cs="Tahoma"/>
      <w:sz w:val="18"/>
      <w:szCs w:val="18"/>
      <w:lang w:val="en-US" w:eastAsia="en-US"/>
    </w:rPr>
  </w:style>
  <w:style w:type="character" w:customStyle="1" w:styleId="BodyTextChar">
    <w:name w:val="Body Text Char"/>
    <w:link w:val="BodyText"/>
    <w:uiPriority w:val="1"/>
    <w:semiHidden/>
    <w:locked/>
    <w:rPr>
      <w:rFonts w:ascii="Tahoma" w:eastAsia="Tahoma" w:hAnsi="Tahoma" w:cs="Tahoma" w:hint="default"/>
      <w:sz w:val="18"/>
      <w:szCs w:val="18"/>
      <w:lang w:val="en-US" w:eastAsia="en-US"/>
    </w:rPr>
  </w:style>
  <w:style w:type="paragraph" w:styleId="PlainText">
    <w:name w:val="Plain Text"/>
    <w:basedOn w:val="Normal"/>
    <w:link w:val="PlainTextChar"/>
    <w:uiPriority w:val="99"/>
    <w:semiHidden/>
    <w:unhideWhenUsed/>
    <w:rPr>
      <w:rFonts w:ascii="Courier New" w:hAnsi="Courier New" w:cs="Courier New"/>
      <w:sz w:val="20"/>
      <w:szCs w:val="20"/>
      <w:lang w:val="ro-RO" w:eastAsia="ru-RU"/>
    </w:rPr>
  </w:style>
  <w:style w:type="character" w:customStyle="1" w:styleId="PlainTextChar">
    <w:name w:val="Plain Text Char"/>
    <w:link w:val="PlainText"/>
    <w:uiPriority w:val="99"/>
    <w:semiHidden/>
    <w:locked/>
    <w:rPr>
      <w:rFonts w:ascii="Courier New" w:hAnsi="Courier New" w:cs="Courier New" w:hint="default"/>
      <w:lang w:val="ro-RO" w:eastAsia="ru-RU"/>
    </w:rPr>
  </w:style>
  <w:style w:type="paragraph" w:styleId="NoSpacing">
    <w:name w:val="No Spacing"/>
    <w:uiPriority w:val="1"/>
    <w:qFormat/>
    <w:rPr>
      <w:rFonts w:ascii="Calibri" w:eastAsia="Calibri" w:hAnsi="Calibri"/>
      <w:sz w:val="22"/>
      <w:szCs w:val="22"/>
    </w:rPr>
  </w:style>
  <w:style w:type="paragraph" w:styleId="ListParagraph">
    <w:name w:val="List Paragraph"/>
    <w:basedOn w:val="Normal"/>
    <w:qFormat/>
    <w:pPr>
      <w:ind w:left="720"/>
      <w:contextualSpacing/>
    </w:pPr>
  </w:style>
  <w:style w:type="paragraph" w:customStyle="1" w:styleId="tt">
    <w:name w:val="tt"/>
    <w:basedOn w:val="Normal"/>
    <w:pPr>
      <w:jc w:val="center"/>
    </w:pPr>
    <w:rPr>
      <w:b/>
      <w:bCs/>
    </w:rPr>
  </w:style>
  <w:style w:type="paragraph" w:customStyle="1" w:styleId="pb">
    <w:name w:val="pb"/>
    <w:basedOn w:val="Normal"/>
    <w:uiPriority w:val="99"/>
    <w:semiHidden/>
    <w:pPr>
      <w:jc w:val="center"/>
    </w:pPr>
    <w:rPr>
      <w:i/>
      <w:iCs/>
      <w:color w:val="663300"/>
      <w:sz w:val="20"/>
      <w:szCs w:val="20"/>
    </w:rPr>
  </w:style>
  <w:style w:type="paragraph" w:customStyle="1" w:styleId="cu">
    <w:name w:val="cu"/>
    <w:basedOn w:val="Normal"/>
    <w:uiPriority w:val="99"/>
    <w:semiHidden/>
    <w:pPr>
      <w:spacing w:before="45"/>
      <w:ind w:left="1134" w:right="567" w:hanging="567"/>
      <w:jc w:val="both"/>
    </w:pPr>
    <w:rPr>
      <w:sz w:val="20"/>
      <w:szCs w:val="20"/>
    </w:rPr>
  </w:style>
  <w:style w:type="paragraph" w:customStyle="1" w:styleId="cp">
    <w:name w:val="cp"/>
    <w:basedOn w:val="Normal"/>
    <w:uiPriority w:val="99"/>
    <w:semiHidden/>
    <w:pPr>
      <w:jc w:val="center"/>
    </w:pPr>
    <w:rPr>
      <w:b/>
      <w:bCs/>
    </w:rPr>
  </w:style>
  <w:style w:type="paragraph" w:customStyle="1" w:styleId="nt">
    <w:name w:val="nt"/>
    <w:basedOn w:val="Normal"/>
    <w:uiPriority w:val="99"/>
    <w:semiHidden/>
    <w:pPr>
      <w:ind w:left="567" w:right="567" w:hanging="567"/>
      <w:jc w:val="both"/>
    </w:pPr>
    <w:rPr>
      <w:i/>
      <w:iCs/>
      <w:color w:val="663300"/>
      <w:sz w:val="20"/>
      <w:szCs w:val="20"/>
    </w:rPr>
  </w:style>
  <w:style w:type="paragraph" w:customStyle="1" w:styleId="md">
    <w:name w:val="md"/>
    <w:basedOn w:val="Normal"/>
    <w:uiPriority w:val="99"/>
    <w:semiHidden/>
    <w:pPr>
      <w:ind w:firstLine="567"/>
      <w:jc w:val="both"/>
    </w:pPr>
    <w:rPr>
      <w:i/>
      <w:iCs/>
      <w:color w:val="663300"/>
      <w:sz w:val="20"/>
      <w:szCs w:val="20"/>
    </w:rPr>
  </w:style>
  <w:style w:type="paragraph" w:customStyle="1" w:styleId="sm">
    <w:name w:val="sm"/>
    <w:basedOn w:val="Normal"/>
    <w:uiPriority w:val="99"/>
    <w:semiHidden/>
    <w:pPr>
      <w:ind w:firstLine="567"/>
    </w:pPr>
    <w:rPr>
      <w:b/>
      <w:bCs/>
      <w:sz w:val="20"/>
      <w:szCs w:val="20"/>
    </w:rPr>
  </w:style>
  <w:style w:type="paragraph" w:customStyle="1" w:styleId="cn">
    <w:name w:val="cn"/>
    <w:basedOn w:val="Normal"/>
    <w:pPr>
      <w:jc w:val="center"/>
    </w:pPr>
  </w:style>
  <w:style w:type="paragraph" w:customStyle="1" w:styleId="cb">
    <w:name w:val="cb"/>
    <w:basedOn w:val="Normal"/>
    <w:uiPriority w:val="99"/>
    <w:semiHidden/>
    <w:pPr>
      <w:jc w:val="center"/>
    </w:pPr>
    <w:rPr>
      <w:b/>
      <w:bCs/>
    </w:rPr>
  </w:style>
  <w:style w:type="paragraph" w:customStyle="1" w:styleId="rg">
    <w:name w:val="rg"/>
    <w:basedOn w:val="Normal"/>
    <w:uiPriority w:val="99"/>
    <w:semiHidden/>
    <w:pPr>
      <w:jc w:val="right"/>
    </w:pPr>
  </w:style>
  <w:style w:type="paragraph" w:customStyle="1" w:styleId="js">
    <w:name w:val="js"/>
    <w:basedOn w:val="Normal"/>
    <w:uiPriority w:val="99"/>
    <w:semiHidden/>
    <w:pPr>
      <w:jc w:val="both"/>
    </w:pPr>
  </w:style>
  <w:style w:type="paragraph" w:customStyle="1" w:styleId="lf">
    <w:name w:val="lf"/>
    <w:basedOn w:val="Normal"/>
    <w:uiPriority w:val="99"/>
    <w:semiHidden/>
  </w:style>
  <w:style w:type="character" w:customStyle="1" w:styleId="a">
    <w:name w:val="Основной текст_"/>
    <w:link w:val="1"/>
    <w:locked/>
    <w:rPr>
      <w:sz w:val="23"/>
      <w:szCs w:val="23"/>
      <w:shd w:val="clear" w:color="auto" w:fill="FFFFFF"/>
    </w:rPr>
  </w:style>
  <w:style w:type="paragraph" w:customStyle="1" w:styleId="1">
    <w:name w:val="Основной текст1"/>
    <w:basedOn w:val="Normal"/>
    <w:link w:val="a"/>
    <w:uiPriority w:val="99"/>
    <w:semiHidden/>
    <w:pPr>
      <w:shd w:val="clear" w:color="auto" w:fill="FFFFFF"/>
      <w:spacing w:after="240" w:line="302" w:lineRule="exact"/>
      <w:ind w:hanging="460"/>
      <w:jc w:val="both"/>
    </w:pPr>
    <w:rPr>
      <w:sz w:val="23"/>
      <w:szCs w:val="23"/>
    </w:rPr>
  </w:style>
  <w:style w:type="paragraph" w:customStyle="1" w:styleId="Tiret0">
    <w:name w:val="Tiret 0"/>
    <w:basedOn w:val="Normal"/>
    <w:uiPriority w:val="99"/>
    <w:semiHidden/>
    <w:pPr>
      <w:numPr>
        <w:numId w:val="1"/>
      </w:numPr>
      <w:spacing w:before="120" w:after="120"/>
      <w:jc w:val="both"/>
    </w:pPr>
    <w:rPr>
      <w:szCs w:val="20"/>
      <w:lang w:val="ro-RO" w:eastAsia="ro-RO"/>
    </w:rPr>
  </w:style>
  <w:style w:type="paragraph" w:customStyle="1" w:styleId="WW-Web">
    <w:name w:val="WW-Обычный (Web)"/>
    <w:basedOn w:val="Normal"/>
    <w:uiPriority w:val="99"/>
    <w:semiHidden/>
    <w:pPr>
      <w:suppressAutoHyphens/>
      <w:ind w:firstLine="567"/>
      <w:jc w:val="both"/>
    </w:pPr>
    <w:rPr>
      <w:lang w:val="ro-RO" w:eastAsia="ar-SA"/>
    </w:rPr>
  </w:style>
  <w:style w:type="paragraph" w:customStyle="1" w:styleId="Default">
    <w:name w:val="Default"/>
    <w:uiPriority w:val="99"/>
    <w:semiHidden/>
    <w:pPr>
      <w:autoSpaceDE w:val="0"/>
      <w:autoSpaceDN w:val="0"/>
      <w:adjustRightInd w:val="0"/>
    </w:pPr>
    <w:rPr>
      <w:rFonts w:ascii="EUAlbertina" w:eastAsia="Calibri" w:hAnsi="EUAlbertina" w:cs="EUAlbertina"/>
      <w:color w:val="000000"/>
      <w:sz w:val="24"/>
      <w:szCs w:val="24"/>
      <w:lang w:val="ru-RU" w:eastAsia="ru-RU"/>
    </w:rPr>
  </w:style>
  <w:style w:type="paragraph" w:customStyle="1" w:styleId="CharChar">
    <w:name w:val="Char Char"/>
    <w:basedOn w:val="Normal"/>
    <w:uiPriority w:val="99"/>
    <w:semiHidden/>
    <w:pPr>
      <w:spacing w:after="160" w:line="240" w:lineRule="exact"/>
    </w:pPr>
    <w:rPr>
      <w:rFonts w:ascii="Arial" w:eastAsia="Batang" w:hAnsi="Arial" w:cs="Arial"/>
      <w:sz w:val="20"/>
      <w:szCs w:val="20"/>
      <w:lang w:val="en-US"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64E20"/>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4264D2"/>
    <w:pPr>
      <w:spacing w:before="120" w:after="120"/>
      <w:ind w:left="850"/>
      <w:jc w:val="both"/>
    </w:pPr>
    <w:rPr>
      <w:lang w:val="ro-RO"/>
    </w:rPr>
  </w:style>
  <w:style w:type="paragraph" w:customStyle="1" w:styleId="HTMLPreformatted1">
    <w:name w:val="HTML Preformatted1"/>
    <w:basedOn w:val="Normal"/>
    <w:rsid w:val="00426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ru-RU"/>
    </w:rPr>
  </w:style>
  <w:style w:type="character" w:customStyle="1" w:styleId="NormalWebChar">
    <w:name w:val="Normal (Web) Char"/>
    <w:aliases w:val="Знак Char"/>
    <w:link w:val="NormalWeb"/>
    <w:uiPriority w:val="99"/>
    <w:locked/>
    <w:rsid w:val="00580E72"/>
    <w:rPr>
      <w:sz w:val="24"/>
      <w:szCs w:val="24"/>
      <w:lang w:val="en-GB" w:eastAsia="en-GB"/>
    </w:rPr>
  </w:style>
  <w:style w:type="paragraph" w:customStyle="1" w:styleId="BodyText1">
    <w:name w:val="Body Text 1"/>
    <w:basedOn w:val="Normal"/>
    <w:uiPriority w:val="99"/>
    <w:rsid w:val="00580E72"/>
    <w:pPr>
      <w:tabs>
        <w:tab w:val="right" w:pos="-2127"/>
      </w:tabs>
      <w:suppressAutoHyphens/>
      <w:autoSpaceDE w:val="0"/>
      <w:spacing w:after="120"/>
      <w:jc w:val="both"/>
    </w:pPr>
    <w:rPr>
      <w:lang w:val="es-ES" w:eastAsia="ar-SA"/>
    </w:rPr>
  </w:style>
  <w:style w:type="paragraph" w:styleId="BodyText2">
    <w:name w:val="Body Text 2"/>
    <w:basedOn w:val="Normal"/>
    <w:link w:val="BodyText2Char"/>
    <w:uiPriority w:val="99"/>
    <w:semiHidden/>
    <w:unhideWhenUsed/>
    <w:rsid w:val="00DB37ED"/>
    <w:pPr>
      <w:spacing w:after="120" w:line="480" w:lineRule="auto"/>
    </w:pPr>
  </w:style>
  <w:style w:type="character" w:customStyle="1" w:styleId="BodyText2Char">
    <w:name w:val="Body Text 2 Char"/>
    <w:basedOn w:val="DefaultParagraphFont"/>
    <w:link w:val="BodyText2"/>
    <w:uiPriority w:val="99"/>
    <w:semiHidden/>
    <w:rsid w:val="00DB37ED"/>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4119">
      <w:bodyDiv w:val="1"/>
      <w:marLeft w:val="0"/>
      <w:marRight w:val="0"/>
      <w:marTop w:val="0"/>
      <w:marBottom w:val="0"/>
      <w:divBdr>
        <w:top w:val="none" w:sz="0" w:space="0" w:color="auto"/>
        <w:left w:val="none" w:sz="0" w:space="0" w:color="auto"/>
        <w:bottom w:val="none" w:sz="0" w:space="0" w:color="auto"/>
        <w:right w:val="none" w:sz="0" w:space="0" w:color="auto"/>
      </w:divBdr>
    </w:div>
    <w:div w:id="54016417">
      <w:bodyDiv w:val="1"/>
      <w:marLeft w:val="0"/>
      <w:marRight w:val="0"/>
      <w:marTop w:val="0"/>
      <w:marBottom w:val="0"/>
      <w:divBdr>
        <w:top w:val="none" w:sz="0" w:space="0" w:color="auto"/>
        <w:left w:val="none" w:sz="0" w:space="0" w:color="auto"/>
        <w:bottom w:val="none" w:sz="0" w:space="0" w:color="auto"/>
        <w:right w:val="none" w:sz="0" w:space="0" w:color="auto"/>
      </w:divBdr>
    </w:div>
    <w:div w:id="88700834">
      <w:bodyDiv w:val="1"/>
      <w:marLeft w:val="0"/>
      <w:marRight w:val="0"/>
      <w:marTop w:val="0"/>
      <w:marBottom w:val="0"/>
      <w:divBdr>
        <w:top w:val="none" w:sz="0" w:space="0" w:color="auto"/>
        <w:left w:val="none" w:sz="0" w:space="0" w:color="auto"/>
        <w:bottom w:val="none" w:sz="0" w:space="0" w:color="auto"/>
        <w:right w:val="none" w:sz="0" w:space="0" w:color="auto"/>
      </w:divBdr>
    </w:div>
    <w:div w:id="124474508">
      <w:bodyDiv w:val="1"/>
      <w:marLeft w:val="0"/>
      <w:marRight w:val="0"/>
      <w:marTop w:val="0"/>
      <w:marBottom w:val="0"/>
      <w:divBdr>
        <w:top w:val="none" w:sz="0" w:space="0" w:color="auto"/>
        <w:left w:val="none" w:sz="0" w:space="0" w:color="auto"/>
        <w:bottom w:val="none" w:sz="0" w:space="0" w:color="auto"/>
        <w:right w:val="none" w:sz="0" w:space="0" w:color="auto"/>
      </w:divBdr>
    </w:div>
    <w:div w:id="191042832">
      <w:bodyDiv w:val="1"/>
      <w:marLeft w:val="0"/>
      <w:marRight w:val="0"/>
      <w:marTop w:val="0"/>
      <w:marBottom w:val="0"/>
      <w:divBdr>
        <w:top w:val="none" w:sz="0" w:space="0" w:color="auto"/>
        <w:left w:val="none" w:sz="0" w:space="0" w:color="auto"/>
        <w:bottom w:val="none" w:sz="0" w:space="0" w:color="auto"/>
        <w:right w:val="none" w:sz="0" w:space="0" w:color="auto"/>
      </w:divBdr>
    </w:div>
    <w:div w:id="191693715">
      <w:bodyDiv w:val="1"/>
      <w:marLeft w:val="0"/>
      <w:marRight w:val="0"/>
      <w:marTop w:val="0"/>
      <w:marBottom w:val="0"/>
      <w:divBdr>
        <w:top w:val="none" w:sz="0" w:space="0" w:color="auto"/>
        <w:left w:val="none" w:sz="0" w:space="0" w:color="auto"/>
        <w:bottom w:val="none" w:sz="0" w:space="0" w:color="auto"/>
        <w:right w:val="none" w:sz="0" w:space="0" w:color="auto"/>
      </w:divBdr>
    </w:div>
    <w:div w:id="209417640">
      <w:bodyDiv w:val="1"/>
      <w:marLeft w:val="0"/>
      <w:marRight w:val="0"/>
      <w:marTop w:val="0"/>
      <w:marBottom w:val="0"/>
      <w:divBdr>
        <w:top w:val="none" w:sz="0" w:space="0" w:color="auto"/>
        <w:left w:val="none" w:sz="0" w:space="0" w:color="auto"/>
        <w:bottom w:val="none" w:sz="0" w:space="0" w:color="auto"/>
        <w:right w:val="none" w:sz="0" w:space="0" w:color="auto"/>
      </w:divBdr>
    </w:div>
    <w:div w:id="253780549">
      <w:bodyDiv w:val="1"/>
      <w:marLeft w:val="0"/>
      <w:marRight w:val="0"/>
      <w:marTop w:val="0"/>
      <w:marBottom w:val="0"/>
      <w:divBdr>
        <w:top w:val="none" w:sz="0" w:space="0" w:color="auto"/>
        <w:left w:val="none" w:sz="0" w:space="0" w:color="auto"/>
        <w:bottom w:val="none" w:sz="0" w:space="0" w:color="auto"/>
        <w:right w:val="none" w:sz="0" w:space="0" w:color="auto"/>
      </w:divBdr>
    </w:div>
    <w:div w:id="315186303">
      <w:bodyDiv w:val="1"/>
      <w:marLeft w:val="0"/>
      <w:marRight w:val="0"/>
      <w:marTop w:val="0"/>
      <w:marBottom w:val="0"/>
      <w:divBdr>
        <w:top w:val="none" w:sz="0" w:space="0" w:color="auto"/>
        <w:left w:val="none" w:sz="0" w:space="0" w:color="auto"/>
        <w:bottom w:val="none" w:sz="0" w:space="0" w:color="auto"/>
        <w:right w:val="none" w:sz="0" w:space="0" w:color="auto"/>
      </w:divBdr>
    </w:div>
    <w:div w:id="339822278">
      <w:bodyDiv w:val="1"/>
      <w:marLeft w:val="0"/>
      <w:marRight w:val="0"/>
      <w:marTop w:val="0"/>
      <w:marBottom w:val="0"/>
      <w:divBdr>
        <w:top w:val="none" w:sz="0" w:space="0" w:color="auto"/>
        <w:left w:val="none" w:sz="0" w:space="0" w:color="auto"/>
        <w:bottom w:val="none" w:sz="0" w:space="0" w:color="auto"/>
        <w:right w:val="none" w:sz="0" w:space="0" w:color="auto"/>
      </w:divBdr>
    </w:div>
    <w:div w:id="711031398">
      <w:bodyDiv w:val="1"/>
      <w:marLeft w:val="0"/>
      <w:marRight w:val="0"/>
      <w:marTop w:val="0"/>
      <w:marBottom w:val="0"/>
      <w:divBdr>
        <w:top w:val="none" w:sz="0" w:space="0" w:color="auto"/>
        <w:left w:val="none" w:sz="0" w:space="0" w:color="auto"/>
        <w:bottom w:val="none" w:sz="0" w:space="0" w:color="auto"/>
        <w:right w:val="none" w:sz="0" w:space="0" w:color="auto"/>
      </w:divBdr>
    </w:div>
    <w:div w:id="789519072">
      <w:bodyDiv w:val="1"/>
      <w:marLeft w:val="0"/>
      <w:marRight w:val="0"/>
      <w:marTop w:val="0"/>
      <w:marBottom w:val="0"/>
      <w:divBdr>
        <w:top w:val="none" w:sz="0" w:space="0" w:color="auto"/>
        <w:left w:val="none" w:sz="0" w:space="0" w:color="auto"/>
        <w:bottom w:val="none" w:sz="0" w:space="0" w:color="auto"/>
        <w:right w:val="none" w:sz="0" w:space="0" w:color="auto"/>
      </w:divBdr>
    </w:div>
    <w:div w:id="799298057">
      <w:bodyDiv w:val="1"/>
      <w:marLeft w:val="0"/>
      <w:marRight w:val="0"/>
      <w:marTop w:val="0"/>
      <w:marBottom w:val="0"/>
      <w:divBdr>
        <w:top w:val="none" w:sz="0" w:space="0" w:color="auto"/>
        <w:left w:val="none" w:sz="0" w:space="0" w:color="auto"/>
        <w:bottom w:val="none" w:sz="0" w:space="0" w:color="auto"/>
        <w:right w:val="none" w:sz="0" w:space="0" w:color="auto"/>
      </w:divBdr>
    </w:div>
    <w:div w:id="810681290">
      <w:bodyDiv w:val="1"/>
      <w:marLeft w:val="0"/>
      <w:marRight w:val="0"/>
      <w:marTop w:val="0"/>
      <w:marBottom w:val="0"/>
      <w:divBdr>
        <w:top w:val="none" w:sz="0" w:space="0" w:color="auto"/>
        <w:left w:val="none" w:sz="0" w:space="0" w:color="auto"/>
        <w:bottom w:val="none" w:sz="0" w:space="0" w:color="auto"/>
        <w:right w:val="none" w:sz="0" w:space="0" w:color="auto"/>
      </w:divBdr>
    </w:div>
    <w:div w:id="900868671">
      <w:bodyDiv w:val="1"/>
      <w:marLeft w:val="0"/>
      <w:marRight w:val="0"/>
      <w:marTop w:val="0"/>
      <w:marBottom w:val="0"/>
      <w:divBdr>
        <w:top w:val="none" w:sz="0" w:space="0" w:color="auto"/>
        <w:left w:val="none" w:sz="0" w:space="0" w:color="auto"/>
        <w:bottom w:val="none" w:sz="0" w:space="0" w:color="auto"/>
        <w:right w:val="none" w:sz="0" w:space="0" w:color="auto"/>
      </w:divBdr>
    </w:div>
    <w:div w:id="965283617">
      <w:bodyDiv w:val="1"/>
      <w:marLeft w:val="0"/>
      <w:marRight w:val="0"/>
      <w:marTop w:val="0"/>
      <w:marBottom w:val="0"/>
      <w:divBdr>
        <w:top w:val="none" w:sz="0" w:space="0" w:color="auto"/>
        <w:left w:val="none" w:sz="0" w:space="0" w:color="auto"/>
        <w:bottom w:val="none" w:sz="0" w:space="0" w:color="auto"/>
        <w:right w:val="none" w:sz="0" w:space="0" w:color="auto"/>
      </w:divBdr>
    </w:div>
    <w:div w:id="1022244202">
      <w:bodyDiv w:val="1"/>
      <w:marLeft w:val="0"/>
      <w:marRight w:val="0"/>
      <w:marTop w:val="0"/>
      <w:marBottom w:val="0"/>
      <w:divBdr>
        <w:top w:val="none" w:sz="0" w:space="0" w:color="auto"/>
        <w:left w:val="none" w:sz="0" w:space="0" w:color="auto"/>
        <w:bottom w:val="none" w:sz="0" w:space="0" w:color="auto"/>
        <w:right w:val="none" w:sz="0" w:space="0" w:color="auto"/>
      </w:divBdr>
    </w:div>
    <w:div w:id="1040284900">
      <w:bodyDiv w:val="1"/>
      <w:marLeft w:val="0"/>
      <w:marRight w:val="0"/>
      <w:marTop w:val="0"/>
      <w:marBottom w:val="0"/>
      <w:divBdr>
        <w:top w:val="none" w:sz="0" w:space="0" w:color="auto"/>
        <w:left w:val="none" w:sz="0" w:space="0" w:color="auto"/>
        <w:bottom w:val="none" w:sz="0" w:space="0" w:color="auto"/>
        <w:right w:val="none" w:sz="0" w:space="0" w:color="auto"/>
      </w:divBdr>
    </w:div>
    <w:div w:id="1061751508">
      <w:bodyDiv w:val="1"/>
      <w:marLeft w:val="0"/>
      <w:marRight w:val="0"/>
      <w:marTop w:val="0"/>
      <w:marBottom w:val="0"/>
      <w:divBdr>
        <w:top w:val="none" w:sz="0" w:space="0" w:color="auto"/>
        <w:left w:val="none" w:sz="0" w:space="0" w:color="auto"/>
        <w:bottom w:val="none" w:sz="0" w:space="0" w:color="auto"/>
        <w:right w:val="none" w:sz="0" w:space="0" w:color="auto"/>
      </w:divBdr>
    </w:div>
    <w:div w:id="1104544265">
      <w:bodyDiv w:val="1"/>
      <w:marLeft w:val="0"/>
      <w:marRight w:val="0"/>
      <w:marTop w:val="0"/>
      <w:marBottom w:val="0"/>
      <w:divBdr>
        <w:top w:val="none" w:sz="0" w:space="0" w:color="auto"/>
        <w:left w:val="none" w:sz="0" w:space="0" w:color="auto"/>
        <w:bottom w:val="none" w:sz="0" w:space="0" w:color="auto"/>
        <w:right w:val="none" w:sz="0" w:space="0" w:color="auto"/>
      </w:divBdr>
    </w:div>
    <w:div w:id="1219050774">
      <w:bodyDiv w:val="1"/>
      <w:marLeft w:val="0"/>
      <w:marRight w:val="0"/>
      <w:marTop w:val="0"/>
      <w:marBottom w:val="0"/>
      <w:divBdr>
        <w:top w:val="none" w:sz="0" w:space="0" w:color="auto"/>
        <w:left w:val="none" w:sz="0" w:space="0" w:color="auto"/>
        <w:bottom w:val="none" w:sz="0" w:space="0" w:color="auto"/>
        <w:right w:val="none" w:sz="0" w:space="0" w:color="auto"/>
      </w:divBdr>
    </w:div>
    <w:div w:id="1223448208">
      <w:bodyDiv w:val="1"/>
      <w:marLeft w:val="0"/>
      <w:marRight w:val="0"/>
      <w:marTop w:val="0"/>
      <w:marBottom w:val="0"/>
      <w:divBdr>
        <w:top w:val="none" w:sz="0" w:space="0" w:color="auto"/>
        <w:left w:val="none" w:sz="0" w:space="0" w:color="auto"/>
        <w:bottom w:val="none" w:sz="0" w:space="0" w:color="auto"/>
        <w:right w:val="none" w:sz="0" w:space="0" w:color="auto"/>
      </w:divBdr>
    </w:div>
    <w:div w:id="1275482674">
      <w:bodyDiv w:val="1"/>
      <w:marLeft w:val="0"/>
      <w:marRight w:val="0"/>
      <w:marTop w:val="0"/>
      <w:marBottom w:val="0"/>
      <w:divBdr>
        <w:top w:val="none" w:sz="0" w:space="0" w:color="auto"/>
        <w:left w:val="none" w:sz="0" w:space="0" w:color="auto"/>
        <w:bottom w:val="none" w:sz="0" w:space="0" w:color="auto"/>
        <w:right w:val="none" w:sz="0" w:space="0" w:color="auto"/>
      </w:divBdr>
    </w:div>
    <w:div w:id="1284117033">
      <w:bodyDiv w:val="1"/>
      <w:marLeft w:val="0"/>
      <w:marRight w:val="0"/>
      <w:marTop w:val="0"/>
      <w:marBottom w:val="0"/>
      <w:divBdr>
        <w:top w:val="none" w:sz="0" w:space="0" w:color="auto"/>
        <w:left w:val="none" w:sz="0" w:space="0" w:color="auto"/>
        <w:bottom w:val="none" w:sz="0" w:space="0" w:color="auto"/>
        <w:right w:val="none" w:sz="0" w:space="0" w:color="auto"/>
      </w:divBdr>
    </w:div>
    <w:div w:id="1310553793">
      <w:bodyDiv w:val="1"/>
      <w:marLeft w:val="0"/>
      <w:marRight w:val="0"/>
      <w:marTop w:val="0"/>
      <w:marBottom w:val="0"/>
      <w:divBdr>
        <w:top w:val="none" w:sz="0" w:space="0" w:color="auto"/>
        <w:left w:val="none" w:sz="0" w:space="0" w:color="auto"/>
        <w:bottom w:val="none" w:sz="0" w:space="0" w:color="auto"/>
        <w:right w:val="none" w:sz="0" w:space="0" w:color="auto"/>
      </w:divBdr>
    </w:div>
    <w:div w:id="1336957104">
      <w:bodyDiv w:val="1"/>
      <w:marLeft w:val="0"/>
      <w:marRight w:val="0"/>
      <w:marTop w:val="0"/>
      <w:marBottom w:val="0"/>
      <w:divBdr>
        <w:top w:val="none" w:sz="0" w:space="0" w:color="auto"/>
        <w:left w:val="none" w:sz="0" w:space="0" w:color="auto"/>
        <w:bottom w:val="none" w:sz="0" w:space="0" w:color="auto"/>
        <w:right w:val="none" w:sz="0" w:space="0" w:color="auto"/>
      </w:divBdr>
    </w:div>
    <w:div w:id="1489710803">
      <w:bodyDiv w:val="1"/>
      <w:marLeft w:val="0"/>
      <w:marRight w:val="0"/>
      <w:marTop w:val="0"/>
      <w:marBottom w:val="0"/>
      <w:divBdr>
        <w:top w:val="none" w:sz="0" w:space="0" w:color="auto"/>
        <w:left w:val="none" w:sz="0" w:space="0" w:color="auto"/>
        <w:bottom w:val="none" w:sz="0" w:space="0" w:color="auto"/>
        <w:right w:val="none" w:sz="0" w:space="0" w:color="auto"/>
      </w:divBdr>
    </w:div>
    <w:div w:id="1595243110">
      <w:bodyDiv w:val="1"/>
      <w:marLeft w:val="0"/>
      <w:marRight w:val="0"/>
      <w:marTop w:val="0"/>
      <w:marBottom w:val="0"/>
      <w:divBdr>
        <w:top w:val="none" w:sz="0" w:space="0" w:color="auto"/>
        <w:left w:val="none" w:sz="0" w:space="0" w:color="auto"/>
        <w:bottom w:val="none" w:sz="0" w:space="0" w:color="auto"/>
        <w:right w:val="none" w:sz="0" w:space="0" w:color="auto"/>
      </w:divBdr>
    </w:div>
    <w:div w:id="1670135204">
      <w:bodyDiv w:val="1"/>
      <w:marLeft w:val="0"/>
      <w:marRight w:val="0"/>
      <w:marTop w:val="0"/>
      <w:marBottom w:val="0"/>
      <w:divBdr>
        <w:top w:val="none" w:sz="0" w:space="0" w:color="auto"/>
        <w:left w:val="none" w:sz="0" w:space="0" w:color="auto"/>
        <w:bottom w:val="none" w:sz="0" w:space="0" w:color="auto"/>
        <w:right w:val="none" w:sz="0" w:space="0" w:color="auto"/>
      </w:divBdr>
    </w:div>
    <w:div w:id="1685857907">
      <w:bodyDiv w:val="1"/>
      <w:marLeft w:val="0"/>
      <w:marRight w:val="0"/>
      <w:marTop w:val="0"/>
      <w:marBottom w:val="0"/>
      <w:divBdr>
        <w:top w:val="none" w:sz="0" w:space="0" w:color="auto"/>
        <w:left w:val="none" w:sz="0" w:space="0" w:color="auto"/>
        <w:bottom w:val="none" w:sz="0" w:space="0" w:color="auto"/>
        <w:right w:val="none" w:sz="0" w:space="0" w:color="auto"/>
      </w:divBdr>
    </w:div>
    <w:div w:id="1988169902">
      <w:bodyDiv w:val="1"/>
      <w:marLeft w:val="0"/>
      <w:marRight w:val="0"/>
      <w:marTop w:val="0"/>
      <w:marBottom w:val="0"/>
      <w:divBdr>
        <w:top w:val="none" w:sz="0" w:space="0" w:color="auto"/>
        <w:left w:val="none" w:sz="0" w:space="0" w:color="auto"/>
        <w:bottom w:val="none" w:sz="0" w:space="0" w:color="auto"/>
        <w:right w:val="none" w:sz="0" w:space="0" w:color="auto"/>
      </w:divBdr>
    </w:div>
    <w:div w:id="1990011237">
      <w:bodyDiv w:val="1"/>
      <w:marLeft w:val="0"/>
      <w:marRight w:val="0"/>
      <w:marTop w:val="0"/>
      <w:marBottom w:val="0"/>
      <w:divBdr>
        <w:top w:val="none" w:sz="0" w:space="0" w:color="auto"/>
        <w:left w:val="none" w:sz="0" w:space="0" w:color="auto"/>
        <w:bottom w:val="none" w:sz="0" w:space="0" w:color="auto"/>
        <w:right w:val="none" w:sz="0" w:space="0" w:color="auto"/>
      </w:divBdr>
    </w:div>
    <w:div w:id="2105881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FCD99-F082-40FC-A749-AF194884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13</Pages>
  <Words>6876</Words>
  <Characters>39195</Characters>
  <Application>Microsoft Office Word</Application>
  <DocSecurity>0</DocSecurity>
  <Lines>326</Lines>
  <Paragraphs>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Viorica Bejan</cp:lastModifiedBy>
  <cp:revision>39</cp:revision>
  <cp:lastPrinted>2020-02-13T13:06:00Z</cp:lastPrinted>
  <dcterms:created xsi:type="dcterms:W3CDTF">2021-09-13T10:41:00Z</dcterms:created>
  <dcterms:modified xsi:type="dcterms:W3CDTF">2021-10-18T04:54:00Z</dcterms:modified>
</cp:coreProperties>
</file>