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B0" w:rsidRDefault="00C836B0" w:rsidP="00C836B0">
      <w:pPr>
        <w:jc w:val="center"/>
        <w:rPr>
          <w:b/>
          <w:sz w:val="28"/>
          <w:szCs w:val="28"/>
          <w:lang w:val="en-US"/>
        </w:rPr>
      </w:pPr>
      <w:r w:rsidRPr="008C40A0">
        <w:rPr>
          <w:b/>
          <w:sz w:val="28"/>
          <w:szCs w:val="28"/>
          <w:lang w:val="en-US"/>
        </w:rPr>
        <w:t>NOTĂ INFORMATIVĂ</w:t>
      </w:r>
    </w:p>
    <w:p w:rsidR="00C836B0" w:rsidRDefault="00C836B0" w:rsidP="00C836B0">
      <w:pPr>
        <w:jc w:val="center"/>
        <w:rPr>
          <w:b/>
          <w:sz w:val="28"/>
          <w:szCs w:val="28"/>
          <w:lang w:val="en-US"/>
        </w:rPr>
      </w:pPr>
      <w:r w:rsidRPr="008C40A0">
        <w:rPr>
          <w:b/>
          <w:sz w:val="28"/>
          <w:szCs w:val="28"/>
          <w:lang w:val="en-US"/>
        </w:rPr>
        <w:t xml:space="preserve"> la </w:t>
      </w:r>
      <w:proofErr w:type="spellStart"/>
      <w:r w:rsidRPr="008C40A0">
        <w:rPr>
          <w:b/>
          <w:sz w:val="28"/>
          <w:szCs w:val="28"/>
          <w:lang w:val="en-US"/>
        </w:rPr>
        <w:t>proiectul</w:t>
      </w:r>
      <w:proofErr w:type="spellEnd"/>
      <w:r w:rsidRPr="008C40A0">
        <w:rPr>
          <w:b/>
          <w:sz w:val="28"/>
          <w:szCs w:val="28"/>
          <w:lang w:val="en-US"/>
        </w:rPr>
        <w:t xml:space="preserve"> </w:t>
      </w:r>
      <w:proofErr w:type="spellStart"/>
      <w:r w:rsidRPr="008C40A0">
        <w:rPr>
          <w:b/>
          <w:sz w:val="28"/>
          <w:szCs w:val="28"/>
          <w:lang w:val="en-US"/>
        </w:rPr>
        <w:t>hotărîrii</w:t>
      </w:r>
      <w:proofErr w:type="spellEnd"/>
      <w:r w:rsidRPr="008C40A0">
        <w:rPr>
          <w:b/>
          <w:sz w:val="28"/>
          <w:szCs w:val="28"/>
          <w:lang w:val="en-US"/>
        </w:rPr>
        <w:t xml:space="preserve"> </w:t>
      </w:r>
      <w:proofErr w:type="spellStart"/>
      <w:r w:rsidRPr="008C40A0">
        <w:rPr>
          <w:b/>
          <w:sz w:val="28"/>
          <w:szCs w:val="28"/>
          <w:lang w:val="en-US"/>
        </w:rPr>
        <w:t>Guvernului</w:t>
      </w:r>
      <w:proofErr w:type="spellEnd"/>
      <w:r w:rsidRPr="008C40A0">
        <w:rPr>
          <w:b/>
          <w:sz w:val="28"/>
          <w:szCs w:val="28"/>
          <w:lang w:val="en-US"/>
        </w:rPr>
        <w:t xml:space="preserve"> cu </w:t>
      </w:r>
      <w:proofErr w:type="spellStart"/>
      <w:r w:rsidRPr="008C40A0">
        <w:rPr>
          <w:b/>
          <w:sz w:val="28"/>
          <w:szCs w:val="28"/>
          <w:lang w:val="en-US"/>
        </w:rPr>
        <w:t>privire</w:t>
      </w:r>
      <w:proofErr w:type="spellEnd"/>
      <w:r w:rsidRPr="008C40A0">
        <w:rPr>
          <w:b/>
          <w:sz w:val="28"/>
          <w:szCs w:val="28"/>
          <w:lang w:val="en-US"/>
        </w:rPr>
        <w:t xml:space="preserve"> la </w:t>
      </w:r>
      <w:proofErr w:type="spellStart"/>
      <w:r w:rsidRPr="008C40A0">
        <w:rPr>
          <w:b/>
          <w:sz w:val="28"/>
          <w:szCs w:val="28"/>
          <w:lang w:val="en-US"/>
        </w:rPr>
        <w:t>modificarea</w:t>
      </w:r>
      <w:proofErr w:type="spellEnd"/>
      <w:r w:rsidRPr="008C40A0">
        <w:rPr>
          <w:b/>
          <w:sz w:val="28"/>
          <w:szCs w:val="28"/>
          <w:lang w:val="en-US"/>
        </w:rPr>
        <w:t xml:space="preserve"> </w:t>
      </w:r>
      <w:proofErr w:type="spellStart"/>
      <w:r w:rsidRPr="008C40A0">
        <w:rPr>
          <w:b/>
          <w:sz w:val="28"/>
          <w:szCs w:val="28"/>
          <w:lang w:val="en-US"/>
        </w:rPr>
        <w:t>unor</w:t>
      </w:r>
      <w:proofErr w:type="spellEnd"/>
      <w:r w:rsidRPr="008C40A0">
        <w:rPr>
          <w:b/>
          <w:sz w:val="28"/>
          <w:szCs w:val="28"/>
          <w:lang w:val="en-US"/>
        </w:rPr>
        <w:t xml:space="preserve"> </w:t>
      </w:r>
      <w:proofErr w:type="spellStart"/>
      <w:r w:rsidRPr="008C40A0">
        <w:rPr>
          <w:b/>
          <w:sz w:val="28"/>
          <w:szCs w:val="28"/>
          <w:lang w:val="en-US"/>
        </w:rPr>
        <w:t>hotărîri</w:t>
      </w:r>
      <w:proofErr w:type="spellEnd"/>
      <w:r w:rsidRPr="008C40A0">
        <w:rPr>
          <w:b/>
          <w:sz w:val="28"/>
          <w:szCs w:val="28"/>
          <w:lang w:val="en-US"/>
        </w:rPr>
        <w:t xml:space="preserve"> ale </w:t>
      </w:r>
      <w:proofErr w:type="spellStart"/>
      <w:r w:rsidRPr="008C40A0">
        <w:rPr>
          <w:b/>
          <w:sz w:val="28"/>
          <w:szCs w:val="28"/>
          <w:lang w:val="en-US"/>
        </w:rPr>
        <w:t>Guvernului</w:t>
      </w:r>
      <w:proofErr w:type="spellEnd"/>
    </w:p>
    <w:p w:rsidR="00C836B0" w:rsidRPr="008C40A0" w:rsidRDefault="00C836B0" w:rsidP="00C836B0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tbl>
      <w:tblPr>
        <w:tblW w:w="5156" w:type="pct"/>
        <w:tblCellSpacing w:w="15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1"/>
      </w:tblGrid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8C40A0" w:rsidRDefault="00C836B0" w:rsidP="003857BB">
            <w:pPr>
              <w:rPr>
                <w:sz w:val="28"/>
                <w:szCs w:val="28"/>
                <w:lang w:val="en-US" w:eastAsia="ro-RO"/>
              </w:rPr>
            </w:pPr>
            <w:r w:rsidRPr="008C40A0">
              <w:rPr>
                <w:b/>
                <w:bCs/>
                <w:sz w:val="28"/>
                <w:szCs w:val="28"/>
                <w:lang w:val="en-US" w:eastAsia="ro-RO"/>
              </w:rPr>
              <w:t>1.</w:t>
            </w:r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Denumirea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autorului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şi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,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după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caz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, a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participanţilor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la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elaborarea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proiectului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</w:p>
        </w:tc>
      </w:tr>
      <w:tr w:rsidR="00C836B0" w:rsidRPr="001D480C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1308B5" w:rsidRDefault="00C836B0" w:rsidP="003857BB">
            <w:pPr>
              <w:tabs>
                <w:tab w:val="left" w:pos="270"/>
              </w:tabs>
              <w:ind w:firstLine="284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1D480C">
              <w:rPr>
                <w:sz w:val="28"/>
                <w:szCs w:val="28"/>
                <w:lang w:eastAsia="ro-RO"/>
              </w:rPr>
              <w:t>Ministerul</w:t>
            </w:r>
            <w:proofErr w:type="spellEnd"/>
            <w:r w:rsidRPr="001D480C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1D480C">
              <w:rPr>
                <w:sz w:val="28"/>
                <w:szCs w:val="28"/>
                <w:lang w:eastAsia="ro-RO"/>
              </w:rPr>
              <w:t>Finanțelor</w:t>
            </w:r>
            <w:proofErr w:type="spellEnd"/>
            <w:r>
              <w:rPr>
                <w:sz w:val="28"/>
                <w:szCs w:val="28"/>
                <w:lang w:eastAsia="ro-RO"/>
              </w:rPr>
              <w:t xml:space="preserve"> (</w:t>
            </w:r>
            <w:proofErr w:type="spellStart"/>
            <w:r w:rsidRPr="001D480C">
              <w:rPr>
                <w:sz w:val="28"/>
                <w:szCs w:val="28"/>
                <w:lang w:eastAsia="ro-RO"/>
              </w:rPr>
              <w:t>Serviciului</w:t>
            </w:r>
            <w:proofErr w:type="spellEnd"/>
            <w:r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o-RO"/>
              </w:rPr>
              <w:t>Vamal</w:t>
            </w:r>
            <w:proofErr w:type="spellEnd"/>
            <w:r>
              <w:rPr>
                <w:sz w:val="28"/>
                <w:szCs w:val="28"/>
                <w:lang w:eastAsia="ro-RO"/>
              </w:rPr>
              <w:t>).</w:t>
            </w:r>
          </w:p>
        </w:tc>
      </w:tr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8C40A0" w:rsidRDefault="00C836B0" w:rsidP="003857BB">
            <w:pPr>
              <w:ind w:firstLine="284"/>
              <w:rPr>
                <w:sz w:val="28"/>
                <w:szCs w:val="28"/>
                <w:lang w:val="en-US" w:eastAsia="ro-RO"/>
              </w:rPr>
            </w:pPr>
            <w:r w:rsidRPr="008C40A0">
              <w:rPr>
                <w:b/>
                <w:bCs/>
                <w:sz w:val="28"/>
                <w:szCs w:val="28"/>
                <w:lang w:val="en-US" w:eastAsia="ro-RO"/>
              </w:rPr>
              <w:t>2.</w:t>
            </w:r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Condiţiile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ce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au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impus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elaborarea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proiectului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de act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normativ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şi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finalităţile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urmărite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</w:p>
        </w:tc>
      </w:tr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476E43" w:rsidRDefault="00C836B0" w:rsidP="003857BB">
            <w:pPr>
              <w:pStyle w:val="NormalWeb"/>
              <w:ind w:firstLine="284"/>
              <w:rPr>
                <w:sz w:val="28"/>
                <w:szCs w:val="28"/>
              </w:rPr>
            </w:pPr>
            <w:r w:rsidRPr="00476E43">
              <w:rPr>
                <w:bCs/>
                <w:sz w:val="28"/>
                <w:szCs w:val="28"/>
              </w:rPr>
              <w:t xml:space="preserve"> </w:t>
            </w:r>
            <w:r w:rsidRPr="00476E43">
              <w:rPr>
                <w:sz w:val="28"/>
                <w:szCs w:val="28"/>
              </w:rPr>
              <w:t xml:space="preserve">În prezent prevederile </w:t>
            </w:r>
            <w:proofErr w:type="spellStart"/>
            <w:r w:rsidRPr="00476E43">
              <w:rPr>
                <w:sz w:val="28"/>
                <w:szCs w:val="28"/>
              </w:rPr>
              <w:t>legislaţiei</w:t>
            </w:r>
            <w:proofErr w:type="spellEnd"/>
            <w:r w:rsidRPr="00476E43">
              <w:rPr>
                <w:sz w:val="28"/>
                <w:szCs w:val="28"/>
              </w:rPr>
              <w:t xml:space="preserve"> în vigoare care reglementează activitatea echipelor mobile, permite acestora oprirea </w:t>
            </w:r>
            <w:proofErr w:type="spellStart"/>
            <w:r w:rsidRPr="00476E43">
              <w:rPr>
                <w:sz w:val="28"/>
                <w:szCs w:val="28"/>
              </w:rPr>
              <w:t>vehiculelelor</w:t>
            </w:r>
            <w:proofErr w:type="spellEnd"/>
            <w:r w:rsidRPr="00476E43">
              <w:rPr>
                <w:sz w:val="28"/>
                <w:szCs w:val="28"/>
              </w:rPr>
              <w:t xml:space="preserve"> </w:t>
            </w:r>
            <w:proofErr w:type="spellStart"/>
            <w:r w:rsidRPr="00476E43">
              <w:rPr>
                <w:sz w:val="28"/>
                <w:szCs w:val="28"/>
              </w:rPr>
              <w:t>utilizînd</w:t>
            </w:r>
            <w:proofErr w:type="spellEnd"/>
            <w:r w:rsidRPr="00476E43">
              <w:rPr>
                <w:sz w:val="28"/>
                <w:szCs w:val="28"/>
              </w:rPr>
              <w:t xml:space="preserve"> dispozitive speciale de avertizare luminoasă </w:t>
            </w:r>
            <w:proofErr w:type="spellStart"/>
            <w:r w:rsidRPr="00476E43">
              <w:rPr>
                <w:sz w:val="28"/>
                <w:szCs w:val="28"/>
              </w:rPr>
              <w:t>şi</w:t>
            </w:r>
            <w:proofErr w:type="spellEnd"/>
            <w:r w:rsidRPr="00476E43">
              <w:rPr>
                <w:sz w:val="28"/>
                <w:szCs w:val="28"/>
              </w:rPr>
              <w:t xml:space="preserve"> sonoră conform prevederilor </w:t>
            </w:r>
            <w:hyperlink r:id="rId4" w:history="1">
              <w:r w:rsidRPr="009603F1">
                <w:rPr>
                  <w:rStyle w:val="Hyperlink"/>
                </w:rPr>
                <w:t xml:space="preserve">Regulamentului </w:t>
              </w:r>
              <w:proofErr w:type="spellStart"/>
              <w:r w:rsidRPr="009603F1">
                <w:rPr>
                  <w:rStyle w:val="Hyperlink"/>
                </w:rPr>
                <w:t>circulaţiei</w:t>
              </w:r>
              <w:proofErr w:type="spellEnd"/>
              <w:r w:rsidRPr="009603F1">
                <w:rPr>
                  <w:rStyle w:val="Hyperlink"/>
                </w:rPr>
                <w:t xml:space="preserve"> rutiere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76E43">
              <w:rPr>
                <w:sz w:val="28"/>
                <w:szCs w:val="28"/>
              </w:rPr>
              <w:t>(art. 189</w:t>
            </w:r>
            <w:r w:rsidRPr="00476E43">
              <w:rPr>
                <w:sz w:val="28"/>
                <w:szCs w:val="28"/>
                <w:vertAlign w:val="superscript"/>
              </w:rPr>
              <w:t xml:space="preserve">3 </w:t>
            </w:r>
            <w:r w:rsidRPr="00476E43">
              <w:rPr>
                <w:sz w:val="28"/>
                <w:szCs w:val="28"/>
              </w:rPr>
              <w:t>alin. (3) lit. h) din Cod Vamal).</w:t>
            </w:r>
          </w:p>
          <w:p w:rsidR="00C836B0" w:rsidRPr="00476E43" w:rsidRDefault="00C836B0" w:rsidP="003857BB">
            <w:pPr>
              <w:pStyle w:val="NormalWeb"/>
              <w:ind w:firstLine="284"/>
              <w:rPr>
                <w:sz w:val="28"/>
                <w:szCs w:val="28"/>
                <w:lang w:eastAsia="ru-RU"/>
              </w:rPr>
            </w:pPr>
            <w:r w:rsidRPr="00476E43">
              <w:rPr>
                <w:sz w:val="28"/>
                <w:szCs w:val="28"/>
              </w:rPr>
              <w:t xml:space="preserve"> În acest sens, </w:t>
            </w:r>
            <w:proofErr w:type="spellStart"/>
            <w:r w:rsidRPr="00476E43">
              <w:rPr>
                <w:sz w:val="28"/>
                <w:szCs w:val="28"/>
              </w:rPr>
              <w:t>menţionăm</w:t>
            </w:r>
            <w:proofErr w:type="spellEnd"/>
            <w:r w:rsidRPr="00476E43">
              <w:rPr>
                <w:sz w:val="28"/>
                <w:szCs w:val="28"/>
              </w:rPr>
              <w:t xml:space="preserve"> că utilizarea </w:t>
            </w:r>
            <w:r w:rsidRPr="00476E43">
              <w:rPr>
                <w:sz w:val="28"/>
                <w:szCs w:val="28"/>
                <w:lang w:eastAsia="ru-RU"/>
              </w:rPr>
              <w:t xml:space="preserve">luminilor giratorii doar de culoare albastră </w:t>
            </w:r>
            <w:proofErr w:type="spellStart"/>
            <w:r w:rsidRPr="00476E43">
              <w:rPr>
                <w:sz w:val="28"/>
                <w:szCs w:val="28"/>
                <w:lang w:eastAsia="ru-RU"/>
              </w:rPr>
              <w:t>împedică</w:t>
            </w:r>
            <w:proofErr w:type="spellEnd"/>
            <w:r w:rsidRPr="00476E43">
              <w:rPr>
                <w:sz w:val="28"/>
                <w:szCs w:val="28"/>
                <w:lang w:eastAsia="ru-RU"/>
              </w:rPr>
              <w:t xml:space="preserve"> la </w:t>
            </w:r>
            <w:proofErr w:type="spellStart"/>
            <w:r w:rsidRPr="00476E43">
              <w:rPr>
                <w:sz w:val="28"/>
                <w:szCs w:val="28"/>
                <w:lang w:eastAsia="ru-RU"/>
              </w:rPr>
              <w:t>desfăşurarea</w:t>
            </w:r>
            <w:proofErr w:type="spellEnd"/>
            <w:r w:rsidRPr="00476E43">
              <w:rPr>
                <w:sz w:val="28"/>
                <w:szCs w:val="28"/>
                <w:lang w:eastAsia="ru-RU"/>
              </w:rPr>
              <w:t xml:space="preserve"> sarcinilor </w:t>
            </w:r>
            <w:proofErr w:type="spellStart"/>
            <w:r w:rsidRPr="00476E43">
              <w:rPr>
                <w:sz w:val="28"/>
                <w:szCs w:val="28"/>
                <w:lang w:eastAsia="ru-RU"/>
              </w:rPr>
              <w:t>şi</w:t>
            </w:r>
            <w:proofErr w:type="spellEnd"/>
            <w:r w:rsidRPr="00476E4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6E43">
              <w:rPr>
                <w:sz w:val="28"/>
                <w:szCs w:val="28"/>
                <w:lang w:eastAsia="ru-RU"/>
              </w:rPr>
              <w:t>atribuţiilor</w:t>
            </w:r>
            <w:proofErr w:type="spellEnd"/>
            <w:r w:rsidRPr="00476E43">
              <w:rPr>
                <w:sz w:val="28"/>
                <w:szCs w:val="28"/>
                <w:lang w:eastAsia="ru-RU"/>
              </w:rPr>
              <w:t xml:space="preserve"> de bază ale echipelor mobile întru stoparea, </w:t>
            </w:r>
            <w:proofErr w:type="spellStart"/>
            <w:r w:rsidRPr="00476E43">
              <w:rPr>
                <w:sz w:val="28"/>
                <w:szCs w:val="28"/>
                <w:lang w:eastAsia="ru-RU"/>
              </w:rPr>
              <w:t>reţinerea</w:t>
            </w:r>
            <w:proofErr w:type="spellEnd"/>
            <w:r w:rsidRPr="00476E4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6E43">
              <w:rPr>
                <w:sz w:val="28"/>
                <w:szCs w:val="28"/>
                <w:lang w:eastAsia="ru-RU"/>
              </w:rPr>
              <w:t>şi</w:t>
            </w:r>
            <w:proofErr w:type="spellEnd"/>
            <w:r w:rsidRPr="00476E43">
              <w:rPr>
                <w:sz w:val="28"/>
                <w:szCs w:val="28"/>
                <w:lang w:eastAsia="ru-RU"/>
              </w:rPr>
              <w:t xml:space="preserve"> efectuarea controlului mijloacelor de transport suspectate de încălcarea reglementărilor vamale </w:t>
            </w:r>
            <w:proofErr w:type="spellStart"/>
            <w:r w:rsidRPr="00476E43">
              <w:rPr>
                <w:sz w:val="28"/>
                <w:szCs w:val="28"/>
                <w:lang w:eastAsia="ru-RU"/>
              </w:rPr>
              <w:t>şi</w:t>
            </w:r>
            <w:proofErr w:type="spellEnd"/>
            <w:r w:rsidRPr="00476E43">
              <w:rPr>
                <w:sz w:val="28"/>
                <w:szCs w:val="28"/>
                <w:lang w:eastAsia="ru-RU"/>
              </w:rPr>
              <w:t xml:space="preserve"> al mărfurilor transportate de acestea.</w:t>
            </w:r>
          </w:p>
          <w:p w:rsidR="00C836B0" w:rsidRPr="008C40A0" w:rsidRDefault="00C836B0" w:rsidP="003857BB">
            <w:pPr>
              <w:ind w:firstLine="284"/>
              <w:jc w:val="both"/>
              <w:rPr>
                <w:sz w:val="28"/>
                <w:szCs w:val="28"/>
                <w:lang w:val="en-US" w:eastAsia="ro-RO"/>
              </w:rPr>
            </w:pPr>
            <w:proofErr w:type="spellStart"/>
            <w:r w:rsidRPr="008C40A0">
              <w:rPr>
                <w:sz w:val="28"/>
                <w:szCs w:val="28"/>
                <w:lang w:val="en-US"/>
              </w:rPr>
              <w:t>Prin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urmare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scopul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racordării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Regulamentului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circulației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rutiere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prevederile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legale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precum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realizarea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eficientă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a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sarcinilor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echipelor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mobile,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este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necesar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ca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unităţile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de transport ale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echipelor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mobile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să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fie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echipate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,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respectiv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: </w:t>
            </w:r>
            <w:r w:rsidRPr="008C40A0">
              <w:rPr>
                <w:b/>
                <w:i/>
                <w:sz w:val="28"/>
                <w:szCs w:val="28"/>
                <w:lang w:val="en-US" w:eastAsia="ro-RO"/>
              </w:rPr>
              <w:t xml:space="preserve">cu </w:t>
            </w:r>
            <w:proofErr w:type="spellStart"/>
            <w:r w:rsidRPr="008C40A0">
              <w:rPr>
                <w:b/>
                <w:i/>
                <w:sz w:val="28"/>
                <w:szCs w:val="28"/>
                <w:lang w:val="en-US" w:eastAsia="ro-RO"/>
              </w:rPr>
              <w:t>lumini</w:t>
            </w:r>
            <w:proofErr w:type="spellEnd"/>
            <w:r w:rsidRPr="008C40A0">
              <w:rPr>
                <w:b/>
                <w:i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i/>
                <w:sz w:val="28"/>
                <w:szCs w:val="28"/>
                <w:lang w:val="en-US" w:eastAsia="ro-RO"/>
              </w:rPr>
              <w:t>giratorii</w:t>
            </w:r>
            <w:proofErr w:type="spellEnd"/>
            <w:r w:rsidRPr="008C40A0">
              <w:rPr>
                <w:b/>
                <w:i/>
                <w:sz w:val="28"/>
                <w:szCs w:val="28"/>
                <w:lang w:val="en-US" w:eastAsia="ro-RO"/>
              </w:rPr>
              <w:t xml:space="preserve"> de </w:t>
            </w:r>
            <w:proofErr w:type="spellStart"/>
            <w:r w:rsidRPr="008C40A0">
              <w:rPr>
                <w:b/>
                <w:i/>
                <w:sz w:val="28"/>
                <w:szCs w:val="28"/>
                <w:lang w:val="en-US" w:eastAsia="ro-RO"/>
              </w:rPr>
              <w:t>culoare</w:t>
            </w:r>
            <w:proofErr w:type="spellEnd"/>
            <w:r w:rsidRPr="008C40A0">
              <w:rPr>
                <w:b/>
                <w:i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i/>
                <w:sz w:val="28"/>
                <w:szCs w:val="28"/>
                <w:lang w:val="en-US" w:eastAsia="ro-RO"/>
              </w:rPr>
              <w:t>albastră</w:t>
            </w:r>
            <w:proofErr w:type="spellEnd"/>
            <w:r w:rsidRPr="008C40A0">
              <w:rPr>
                <w:b/>
                <w:i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i/>
                <w:sz w:val="28"/>
                <w:szCs w:val="28"/>
                <w:lang w:val="en-US" w:eastAsia="ro-RO"/>
              </w:rPr>
              <w:t>şi</w:t>
            </w:r>
            <w:proofErr w:type="spellEnd"/>
            <w:r w:rsidRPr="008C40A0">
              <w:rPr>
                <w:b/>
                <w:i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i/>
                <w:sz w:val="28"/>
                <w:szCs w:val="28"/>
                <w:lang w:val="en-US" w:eastAsia="ro-RO"/>
              </w:rPr>
              <w:t>roşie</w:t>
            </w:r>
            <w:proofErr w:type="spellEnd"/>
            <w:r w:rsidRPr="008C40A0">
              <w:rPr>
                <w:b/>
                <w:i/>
                <w:sz w:val="28"/>
                <w:szCs w:val="28"/>
                <w:lang w:val="en-US" w:eastAsia="ro-RO"/>
              </w:rPr>
              <w:t xml:space="preserve">.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Acest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fapt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permite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aplicarea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practică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prevederilor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legislației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vigoare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>.</w:t>
            </w:r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</w:p>
          <w:p w:rsidR="00C836B0" w:rsidRPr="00476E43" w:rsidRDefault="00C836B0" w:rsidP="003857BB">
            <w:pPr>
              <w:ind w:firstLine="284"/>
              <w:jc w:val="both"/>
              <w:rPr>
                <w:sz w:val="28"/>
                <w:szCs w:val="28"/>
                <w:lang w:val="ro-RO" w:eastAsia="ro-RO"/>
              </w:rPr>
            </w:pP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Situația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criminogenă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pe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domeniul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antifraudă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diferă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considerabil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de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alte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țări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, care au ca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scop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protecția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tuturor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frontierelor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,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față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de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Republica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Moldova,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în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care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există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frontiera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administrativă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,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posturi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vamale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interne de control,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iar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competențele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,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sarcinile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și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atribuțiile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sunt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mult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mai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largi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.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Pe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linia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administrativă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a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regiunii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transnistrene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echipele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mobile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sunt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unica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instituție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 cu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competențe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de control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și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combatere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a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fraudelor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vamale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>.</w:t>
            </w:r>
          </w:p>
          <w:p w:rsidR="00C836B0" w:rsidRPr="005D24EA" w:rsidRDefault="00C836B0" w:rsidP="003857BB">
            <w:pPr>
              <w:shd w:val="clear" w:color="auto" w:fill="FFFFFF"/>
              <w:ind w:firstLine="284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Totodată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menționăm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autoritățile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române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ghidate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practica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europeană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cât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și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situația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curentă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domeniul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combaterii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fraudelor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fiscal -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vamale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au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constatat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necesitatea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implementării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și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utilizării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către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echipele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mobile ale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vămii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semnalelor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individualizare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trafic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mijloacelor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de transport ale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echipelor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mobile.</w:t>
            </w:r>
          </w:p>
          <w:p w:rsidR="00C836B0" w:rsidRPr="00476E43" w:rsidRDefault="00C836B0" w:rsidP="003857BB">
            <w:pPr>
              <w:shd w:val="clear" w:color="auto" w:fill="FFFFFF"/>
              <w:ind w:firstLine="284"/>
              <w:jc w:val="both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Astfel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, recent au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fost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operate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modificări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referito</w:t>
            </w:r>
            <w:r>
              <w:rPr>
                <w:color w:val="333333"/>
                <w:sz w:val="28"/>
                <w:szCs w:val="28"/>
                <w:lang w:val="en-US"/>
              </w:rPr>
              <w:t>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utilizarea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către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Echipele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Mobile ale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Autorității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Vamale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Române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semnalelor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luminiscente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>, </w:t>
            </w:r>
            <w:proofErr w:type="spellStart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>destinate</w:t>
            </w:r>
            <w:proofErr w:type="spellEnd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>individualizării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> 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acestora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trafic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și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după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caz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efectuarea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semnalelor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vederea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opririi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mijloacelor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de transport.</w:t>
            </w:r>
          </w:p>
          <w:p w:rsidR="00C836B0" w:rsidRPr="00476E43" w:rsidRDefault="00C836B0" w:rsidP="003857BB">
            <w:pPr>
              <w:shd w:val="clear" w:color="auto" w:fill="FFFFFF"/>
              <w:ind w:firstLine="284"/>
              <w:jc w:val="both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Potrivit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legislației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române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Autoritatea</w:t>
            </w:r>
            <w:proofErr w:type="spellEnd"/>
            <w:r w:rsidRPr="00476E4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6E43">
              <w:rPr>
                <w:color w:val="333333"/>
                <w:sz w:val="28"/>
                <w:szCs w:val="28"/>
                <w:lang w:val="en-US"/>
              </w:rPr>
              <w:t>Vamală</w:t>
            </w:r>
            <w:proofErr w:type="spellEnd"/>
            <w:r w:rsidRPr="00476E43">
              <w:rPr>
                <w:color w:val="333333"/>
                <w:sz w:val="28"/>
                <w:szCs w:val="28"/>
                <w:lang w:val="en-US"/>
              </w:rPr>
              <w:t xml:space="preserve"> Rom</w:t>
            </w:r>
            <w:r w:rsidRPr="00476E43">
              <w:rPr>
                <w:color w:val="333333"/>
                <w:sz w:val="28"/>
                <w:szCs w:val="28"/>
                <w:lang w:val="ro-RO"/>
              </w:rPr>
              <w:t>â</w:t>
            </w:r>
            <w:proofErr w:type="spellStart"/>
            <w:r w:rsidRPr="00476E43">
              <w:rPr>
                <w:color w:val="333333"/>
                <w:sz w:val="28"/>
                <w:szCs w:val="28"/>
                <w:lang w:val="en-US"/>
              </w:rPr>
              <w:t>nă</w:t>
            </w:r>
            <w:proofErr w:type="spellEnd"/>
            <w:r w:rsidRPr="00476E43">
              <w:rPr>
                <w:color w:val="333333"/>
                <w:sz w:val="28"/>
                <w:szCs w:val="28"/>
                <w:lang w:val="en-US"/>
              </w:rPr>
              <w:t>,</w:t>
            </w:r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doar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>colaborare</w:t>
            </w:r>
            <w:proofErr w:type="spellEnd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>organele</w:t>
            </w:r>
            <w:proofErr w:type="spellEnd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>specialitate</w:t>
            </w:r>
            <w:proofErr w:type="spellEnd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>altor</w:t>
            </w:r>
            <w:proofErr w:type="spellEnd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>ministere</w:t>
            </w:r>
            <w:proofErr w:type="spellEnd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>și</w:t>
            </w:r>
            <w:proofErr w:type="spellEnd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>instituții</w:t>
            </w:r>
            <w:proofErr w:type="spellEnd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>specializate</w:t>
            </w:r>
            <w:proofErr w:type="spellEnd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C40A0">
              <w:rPr>
                <w:bCs/>
                <w:color w:val="333333"/>
                <w:sz w:val="28"/>
                <w:szCs w:val="28"/>
                <w:lang w:val="en-US"/>
              </w:rPr>
              <w:t>poliția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>),</w:t>
            </w:r>
            <w:r w:rsidRPr="00476E43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6E43">
              <w:rPr>
                <w:color w:val="333333"/>
                <w:sz w:val="28"/>
                <w:szCs w:val="28"/>
                <w:lang w:val="en-US"/>
              </w:rPr>
              <w:t>p</w:t>
            </w:r>
            <w:r w:rsidRPr="008C40A0">
              <w:rPr>
                <w:color w:val="333333"/>
                <w:sz w:val="28"/>
                <w:szCs w:val="28"/>
                <w:lang w:val="en-US"/>
              </w:rPr>
              <w:t>articipă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la </w:t>
            </w:r>
            <w:proofErr w:type="spellStart"/>
            <w:proofErr w:type="gramStart"/>
            <w:r w:rsidRPr="008C40A0">
              <w:rPr>
                <w:color w:val="333333"/>
                <w:sz w:val="28"/>
                <w:szCs w:val="28"/>
                <w:lang w:val="en-US"/>
              </w:rPr>
              <w:t>acțiuni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>  de</w:t>
            </w:r>
            <w:proofErr w:type="gram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depistare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și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combatere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activităților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ilicite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generează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fenomene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evaziune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și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fraudă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fiscală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>.</w:t>
            </w:r>
            <w:r w:rsidRPr="00476E43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6E43">
              <w:rPr>
                <w:color w:val="333333"/>
                <w:sz w:val="28"/>
                <w:szCs w:val="28"/>
                <w:lang w:val="en-US"/>
              </w:rPr>
              <w:t>Atenționăm</w:t>
            </w:r>
            <w:proofErr w:type="spellEnd"/>
            <w:r>
              <w:rPr>
                <w:color w:val="333333"/>
                <w:sz w:val="28"/>
                <w:szCs w:val="28"/>
                <w:lang w:val="en-US"/>
              </w:rPr>
              <w:t>,</w:t>
            </w:r>
            <w:r w:rsidRPr="00476E43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6E43">
              <w:rPr>
                <w:color w:val="333333"/>
                <w:sz w:val="28"/>
                <w:szCs w:val="28"/>
                <w:lang w:val="en-US"/>
              </w:rPr>
              <w:t>că</w:t>
            </w:r>
            <w:proofErr w:type="spellEnd"/>
            <w:r w:rsidRPr="00476E43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u w:val="single"/>
                <w:lang w:val="en-US"/>
              </w:rPr>
              <w:t>echipele</w:t>
            </w:r>
            <w:proofErr w:type="spellEnd"/>
            <w:r w:rsidRPr="008C40A0">
              <w:rPr>
                <w:color w:val="333333"/>
                <w:sz w:val="28"/>
                <w:szCs w:val="28"/>
                <w:u w:val="single"/>
                <w:lang w:val="en-US"/>
              </w:rPr>
              <w:t xml:space="preserve"> mobile ale </w:t>
            </w:r>
            <w:proofErr w:type="spellStart"/>
            <w:r w:rsidRPr="008C40A0">
              <w:rPr>
                <w:color w:val="333333"/>
                <w:sz w:val="28"/>
                <w:szCs w:val="28"/>
                <w:u w:val="single"/>
                <w:lang w:val="en-US"/>
              </w:rPr>
              <w:t>Serviciului</w:t>
            </w:r>
            <w:proofErr w:type="spellEnd"/>
            <w:r w:rsidRPr="008C40A0">
              <w:rPr>
                <w:color w:val="333333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u w:val="single"/>
                <w:lang w:val="en-US"/>
              </w:rPr>
              <w:t>Vamal</w:t>
            </w:r>
            <w:proofErr w:type="spellEnd"/>
            <w:r w:rsidRPr="008C40A0">
              <w:rPr>
                <w:color w:val="333333"/>
                <w:sz w:val="28"/>
                <w:szCs w:val="28"/>
                <w:u w:val="single"/>
                <w:lang w:val="en-US"/>
              </w:rPr>
              <w:t xml:space="preserve">, </w:t>
            </w:r>
            <w:proofErr w:type="spellStart"/>
            <w:r w:rsidRPr="008C40A0">
              <w:rPr>
                <w:color w:val="333333"/>
                <w:sz w:val="28"/>
                <w:szCs w:val="28"/>
                <w:u w:val="single"/>
                <w:lang w:val="en-US"/>
              </w:rPr>
              <w:t>s</w:t>
            </w:r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înt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singurele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subdiviziuni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speciale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operative ale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Serviciului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Vamal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, care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efectuează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controlul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mărfurilor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vehiculelor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documentelor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şi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persoanelor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în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scopul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asigurării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respectării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legislaţiei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vamale</w:t>
            </w:r>
            <w:proofErr w:type="spellEnd"/>
            <w:r w:rsidRPr="008C40A0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8C40A0">
              <w:rPr>
                <w:color w:val="333333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depistează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căile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mijloacele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şi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mecanismele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introducere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>/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scoatere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ilegală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pe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teritoriul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Republicii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Moldova a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mărfurilor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şi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vehiculelor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stabileşte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cauzele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şi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condiţiile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favorizează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comiterea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acestor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încălcări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însoţesc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cazul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există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bănuială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rezonabilă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de a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presupune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că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au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fost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încălcate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prevederile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legislaţiei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mărfurile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şi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vehiculele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pînă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organul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vamal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proxim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sau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pînă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locurile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situate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raza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lui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activitate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unde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este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posibilă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examinarea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mărfurilor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şi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color w:val="333333"/>
                <w:sz w:val="28"/>
                <w:szCs w:val="28"/>
                <w:lang w:val="en-US"/>
              </w:rPr>
              <w:t>vehiculelor</w:t>
            </w:r>
            <w:proofErr w:type="spellEnd"/>
            <w:r w:rsidRPr="008C40A0">
              <w:rPr>
                <w:color w:val="333333"/>
                <w:sz w:val="28"/>
                <w:szCs w:val="28"/>
                <w:lang w:val="en-US"/>
              </w:rPr>
              <w:t>.</w:t>
            </w:r>
          </w:p>
        </w:tc>
      </w:tr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8C40A0" w:rsidRDefault="00C836B0" w:rsidP="003857BB">
            <w:pPr>
              <w:ind w:firstLine="284"/>
              <w:jc w:val="both"/>
              <w:rPr>
                <w:sz w:val="28"/>
                <w:szCs w:val="28"/>
                <w:lang w:val="en-US" w:eastAsia="ro-RO"/>
              </w:rPr>
            </w:pPr>
            <w:r w:rsidRPr="008C40A0">
              <w:rPr>
                <w:b/>
                <w:bCs/>
                <w:sz w:val="28"/>
                <w:szCs w:val="28"/>
                <w:lang w:val="en-US" w:eastAsia="ro-RO"/>
              </w:rPr>
              <w:t>3.</w:t>
            </w:r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Descrierea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gradului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de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compatibilitate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pentru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proiectele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care au ca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scop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armonizarea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legislaţiei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naţionale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cu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legislaţia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Uniunii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Europene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</w:p>
        </w:tc>
      </w:tr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8C40A0" w:rsidRDefault="00C836B0" w:rsidP="003857BB">
            <w:pPr>
              <w:ind w:firstLine="284"/>
              <w:rPr>
                <w:sz w:val="28"/>
                <w:szCs w:val="28"/>
                <w:lang w:val="en-US" w:eastAsia="ro-RO"/>
              </w:rPr>
            </w:pPr>
            <w:proofErr w:type="spellStart"/>
            <w:r w:rsidRPr="008C40A0">
              <w:rPr>
                <w:sz w:val="28"/>
                <w:szCs w:val="28"/>
                <w:lang w:val="en-US"/>
              </w:rPr>
              <w:lastRenderedPageBreak/>
              <w:t>Proiectul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nu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prevede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armonizarea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legislația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Uniunii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Europene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>.</w:t>
            </w:r>
          </w:p>
        </w:tc>
      </w:tr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B37A19" w:rsidRDefault="00C836B0" w:rsidP="003857BB">
            <w:pPr>
              <w:ind w:firstLine="284"/>
              <w:rPr>
                <w:sz w:val="28"/>
                <w:szCs w:val="28"/>
                <w:lang w:val="ro-RO" w:eastAsia="ro-RO"/>
              </w:rPr>
            </w:pPr>
            <w:r w:rsidRPr="008C40A0">
              <w:rPr>
                <w:b/>
                <w:bCs/>
                <w:sz w:val="28"/>
                <w:szCs w:val="28"/>
                <w:lang w:val="en-US" w:eastAsia="ro-RO"/>
              </w:rPr>
              <w:t>4.</w:t>
            </w:r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Principalele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prevederi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ale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proiectului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sunt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>:</w:t>
            </w:r>
          </w:p>
        </w:tc>
      </w:tr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836B0" w:rsidRPr="008C40A0" w:rsidRDefault="00C836B0" w:rsidP="003857BB">
            <w:pPr>
              <w:ind w:firstLine="284"/>
              <w:jc w:val="both"/>
              <w:rPr>
                <w:b/>
                <w:bCs/>
                <w:sz w:val="28"/>
                <w:szCs w:val="28"/>
                <w:lang w:val="en-US" w:eastAsia="ro-RO"/>
              </w:rPr>
            </w:pPr>
            <w:proofErr w:type="spellStart"/>
            <w:r w:rsidRPr="008C40A0">
              <w:rPr>
                <w:sz w:val="28"/>
                <w:szCs w:val="28"/>
                <w:lang w:val="en-US"/>
              </w:rPr>
              <w:t>Necesitatea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modificării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Regulamentului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circulației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rutiere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nr.357/2009,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aprobat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prin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Hotărîrea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Guvernului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nr.357/2009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Regulamentului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privind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cerințele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generale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echipare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autovehiculelor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regim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prioritar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circulație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autovehiculelor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speciale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aprobat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prin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Hotărîrea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Guvernului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nr.500/2018,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condiționată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înlăturarea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dificultăților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survin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urmare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desfășurării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sarcinilor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serviciu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colaboratorilor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vamali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echipelor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mobile,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stoparea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reținerea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controlul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mijloacelor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de transport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suspecte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încălcarea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reglementărilor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vamale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transportarea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mărfurilor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îndeplinirea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sarcinilor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bază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avînd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un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regim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prioritar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circulație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autovehiculele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echipelor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mobile ale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Serviciului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Vamal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necesită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a fi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echipate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lumini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giratorii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culoare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albastră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roșie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Astfel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, se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propune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modificarea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pct.38 alin.1)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pct.19 din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Regulamentele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menționate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supra.</w:t>
            </w:r>
          </w:p>
        </w:tc>
      </w:tr>
      <w:tr w:rsidR="00C836B0" w:rsidRPr="001D480C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1D480C" w:rsidRDefault="00C836B0" w:rsidP="003857BB">
            <w:pPr>
              <w:ind w:firstLine="284"/>
              <w:rPr>
                <w:sz w:val="28"/>
                <w:szCs w:val="28"/>
                <w:lang w:eastAsia="ro-RO"/>
              </w:rPr>
            </w:pPr>
            <w:r w:rsidRPr="001D480C">
              <w:rPr>
                <w:b/>
                <w:bCs/>
                <w:sz w:val="28"/>
                <w:szCs w:val="28"/>
                <w:lang w:eastAsia="ro-RO"/>
              </w:rPr>
              <w:t>5.</w:t>
            </w:r>
            <w:r w:rsidRPr="001D480C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9603F1">
              <w:rPr>
                <w:b/>
                <w:sz w:val="28"/>
                <w:szCs w:val="28"/>
                <w:lang w:eastAsia="ro-RO"/>
              </w:rPr>
              <w:t>Fundamentarea</w:t>
            </w:r>
            <w:proofErr w:type="spellEnd"/>
            <w:r w:rsidRPr="009603F1">
              <w:rPr>
                <w:b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9603F1">
              <w:rPr>
                <w:b/>
                <w:sz w:val="28"/>
                <w:szCs w:val="28"/>
                <w:lang w:eastAsia="ro-RO"/>
              </w:rPr>
              <w:t>economico-financiară</w:t>
            </w:r>
            <w:proofErr w:type="spellEnd"/>
            <w:r w:rsidRPr="001D480C">
              <w:rPr>
                <w:sz w:val="28"/>
                <w:szCs w:val="28"/>
                <w:lang w:eastAsia="ro-RO"/>
              </w:rPr>
              <w:t xml:space="preserve"> </w:t>
            </w:r>
          </w:p>
        </w:tc>
      </w:tr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8C40A0" w:rsidRDefault="00C836B0" w:rsidP="003857BB">
            <w:pPr>
              <w:ind w:firstLine="284"/>
              <w:jc w:val="both"/>
              <w:rPr>
                <w:sz w:val="28"/>
                <w:szCs w:val="28"/>
                <w:lang w:val="en-US" w:eastAsia="ro-RO"/>
              </w:rPr>
            </w:pPr>
            <w:proofErr w:type="spellStart"/>
            <w:r w:rsidRPr="008C40A0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necesită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cheltuieli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financiare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minime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vor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fi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acoperite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limitele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alocațiilor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bugetare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aprobate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>.</w:t>
            </w:r>
          </w:p>
        </w:tc>
      </w:tr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8C40A0" w:rsidRDefault="00C836B0" w:rsidP="003857BB">
            <w:pPr>
              <w:ind w:firstLine="284"/>
              <w:rPr>
                <w:sz w:val="28"/>
                <w:szCs w:val="28"/>
                <w:lang w:val="en-US" w:eastAsia="ro-RO"/>
              </w:rPr>
            </w:pPr>
            <w:r w:rsidRPr="008C40A0">
              <w:rPr>
                <w:b/>
                <w:bCs/>
                <w:sz w:val="28"/>
                <w:szCs w:val="28"/>
                <w:lang w:val="en-US" w:eastAsia="ro-RO"/>
              </w:rPr>
              <w:t>6.</w:t>
            </w:r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Modul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de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încorporare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a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actului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în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cadrul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normativ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în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vigoare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</w:p>
        </w:tc>
      </w:tr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8C40A0" w:rsidRDefault="00C836B0" w:rsidP="003857BB">
            <w:pPr>
              <w:ind w:firstLine="284"/>
              <w:jc w:val="both"/>
              <w:rPr>
                <w:sz w:val="28"/>
                <w:szCs w:val="28"/>
                <w:lang w:val="en-US" w:eastAsia="ro-RO"/>
              </w:rPr>
            </w:pP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Proiectul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nu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necesită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abrogarea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sau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aprobarea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altor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acte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normative.</w:t>
            </w:r>
          </w:p>
        </w:tc>
      </w:tr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8C40A0" w:rsidRDefault="00C836B0" w:rsidP="003857BB">
            <w:pPr>
              <w:ind w:firstLine="284"/>
              <w:rPr>
                <w:sz w:val="28"/>
                <w:szCs w:val="28"/>
                <w:lang w:val="en-US" w:eastAsia="ro-RO"/>
              </w:rPr>
            </w:pPr>
            <w:r w:rsidRPr="008C40A0">
              <w:rPr>
                <w:b/>
                <w:bCs/>
                <w:sz w:val="28"/>
                <w:szCs w:val="28"/>
                <w:lang w:val="en-US" w:eastAsia="ro-RO"/>
              </w:rPr>
              <w:t>7.</w:t>
            </w:r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Avizarea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şi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consultarea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publică</w:t>
            </w:r>
            <w:proofErr w:type="spellEnd"/>
            <w:r w:rsidRPr="008C40A0">
              <w:rPr>
                <w:b/>
                <w:sz w:val="28"/>
                <w:szCs w:val="28"/>
                <w:lang w:val="en-US" w:eastAsia="ro-RO"/>
              </w:rPr>
              <w:t xml:space="preserve"> a </w:t>
            </w:r>
            <w:proofErr w:type="spellStart"/>
            <w:r w:rsidRPr="008C40A0">
              <w:rPr>
                <w:b/>
                <w:sz w:val="28"/>
                <w:szCs w:val="28"/>
                <w:lang w:val="en-US" w:eastAsia="ro-RO"/>
              </w:rPr>
              <w:t>proiectului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</w:p>
        </w:tc>
      </w:tr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8C40A0" w:rsidRDefault="00C836B0" w:rsidP="003857BB">
            <w:pPr>
              <w:ind w:firstLine="28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C40A0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urmează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a fi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supus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avizării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consultării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publice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conformitate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cu art.32 din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Legea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nr.100/2017 cu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actele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normative,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prin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expediere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părților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interesate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prin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publicare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pagina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web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oficială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Ministerului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Finanțelor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. </w:t>
            </w:r>
          </w:p>
          <w:p w:rsidR="00C836B0" w:rsidRPr="008C40A0" w:rsidRDefault="00C836B0" w:rsidP="003857BB">
            <w:pPr>
              <w:ind w:firstLine="28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C40A0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scopul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respectării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prevederilor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Legii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nr.239/2008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privind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transparența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procesul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decizional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anunțul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privind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inițierea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procesului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elaborare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proiectului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fi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plasat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pagina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oficială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Ministerului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Finanțelor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, la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compartimentul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Transparența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decizională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Consultări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publice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asigura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avizarea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acestuia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către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instituțiile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/>
              </w:rPr>
              <w:t>interesate</w:t>
            </w:r>
            <w:proofErr w:type="spellEnd"/>
            <w:r w:rsidRPr="008C40A0">
              <w:rPr>
                <w:sz w:val="28"/>
                <w:szCs w:val="28"/>
                <w:lang w:val="en-US"/>
              </w:rPr>
              <w:t>.</w:t>
            </w:r>
          </w:p>
        </w:tc>
      </w:tr>
      <w:tr w:rsidR="00C836B0" w:rsidRPr="001D480C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1D480C" w:rsidRDefault="00C836B0" w:rsidP="003857BB">
            <w:pPr>
              <w:ind w:firstLine="284"/>
              <w:rPr>
                <w:sz w:val="28"/>
                <w:szCs w:val="28"/>
                <w:lang w:eastAsia="ro-RO"/>
              </w:rPr>
            </w:pPr>
            <w:r w:rsidRPr="001D480C">
              <w:rPr>
                <w:b/>
                <w:bCs/>
                <w:sz w:val="28"/>
                <w:szCs w:val="28"/>
                <w:lang w:eastAsia="ro-RO"/>
              </w:rPr>
              <w:t>8.</w:t>
            </w:r>
            <w:r w:rsidRPr="001D480C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9603F1">
              <w:rPr>
                <w:b/>
                <w:sz w:val="28"/>
                <w:szCs w:val="28"/>
                <w:lang w:eastAsia="ro-RO"/>
              </w:rPr>
              <w:t>Constatările</w:t>
            </w:r>
            <w:proofErr w:type="spellEnd"/>
            <w:r w:rsidRPr="009603F1">
              <w:rPr>
                <w:b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9603F1">
              <w:rPr>
                <w:b/>
                <w:sz w:val="28"/>
                <w:szCs w:val="28"/>
                <w:lang w:eastAsia="ro-RO"/>
              </w:rPr>
              <w:t>expertizei</w:t>
            </w:r>
            <w:proofErr w:type="spellEnd"/>
            <w:r w:rsidRPr="009603F1">
              <w:rPr>
                <w:b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9603F1">
              <w:rPr>
                <w:b/>
                <w:sz w:val="28"/>
                <w:szCs w:val="28"/>
                <w:lang w:eastAsia="ro-RO"/>
              </w:rPr>
              <w:t>anticorupţie</w:t>
            </w:r>
            <w:proofErr w:type="spellEnd"/>
            <w:r w:rsidRPr="001D480C">
              <w:rPr>
                <w:sz w:val="28"/>
                <w:szCs w:val="28"/>
                <w:lang w:eastAsia="ro-RO"/>
              </w:rPr>
              <w:t xml:space="preserve"> </w:t>
            </w:r>
          </w:p>
        </w:tc>
      </w:tr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8C40A0" w:rsidRDefault="00C836B0" w:rsidP="003857BB">
            <w:pPr>
              <w:ind w:firstLine="284"/>
              <w:jc w:val="both"/>
              <w:rPr>
                <w:sz w:val="28"/>
                <w:szCs w:val="28"/>
                <w:lang w:val="en-US" w:eastAsia="ro-RO"/>
              </w:rPr>
            </w:pP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Potrivit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art.35 din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Legea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nr.100/2017 cu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privire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la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actele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normative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proiectul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urmează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a fi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supus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expertizei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anticorupție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de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către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Centrul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Național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Anticorupție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, care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urmează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a fi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efectuată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în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conformitate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prevederile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Legii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nr.1104/2002 cu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privire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la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Centrul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Național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Anticorupție.Informația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privind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rezultatele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expertizei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anticorupție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va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fi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inclusă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în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sinteza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obiecțiilor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și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propunerilor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>/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recomandărilor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la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proiectul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hotărârii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de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Guvern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>.</w:t>
            </w:r>
          </w:p>
        </w:tc>
      </w:tr>
      <w:tr w:rsidR="00C836B0" w:rsidRPr="001D480C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1D480C" w:rsidRDefault="00C836B0" w:rsidP="003857BB">
            <w:pPr>
              <w:ind w:firstLine="284"/>
              <w:rPr>
                <w:sz w:val="28"/>
                <w:szCs w:val="28"/>
                <w:lang w:eastAsia="ro-RO"/>
              </w:rPr>
            </w:pPr>
            <w:r w:rsidRPr="001D480C">
              <w:rPr>
                <w:b/>
                <w:bCs/>
                <w:sz w:val="28"/>
                <w:szCs w:val="28"/>
                <w:lang w:eastAsia="ro-RO"/>
              </w:rPr>
              <w:t>9.</w:t>
            </w:r>
            <w:r w:rsidRPr="001D480C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9603F1">
              <w:rPr>
                <w:b/>
                <w:sz w:val="28"/>
                <w:szCs w:val="28"/>
                <w:lang w:eastAsia="ro-RO"/>
              </w:rPr>
              <w:t>Constatările</w:t>
            </w:r>
            <w:proofErr w:type="spellEnd"/>
            <w:r w:rsidRPr="009603F1">
              <w:rPr>
                <w:b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9603F1">
              <w:rPr>
                <w:b/>
                <w:sz w:val="28"/>
                <w:szCs w:val="28"/>
                <w:lang w:eastAsia="ro-RO"/>
              </w:rPr>
              <w:t>expertizei</w:t>
            </w:r>
            <w:proofErr w:type="spellEnd"/>
            <w:r w:rsidRPr="009603F1">
              <w:rPr>
                <w:b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9603F1">
              <w:rPr>
                <w:b/>
                <w:sz w:val="28"/>
                <w:szCs w:val="28"/>
                <w:lang w:eastAsia="ro-RO"/>
              </w:rPr>
              <w:t>de</w:t>
            </w:r>
            <w:proofErr w:type="spellEnd"/>
            <w:r w:rsidRPr="009603F1">
              <w:rPr>
                <w:b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9603F1">
              <w:rPr>
                <w:b/>
                <w:sz w:val="28"/>
                <w:szCs w:val="28"/>
                <w:lang w:eastAsia="ro-RO"/>
              </w:rPr>
              <w:t>compatibilitate</w:t>
            </w:r>
            <w:proofErr w:type="spellEnd"/>
            <w:r w:rsidRPr="001D480C">
              <w:rPr>
                <w:sz w:val="28"/>
                <w:szCs w:val="28"/>
                <w:lang w:eastAsia="ro-RO"/>
              </w:rPr>
              <w:t xml:space="preserve"> </w:t>
            </w:r>
          </w:p>
        </w:tc>
      </w:tr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8C40A0" w:rsidRDefault="00C836B0" w:rsidP="003857BB">
            <w:pPr>
              <w:ind w:firstLine="284"/>
              <w:rPr>
                <w:sz w:val="28"/>
                <w:szCs w:val="28"/>
                <w:lang w:val="en-US" w:eastAsia="ro-RO"/>
              </w:rPr>
            </w:pP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Proiectul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nu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urmează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a fi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examinat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 xml:space="preserve"> sub aspect de </w:t>
            </w:r>
            <w:proofErr w:type="spellStart"/>
            <w:r w:rsidRPr="008C40A0">
              <w:rPr>
                <w:sz w:val="28"/>
                <w:szCs w:val="28"/>
                <w:lang w:val="en-US" w:eastAsia="ro-RO"/>
              </w:rPr>
              <w:t>compatibilitate</w:t>
            </w:r>
            <w:proofErr w:type="spellEnd"/>
            <w:r w:rsidRPr="008C40A0">
              <w:rPr>
                <w:sz w:val="28"/>
                <w:szCs w:val="28"/>
                <w:lang w:val="en-US" w:eastAsia="ro-RO"/>
              </w:rPr>
              <w:t>.</w:t>
            </w:r>
          </w:p>
        </w:tc>
      </w:tr>
      <w:tr w:rsidR="00C836B0" w:rsidRPr="001D480C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1D480C" w:rsidRDefault="00C836B0" w:rsidP="003857BB">
            <w:pPr>
              <w:ind w:firstLine="284"/>
              <w:rPr>
                <w:sz w:val="28"/>
                <w:szCs w:val="28"/>
                <w:lang w:eastAsia="ro-RO"/>
              </w:rPr>
            </w:pPr>
            <w:r w:rsidRPr="001D480C">
              <w:rPr>
                <w:b/>
                <w:bCs/>
                <w:sz w:val="28"/>
                <w:szCs w:val="28"/>
                <w:lang w:eastAsia="ro-RO"/>
              </w:rPr>
              <w:t>10.</w:t>
            </w:r>
            <w:r w:rsidRPr="001D480C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9603F1">
              <w:rPr>
                <w:b/>
                <w:sz w:val="28"/>
                <w:szCs w:val="28"/>
                <w:lang w:eastAsia="ro-RO"/>
              </w:rPr>
              <w:t>Constatările</w:t>
            </w:r>
            <w:proofErr w:type="spellEnd"/>
            <w:r w:rsidRPr="009603F1">
              <w:rPr>
                <w:b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9603F1">
              <w:rPr>
                <w:b/>
                <w:sz w:val="28"/>
                <w:szCs w:val="28"/>
                <w:lang w:eastAsia="ro-RO"/>
              </w:rPr>
              <w:t>expertizei</w:t>
            </w:r>
            <w:proofErr w:type="spellEnd"/>
            <w:r w:rsidRPr="009603F1">
              <w:rPr>
                <w:b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9603F1">
              <w:rPr>
                <w:b/>
                <w:sz w:val="28"/>
                <w:szCs w:val="28"/>
                <w:lang w:eastAsia="ro-RO"/>
              </w:rPr>
              <w:t>juridice</w:t>
            </w:r>
            <w:proofErr w:type="spellEnd"/>
            <w:r w:rsidRPr="001D480C">
              <w:rPr>
                <w:sz w:val="28"/>
                <w:szCs w:val="28"/>
                <w:lang w:eastAsia="ro-RO"/>
              </w:rPr>
              <w:t xml:space="preserve"> </w:t>
            </w:r>
          </w:p>
        </w:tc>
      </w:tr>
      <w:tr w:rsidR="00C836B0" w:rsidRPr="00524970" w:rsidTr="003857BB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6B0" w:rsidRPr="001D480C" w:rsidRDefault="00C836B0" w:rsidP="003857BB">
            <w:pPr>
              <w:pStyle w:val="ListParagraph"/>
              <w:tabs>
                <w:tab w:val="left" w:pos="269"/>
              </w:tabs>
              <w:ind w:left="0" w:firstLine="284"/>
              <w:jc w:val="both"/>
              <w:rPr>
                <w:rFonts w:eastAsia="Times New Roman"/>
                <w:szCs w:val="28"/>
                <w:lang w:val="ro-RO"/>
              </w:rPr>
            </w:pPr>
            <w:r w:rsidRPr="00B37A19">
              <w:rPr>
                <w:rFonts w:eastAsia="Times New Roman"/>
                <w:szCs w:val="28"/>
                <w:lang w:val="ro-RO"/>
              </w:rPr>
              <w:t>În conformitate cu art.37 din Legea nr.100/2017 cu privire la actele normative proiectul urmează a fi supus expertizei juridice. Informația privind rezultatele expertizei juridice va fi inclusă în sinteza obiecțiilor și propunerilor/recomandărilor la proiectul hotărârii de Guvern.</w:t>
            </w:r>
          </w:p>
        </w:tc>
      </w:tr>
    </w:tbl>
    <w:p w:rsidR="00C836B0" w:rsidRPr="008C40A0" w:rsidRDefault="00C836B0" w:rsidP="00C836B0">
      <w:pPr>
        <w:ind w:firstLine="284"/>
        <w:rPr>
          <w:lang w:val="en-US"/>
        </w:rPr>
      </w:pPr>
    </w:p>
    <w:p w:rsidR="00C836B0" w:rsidRPr="008C40A0" w:rsidRDefault="00C836B0" w:rsidP="00C836B0">
      <w:pPr>
        <w:ind w:firstLine="284"/>
        <w:rPr>
          <w:lang w:val="en-US"/>
        </w:rPr>
      </w:pPr>
    </w:p>
    <w:p w:rsidR="00C836B0" w:rsidRPr="008C40A0" w:rsidRDefault="00C836B0" w:rsidP="00C836B0">
      <w:pPr>
        <w:ind w:firstLine="284"/>
        <w:rPr>
          <w:lang w:val="en-US"/>
        </w:rPr>
      </w:pPr>
    </w:p>
    <w:p w:rsidR="00C836B0" w:rsidRPr="00586B8A" w:rsidRDefault="00C836B0" w:rsidP="00C836B0">
      <w:pPr>
        <w:jc w:val="center"/>
        <w:rPr>
          <w:b/>
          <w:sz w:val="28"/>
          <w:szCs w:val="28"/>
          <w:lang w:val="en-US"/>
        </w:rPr>
      </w:pPr>
      <w:proofErr w:type="spellStart"/>
      <w:r w:rsidRPr="00586B8A">
        <w:rPr>
          <w:b/>
          <w:sz w:val="28"/>
          <w:szCs w:val="28"/>
          <w:lang w:val="en-US"/>
        </w:rPr>
        <w:t>Ministrul</w:t>
      </w:r>
      <w:proofErr w:type="spellEnd"/>
      <w:r w:rsidRPr="00586B8A">
        <w:rPr>
          <w:b/>
          <w:sz w:val="28"/>
          <w:szCs w:val="28"/>
          <w:lang w:val="en-US"/>
        </w:rPr>
        <w:t xml:space="preserve"> </w:t>
      </w:r>
      <w:proofErr w:type="spellStart"/>
      <w:r w:rsidRPr="00586B8A">
        <w:rPr>
          <w:b/>
          <w:sz w:val="28"/>
          <w:szCs w:val="28"/>
          <w:lang w:val="en-US"/>
        </w:rPr>
        <w:t>finanțelor</w:t>
      </w:r>
      <w:proofErr w:type="spellEnd"/>
      <w:r w:rsidRPr="00586B8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   </w:t>
      </w:r>
      <w:proofErr w:type="gramStart"/>
      <w:r w:rsidRPr="00586B8A">
        <w:rPr>
          <w:b/>
          <w:sz w:val="28"/>
          <w:szCs w:val="28"/>
          <w:lang w:val="en-US"/>
        </w:rPr>
        <w:t xml:space="preserve">   </w:t>
      </w:r>
      <w:r w:rsidRPr="00586B8A">
        <w:rPr>
          <w:sz w:val="28"/>
          <w:szCs w:val="28"/>
          <w:lang w:val="ro-RO"/>
        </w:rPr>
        <w:t>(</w:t>
      </w:r>
      <w:proofErr w:type="gramEnd"/>
      <w:r w:rsidRPr="00586B8A">
        <w:rPr>
          <w:sz w:val="28"/>
          <w:szCs w:val="28"/>
          <w:lang w:val="ro-RO"/>
        </w:rPr>
        <w:t>semnat electronic)</w:t>
      </w:r>
      <w:r w:rsidRPr="00586B8A">
        <w:rPr>
          <w:sz w:val="28"/>
          <w:szCs w:val="28"/>
          <w:lang w:val="en-US"/>
        </w:rPr>
        <w:t xml:space="preserve">          </w:t>
      </w:r>
      <w:proofErr w:type="spellStart"/>
      <w:r w:rsidRPr="00586B8A">
        <w:rPr>
          <w:b/>
          <w:sz w:val="28"/>
          <w:szCs w:val="28"/>
          <w:lang w:val="en-US"/>
        </w:rPr>
        <w:t>Dumitru</w:t>
      </w:r>
      <w:proofErr w:type="spellEnd"/>
      <w:r w:rsidRPr="00586B8A">
        <w:rPr>
          <w:b/>
          <w:sz w:val="28"/>
          <w:szCs w:val="28"/>
          <w:lang w:val="en-US"/>
        </w:rPr>
        <w:t xml:space="preserve"> BUDIANSCHI</w:t>
      </w:r>
    </w:p>
    <w:p w:rsidR="00C836B0" w:rsidRPr="00586B8A" w:rsidRDefault="00C836B0" w:rsidP="00C836B0">
      <w:pPr>
        <w:ind w:firstLine="284"/>
        <w:rPr>
          <w:lang w:val="en-US"/>
        </w:rPr>
      </w:pPr>
    </w:p>
    <w:p w:rsidR="00C836B0" w:rsidRPr="00D868EB" w:rsidRDefault="00C836B0" w:rsidP="00C836B0">
      <w:pPr>
        <w:jc w:val="right"/>
        <w:rPr>
          <w:lang w:val="ro-RO"/>
        </w:rPr>
      </w:pPr>
    </w:p>
    <w:p w:rsidR="00465B82" w:rsidRPr="00C836B0" w:rsidRDefault="00465B82">
      <w:pPr>
        <w:rPr>
          <w:lang w:val="ro-RO"/>
        </w:rPr>
      </w:pPr>
    </w:p>
    <w:sectPr w:rsidR="00465B82" w:rsidRPr="00C836B0" w:rsidSect="00D868EB">
      <w:pgSz w:w="11906" w:h="16838"/>
      <w:pgMar w:top="426" w:right="47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B0"/>
    <w:rsid w:val="00465B82"/>
    <w:rsid w:val="00C8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7ED9B"/>
  <w15:chartTrackingRefBased/>
  <w15:docId w15:val="{4E55E640-942E-4522-AA30-1307B5F0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836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36B0"/>
    <w:pPr>
      <w:ind w:firstLine="567"/>
      <w:jc w:val="both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C836B0"/>
    <w:pPr>
      <w:ind w:left="720"/>
      <w:contextualSpacing/>
    </w:pPr>
    <w:rPr>
      <w:rFonts w:eastAsia="Batang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HGHG20090513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Golban, Viorica</dc:creator>
  <cp:keywords/>
  <dc:description/>
  <cp:lastModifiedBy>Golban, Viorica</cp:lastModifiedBy>
  <cp:revision>1</cp:revision>
  <dcterms:created xsi:type="dcterms:W3CDTF">2021-11-02T13:02:00Z</dcterms:created>
  <dcterms:modified xsi:type="dcterms:W3CDTF">2021-11-02T13:04:00Z</dcterms:modified>
</cp:coreProperties>
</file>