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6"/>
      </w:tblGrid>
      <w:tr w:rsidR="00A55DD2" w:rsidRPr="0057463B" w:rsidTr="00280CEE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Nota informativă</w:t>
            </w:r>
          </w:p>
          <w:p w:rsidR="00AE4E41" w:rsidRPr="00B54862" w:rsidRDefault="004C76C5" w:rsidP="00AE4E41">
            <w:pPr>
              <w:spacing w:after="0" w:line="240" w:lineRule="auto"/>
              <w:ind w:left="90" w:right="189" w:firstLine="4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la proiectul hotărâ</w:t>
            </w:r>
            <w:r w:rsidR="00A55DD2"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 xml:space="preserve">rii de Guvern </w:t>
            </w:r>
            <w:r w:rsidR="00AE4E41"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 xml:space="preserve">cu privire la aprobarea </w:t>
            </w:r>
          </w:p>
          <w:tbl>
            <w:tblPr>
              <w:tblW w:w="10236" w:type="dxa"/>
              <w:jc w:val="center"/>
              <w:tblLook w:val="04A0" w:firstRow="1" w:lastRow="0" w:firstColumn="1" w:lastColumn="0" w:noHBand="0" w:noVBand="1"/>
            </w:tblPr>
            <w:tblGrid>
              <w:gridCol w:w="10236"/>
            </w:tblGrid>
            <w:tr w:rsidR="00AE4E41" w:rsidRPr="0057463B" w:rsidTr="00885A78">
              <w:trPr>
                <w:jc w:val="center"/>
              </w:trPr>
              <w:tc>
                <w:tcPr>
                  <w:tcW w:w="5000" w:type="pc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AE4E41" w:rsidRPr="00B54862" w:rsidRDefault="00AE4E41" w:rsidP="00885A78">
                  <w:pPr>
                    <w:spacing w:after="0" w:line="240" w:lineRule="auto"/>
                    <w:ind w:left="90" w:right="189" w:firstLine="47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MD" w:eastAsia="ru-RU"/>
                    </w:rPr>
                  </w:pPr>
                  <w:r w:rsidRPr="00FA3D3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 w:eastAsia="en-GB"/>
                    </w:rPr>
                    <w:t xml:space="preserve">Reglementării tehnice </w:t>
                  </w:r>
                  <w:r w:rsidRPr="00FA3D3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ro-MD" w:eastAsia="en-GB"/>
                    </w:rPr>
                    <w:t>privind aparatel</w:t>
                  </w:r>
                  <w:r w:rsidR="00885A7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ro-MD" w:eastAsia="en-GB"/>
                    </w:rPr>
                    <w:t>e</w:t>
                  </w:r>
                  <w:r w:rsidRPr="00FA3D3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ro-MD" w:eastAsia="en-GB"/>
                    </w:rPr>
                    <w:t xml:space="preserve"> consumatoare de combustibili gazoși</w:t>
                  </w:r>
                </w:p>
              </w:tc>
            </w:tr>
          </w:tbl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 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FB3915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FB39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1.</w:t>
            </w:r>
            <w:r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  <w:r w:rsidRPr="00FB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 xml:space="preserve">Denumirea autorului şi, după caz, a </w:t>
            </w:r>
            <w:proofErr w:type="spellStart"/>
            <w:r w:rsidRPr="00FB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participanţilor</w:t>
            </w:r>
            <w:proofErr w:type="spellEnd"/>
            <w:r w:rsidRPr="00FB3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 xml:space="preserve"> la elaborarea proiectului</w:t>
            </w:r>
            <w:r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4C76C5" w:rsidP="00A55DD2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Prezentul proiect de hotărâ</w:t>
            </w:r>
            <w:r w:rsidR="00A55DD2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re este elaborat de către Ministerul Economiei</w:t>
            </w:r>
            <w:r w:rsidR="00AE4E41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.</w:t>
            </w:r>
          </w:p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E4E41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2.</w:t>
            </w:r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 xml:space="preserve"> Condiţiile ce au impus elaborarea proiectului de act normativ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şi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 xml:space="preserve">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finalităţile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 xml:space="preserve"> urmărite 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235D" w:rsidRPr="00B54862" w:rsidRDefault="0054235D" w:rsidP="00AE4E41">
            <w:pPr>
              <w:spacing w:after="0" w:line="240" w:lineRule="auto"/>
              <w:ind w:left="90" w:right="189" w:firstLine="4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</w:p>
          <w:p w:rsidR="004439F6" w:rsidRPr="00B54862" w:rsidRDefault="0054235D" w:rsidP="00AE4E41">
            <w:pPr>
              <w:spacing w:after="0" w:line="240" w:lineRule="auto"/>
              <w:ind w:left="90" w:right="189"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 xml:space="preserve">Prezentul proiect este elaborat în temeiul prevederilor </w:t>
            </w:r>
            <w:r w:rsidR="004439F6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Legii nr. 235/2011</w:t>
            </w:r>
            <w:r w:rsidR="004439F6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privind activitățile de acreditare și de evaluare a conformității și vine întru executarea </w:t>
            </w:r>
            <w:r w:rsidR="004439F6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Concluziilor operaționale </w:t>
            </w:r>
            <w:r w:rsidR="0015572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a </w:t>
            </w:r>
            <w:r w:rsidR="004439F6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Comitetului de Asociere </w:t>
            </w:r>
            <w:r w:rsidR="0015572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în </w:t>
            </w:r>
            <w:r w:rsidR="004439F6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Configurația Comerț RM-UE. Astfel, Republica Moldova urmează să întreprindă măsuri, care vor asigura punerea în aplicare a legislației naționale care transpune </w:t>
            </w:r>
            <w:r w:rsidR="004439F6" w:rsidRPr="00B54862">
              <w:rPr>
                <w:rFonts w:ascii="Times New Roman" w:eastAsia="Calibri" w:hAnsi="Times New Roman" w:cs="Times New Roman"/>
                <w:sz w:val="28"/>
                <w:szCs w:val="28"/>
                <w:lang w:val="ro-MD" w:eastAsia="en-GB"/>
              </w:rPr>
              <w:t xml:space="preserve">Regulamentul (UE) 2016/426, care face subiectul </w:t>
            </w:r>
            <w:r w:rsidR="004439F6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Titlului V, Capitolul 3 din </w:t>
            </w:r>
            <w:r w:rsidR="004439F6" w:rsidRPr="00B5486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MD" w:eastAsia="en-GB"/>
              </w:rPr>
              <w:t>Acordul de Asociere între RM, pe de o parte, şi UE şi Comunitatea Europeană a Energiei Atomice şi statele membre ale acestora, pe de altă parte,</w:t>
            </w:r>
            <w:r w:rsidR="004439F6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ratificat prin Legea nr. 112/2014</w:t>
            </w:r>
            <w:r w:rsidR="002763D3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.</w:t>
            </w:r>
            <w:r w:rsidR="004439F6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  <w:p w:rsidR="00FE0740" w:rsidRPr="00B54862" w:rsidRDefault="004439F6" w:rsidP="00DB68B0">
            <w:pPr>
              <w:tabs>
                <w:tab w:val="left" w:pos="9498"/>
              </w:tabs>
              <w:spacing w:after="0" w:line="240" w:lineRule="auto"/>
              <w:ind w:left="135" w:right="284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Conform angajamentelor asumate prin</w:t>
            </w: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Acordul de Asociere RM-UE</w:t>
            </w:r>
            <w:r w:rsidR="00FE0740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(art. 410), Republica Moldova asigură punerea efectivă în aplicare a legislaţiei sale interne apropiate şi întreprinde orice acţiune necesară pentru a reflecta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evoluţiile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dreptului UE în legislaţia sa internă, în domeniile legate de comerţ aferente Titlului V (Comerţ şi aspecte legate de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comerţ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) și se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abţine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de la orice acţiune care ar putea submina obiectivul sau rezultatul apropierii în ceea ce priveşte comerţ</w:t>
            </w:r>
            <w:r w:rsidR="0064156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ul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şi aspecte</w:t>
            </w:r>
            <w:r w:rsidR="0064156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le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legate de comerţ.</w:t>
            </w:r>
            <w:r w:rsidR="00FE0740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  <w:p w:rsidR="004439F6" w:rsidRPr="00B54862" w:rsidRDefault="00FE0740" w:rsidP="002763D3">
            <w:pPr>
              <w:tabs>
                <w:tab w:val="left" w:pos="9498"/>
              </w:tabs>
              <w:spacing w:after="0" w:line="240" w:lineRule="auto"/>
              <w:ind w:left="135" w:right="284" w:firstLine="3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În plus, </w:t>
            </w:r>
            <w:r w:rsidR="002763D3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e</w:t>
            </w:r>
            <w:r w:rsidR="00AE4E41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xperiența în urma punerii în aplic</w:t>
            </w:r>
            <w:r w:rsidR="00AE4E41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are a H</w:t>
            </w:r>
            <w:r w:rsidR="004C76C5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otărâ</w:t>
            </w:r>
            <w:r w:rsidR="00AE4E41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rii </w:t>
            </w:r>
            <w:r w:rsidR="00AE4E41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G</w:t>
            </w:r>
            <w:r w:rsidR="00AE4E41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uvernului</w:t>
            </w:r>
            <w:r w:rsidR="00AE4E41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nr. 1329/2016</w:t>
            </w:r>
            <w:r w:rsidR="00AE4E41" w:rsidRPr="00B5486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cu</w:t>
            </w:r>
            <w:r w:rsidR="00AE4E41" w:rsidRPr="00B54862">
              <w:rPr>
                <w:rStyle w:val="Strong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AE4E41" w:rsidRPr="00B54862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o-MD"/>
              </w:rPr>
              <w:t xml:space="preserve">privire la aprobarea Reglementării tehnice „Aparate consumatoare de combustibili </w:t>
            </w:r>
            <w:proofErr w:type="spellStart"/>
            <w:r w:rsidR="00AE4E41" w:rsidRPr="00B54862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o-MD"/>
              </w:rPr>
              <w:t>gazoşi</w:t>
            </w:r>
            <w:proofErr w:type="spellEnd"/>
            <w:r w:rsidR="00AE4E41" w:rsidRPr="00B54862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o-MD"/>
              </w:rPr>
              <w:t>”</w:t>
            </w:r>
            <w:r w:rsidR="00AE4E41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a de</w:t>
            </w:r>
            <w:r w:rsidR="00AE4E41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monstrat necesitatea de a modifica unele dintre dispozițiile acesteia, în scopul de a le clarifica și de a le actualiza</w:t>
            </w:r>
            <w:r w:rsidR="004439F6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 xml:space="preserve">. </w:t>
            </w:r>
          </w:p>
          <w:p w:rsidR="0054235D" w:rsidRPr="00B54862" w:rsidRDefault="004439F6" w:rsidP="00AE4E41">
            <w:pPr>
              <w:spacing w:after="0" w:line="240" w:lineRule="auto"/>
              <w:ind w:left="90" w:right="189" w:firstLine="4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Finalitățile urmărite prin aprobarea proiectului vin să consolideze prevederile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H</w:t>
            </w: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otărîrii 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G</w:t>
            </w: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uvernului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nr. 1329/2016</w:t>
            </w:r>
            <w:r w:rsidR="00AE4E41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, asigurând</w:t>
            </w:r>
            <w:r w:rsidR="0054235D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:</w:t>
            </w:r>
          </w:p>
          <w:p w:rsidR="0054235D" w:rsidRPr="00B54862" w:rsidRDefault="00AE4E41" w:rsidP="005423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7" w:right="18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utilizarea terminologiei specific</w:t>
            </w:r>
            <w:r w:rsidR="0054235D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e</w:t>
            </w: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 xml:space="preserve"> sectorului aparatelor consumatoare de combustibili gazoși, denumirilor și descrierilor procedurilor de evaluare a conformității, obligațiilor agenților economici ajustate la prevederile din Legea nr. 235/2011</w:t>
            </w:r>
            <w:r w:rsidR="0054235D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privind activitățile de acreditare și de evaluare a conformității</w:t>
            </w: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 xml:space="preserve">, </w:t>
            </w:r>
          </w:p>
          <w:p w:rsidR="0054235D" w:rsidRPr="00B54862" w:rsidRDefault="00AE4E41" w:rsidP="005423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7" w:right="18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 xml:space="preserve">claritatea </w:t>
            </w:r>
            <w:r w:rsidR="00C1270B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 xml:space="preserve">dispozițiilor </w:t>
            </w:r>
            <w:r w:rsidR="00DB6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privind</w:t>
            </w: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 xml:space="preserve"> domeniul de aplicare</w:t>
            </w:r>
            <w:r w:rsidR="00DB6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 xml:space="preserve"> a reglementării tehnice</w:t>
            </w:r>
            <w:r w:rsidR="0054235D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;</w:t>
            </w:r>
          </w:p>
          <w:p w:rsidR="0054235D" w:rsidRPr="00B54862" w:rsidRDefault="00AE4E41" w:rsidP="005423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7" w:right="189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uniformizarea a conținutului comunicărilor ANRE cu privire la tipurile de gaz și presiunile de livrare corespunzătoare utilizate în Republica Moldova</w:t>
            </w:r>
            <w:r w:rsidR="0054235D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;</w:t>
            </w:r>
          </w:p>
          <w:p w:rsidR="00A55DD2" w:rsidRPr="00B54862" w:rsidRDefault="00AE4E41" w:rsidP="00FB39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7" w:right="189" w:firstLine="142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 xml:space="preserve">stabilirea relației dintre cerințe esențiale pentru aparate consumatoare de combustibili gazoși și </w:t>
            </w: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legislația privind eficiența energetică</w:t>
            </w:r>
            <w:r w:rsidR="0054235D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aplicabilă acestora</w:t>
            </w:r>
            <w:r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.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3.</w:t>
            </w:r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 xml:space="preserve"> Descrierea gradului de compatibilitate pentru proiectele care au ca scop armonizarea legislaţiei naţionale cu legislaţia Uniunii Europene 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63D3" w:rsidRPr="00B54862" w:rsidRDefault="002763D3" w:rsidP="00E64AC5">
            <w:pPr>
              <w:tabs>
                <w:tab w:val="left" w:pos="9498"/>
              </w:tabs>
              <w:spacing w:after="0" w:line="240" w:lineRule="auto"/>
              <w:ind w:left="135" w:right="284" w:firstLine="3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>A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rt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. 173 din Acordul de Asociere/Acordul DCFTA stipulează că în vederea apropierii reglementărilor tehnice, standardelor și evaluării conformității Republica Moldova preia </w:t>
            </w:r>
            <w:r w:rsidRPr="00B5486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D" w:eastAsia="en-GB"/>
              </w:rPr>
              <w:t>acquis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-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ul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comunitar în legislația națională. </w:t>
            </w:r>
          </w:p>
          <w:p w:rsidR="00E64AC5" w:rsidRPr="00B54862" w:rsidRDefault="00A55DD2" w:rsidP="00E64AC5">
            <w:pPr>
              <w:tabs>
                <w:tab w:val="left" w:pos="9498"/>
              </w:tabs>
              <w:spacing w:after="0" w:line="240" w:lineRule="auto"/>
              <w:ind w:left="135" w:right="284" w:firstLine="3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lastRenderedPageBreak/>
              <w:t>P</w:t>
            </w:r>
            <w:r w:rsidR="004439F6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r</w:t>
            </w:r>
            <w:r w:rsidR="00FE0740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e</w:t>
            </w:r>
            <w:r w:rsidR="004439F6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vederile proi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ectul</w:t>
            </w:r>
            <w:r w:rsidR="004439F6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ui sunt armonizat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e </w:t>
            </w:r>
            <w:r w:rsidR="004439F6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cu </w:t>
            </w:r>
            <w:r w:rsidR="00FE0740" w:rsidRPr="00B54862">
              <w:rPr>
                <w:rFonts w:ascii="Times New Roman" w:eastAsia="Calibri" w:hAnsi="Times New Roman" w:cs="Times New Roman"/>
                <w:sz w:val="28"/>
                <w:szCs w:val="28"/>
                <w:lang w:val="ro-MD" w:eastAsia="en-GB"/>
              </w:rPr>
              <w:t>Regulamentul (UE) 2016/426 al Parlamentului European și al Consiliului din 9 martie 2016 privind aparatele consumatoare de combustibili gazoși și de abrogare a Directivei 2009/142/CE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. </w:t>
            </w:r>
            <w:r w:rsidR="00E64AC5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Întru respectarea art. 31 din Legea nr. 100/2017 ca urmare a transpunerii regulamentului UE menționat, </w:t>
            </w:r>
            <w:r w:rsidR="00C1270B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s-</w:t>
            </w:r>
            <w:r w:rsidR="00E64AC5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a întocmit Tabelul de concordanță.</w:t>
            </w:r>
          </w:p>
          <w:p w:rsidR="00A55DD2" w:rsidRPr="00B54862" w:rsidRDefault="00E64AC5" w:rsidP="00E64AC5">
            <w:pPr>
              <w:tabs>
                <w:tab w:val="left" w:pos="9498"/>
              </w:tabs>
              <w:spacing w:after="0" w:line="240" w:lineRule="auto"/>
              <w:ind w:left="135" w:right="284" w:firstLine="3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Gradul de compatibilitate a actului juridic UE cu proiectul în cauză este reflectat în Tabelul de concordanță elaborat conform prevederilor Regulamentului privind armonizarea legislației Republicii Moldova cu legislația Uniu</w:t>
            </w:r>
            <w:r w:rsidR="004C76C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nii Europene aprobat prin Hotărâ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rea Guvernului nr. 1171/2018.</w:t>
            </w:r>
          </w:p>
          <w:p w:rsidR="00E64AC5" w:rsidRPr="00B54862" w:rsidRDefault="00E64AC5" w:rsidP="00E64AC5">
            <w:pPr>
              <w:tabs>
                <w:tab w:val="left" w:pos="9498"/>
              </w:tabs>
              <w:spacing w:after="0" w:line="240" w:lineRule="auto"/>
              <w:ind w:left="135" w:right="284" w:firstLine="3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lastRenderedPageBreak/>
              <w:t>4.</w:t>
            </w:r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 xml:space="preserve"> Principalele prevederi ale proiectului şi evidențierea elementelor noi 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1270B" w:rsidRPr="00FB3915" w:rsidRDefault="00A55DD2" w:rsidP="00FB3915">
            <w:pPr>
              <w:pStyle w:val="NoSpacing"/>
              <w:ind w:left="135" w:right="220" w:firstLine="45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Principal</w:t>
            </w:r>
            <w:r w:rsidR="0045188F"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e </w:t>
            </w:r>
            <w:r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aspect</w:t>
            </w:r>
            <w:r w:rsidR="0045188F"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e</w:t>
            </w:r>
            <w:r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ale proiectului a</w:t>
            </w:r>
            <w:r w:rsidR="00C1270B"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u</w:t>
            </w:r>
            <w:r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drept scop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stabilirea cerinţelor pe care trebuie să le satisfacă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aparatele consumatoare de combustibili gazoși 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și accesorii</w:t>
            </w:r>
            <w:r w:rsidR="00641560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le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în vederea punerii la dispoziție pe piață și punerii în funcțiune a acestora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Astfel, </w:t>
            </w:r>
            <w:proofErr w:type="spellStart"/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dispoziţiile</w:t>
            </w:r>
            <w:proofErr w:type="spellEnd"/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reglementării tehnice impun conformitatea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aparatelor consumatoare de combustibili gazoși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cerinţele de performanţă specificate (cerinţe esenţiale). 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eglementare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tehnică </w:t>
            </w:r>
            <w:proofErr w:type="spellStart"/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stabileşte</w:t>
            </w:r>
            <w:proofErr w:type="spellEnd"/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procedurile de evaluare a conformităţii a 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aparatelor consumatoare de combustibili gazoși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care trebuie să le respecte producătorii. </w:t>
            </w:r>
            <w:r w:rsidR="0064156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Totodată, r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eglementarea tehnică nu va afecta utilizarea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aparatelor consumatoare de combustibili gazoși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care deja sunt în exploatare pe teritoriul Republicii Moldova.</w:t>
            </w:r>
          </w:p>
          <w:p w:rsidR="00C1270B" w:rsidRDefault="00C137D7" w:rsidP="00FB3915">
            <w:pPr>
              <w:pStyle w:val="NoSpacing"/>
              <w:ind w:left="135" w:right="220" w:firstLine="45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vederea introducerii și punerii la dispoziție pe piață a </w:t>
            </w:r>
            <w:r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aparatelor consumatoare de combustibili gazoși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FB39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en-GB"/>
              </w:rPr>
              <w:t>și accesoriilor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către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genţi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proofErr w:type="spellEnd"/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economici (producători,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reprezentanți autorizați ale acestora, </w:t>
            </w:r>
            <w:r w:rsidR="00C1270B" w:rsidRPr="00C137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importatori, distribuitori)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sunt stabilite obligații clare și detaliate. Totodată, sunt stabilite cerințe către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organismele de evaluare a </w:t>
            </w:r>
            <w:proofErr w:type="spellStart"/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conformităţii</w:t>
            </w:r>
            <w:proofErr w:type="spellEnd"/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notificate sau recunoscute. Facilitarea introducerii pe piaţă şi 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punerii în funcțiune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aparatelor consumatoare de combustibili gazoși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 fi asigurată prin recunoaşterea </w:t>
            </w:r>
            <w:r w:rsidR="00B00B34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marcajului de conformitate CE</w:t>
            </w:r>
            <w:r w:rsidR="00C1270B"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B00B34" w:rsidRPr="00FB3915" w:rsidRDefault="00B00B34" w:rsidP="00FB3915">
            <w:pPr>
              <w:pStyle w:val="NoSpacing"/>
              <w:ind w:left="135" w:right="220" w:firstLine="45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B391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Reglementarea tehnică cuprinde prevederi referitor la </w:t>
            </w:r>
            <w:r w:rsidR="00DB68B0" w:rsidRPr="00FB39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en-GB"/>
              </w:rPr>
              <w:t>supravegherea</w:t>
            </w:r>
            <w:r w:rsidRPr="00FB39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en-GB"/>
              </w:rPr>
              <w:t xml:space="preserve"> pieței aparatelor</w:t>
            </w:r>
            <w:r w:rsidRPr="00FB3915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 consumatoare de combustibili gazoși</w:t>
            </w:r>
            <w:r w:rsidRPr="00FB39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en-GB"/>
              </w:rPr>
              <w:t xml:space="preserve"> și accesoriilor, precum și </w:t>
            </w:r>
            <w:r w:rsidRPr="00FB391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aparatelor sau accesoriilor care prezintă risc.</w:t>
            </w:r>
          </w:p>
          <w:p w:rsidR="00A55DD2" w:rsidRPr="00B54862" w:rsidRDefault="00A55DD2" w:rsidP="00B00B34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D" w:eastAsia="en-GB"/>
              </w:rPr>
            </w:pPr>
          </w:p>
        </w:tc>
      </w:tr>
      <w:tr w:rsidR="00A55DD2" w:rsidRPr="00A55DD2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5.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 xml:space="preserve">Fundamentarea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economico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-financiară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DB68B0">
            <w:pPr>
              <w:tabs>
                <w:tab w:val="left" w:pos="9498"/>
              </w:tabs>
              <w:spacing w:after="0" w:line="240" w:lineRule="auto"/>
              <w:ind w:left="135" w:right="284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Prezentul proiect nu are impact negativ asupra bugetului de stat. </w:t>
            </w:r>
          </w:p>
          <w:p w:rsidR="00DC0B04" w:rsidRPr="00B54862" w:rsidRDefault="00DC0B04" w:rsidP="00FB3915">
            <w:pPr>
              <w:spacing w:after="0" w:line="240" w:lineRule="auto"/>
              <w:ind w:right="189" w:firstLine="45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ja-JP"/>
              </w:rPr>
              <w:t xml:space="preserve">Odată cu aprobarea proiectului de act normativ vor </w:t>
            </w:r>
            <w:r w:rsidR="00F707D0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ja-JP"/>
              </w:rPr>
              <w:t>fi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ja-JP"/>
              </w:rPr>
              <w:t xml:space="preserve"> impacturi pozitive</w:t>
            </w:r>
            <w:r w:rsidR="00F707D0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ja-JP"/>
              </w:rPr>
              <w:t xml:space="preserve">. Astfel, </w:t>
            </w: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clarificarea domeniului de aplicare</w:t>
            </w:r>
            <w:r w:rsidR="00F707D0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,</w:t>
            </w: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F707D0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ja-JP"/>
              </w:rPr>
              <w:t>i</w:t>
            </w:r>
            <w:r w:rsidR="00F707D0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ntroducerea definițiilor noi </w:t>
            </w: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și alinierea 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cu prevederile cadrului legal superior </w:t>
            </w: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va avea impacturi economice care va contribui la economii considerabile datorită clarificării tehnice și juridice, respectiv situațiile juridice mai clare vor duce la supravegherea mai ușoară a pieței. Claritatea juridică conduce la diminuarea sarcinii administrativ</w:t>
            </w:r>
            <w:r w:rsidR="00F707D0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e și, prin urmare, a costurilor.</w:t>
            </w:r>
          </w:p>
          <w:p w:rsidR="00DC0B04" w:rsidRPr="00B54862" w:rsidRDefault="00F707D0" w:rsidP="00DC0B04">
            <w:pPr>
              <w:spacing w:after="0" w:line="240" w:lineRule="auto"/>
              <w:ind w:left="90" w:right="189" w:firstLine="29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C</w:t>
            </w:r>
            <w:r w:rsidR="00DC0B04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omunicările </w:t>
            </w: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ANRE </w:t>
            </w:r>
            <w:r w:rsidR="00DC0B04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privind tipurile de gaz și presiunile de livrare corespunzătoare va îmbunătăți siguranța utilizatorilor și instalatorilor, vor sprijini disponibilitatea crescută de investiții în dezvoltarea produselor, respectiv va asigura acces</w:t>
            </w:r>
            <w:r w:rsidR="0064156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ul</w:t>
            </w:r>
            <w:r w:rsidR="00DC0B04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mai ușor pe piață;</w:t>
            </w:r>
          </w:p>
          <w:p w:rsidR="00DC0B04" w:rsidRPr="00B54862" w:rsidRDefault="00F707D0" w:rsidP="00DC0B04">
            <w:pPr>
              <w:spacing w:after="0" w:line="240" w:lineRule="auto"/>
              <w:ind w:left="90" w:right="189" w:firstLine="29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lastRenderedPageBreak/>
              <w:t>C</w:t>
            </w:r>
            <w:r w:rsidR="00DC0B04" w:rsidRPr="00B5486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larificarea relațiilor cu legislația privind eficiența energetică va avea impact pozitiv asupra reducerii numărului de produse neconforme, facilitării dezvoltării produselor noi competitive și inovaționale.</w:t>
            </w:r>
          </w:p>
          <w:p w:rsidR="00A55DD2" w:rsidRPr="00B54862" w:rsidRDefault="00A55DD2" w:rsidP="00DC0B04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lastRenderedPageBreak/>
              <w:t>6.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Modul de încorporare a actului în cadrul normativ în vigoare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DB68B0">
            <w:pPr>
              <w:tabs>
                <w:tab w:val="left" w:pos="9498"/>
              </w:tabs>
              <w:ind w:left="135" w:right="130" w:firstLine="360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Proiectul în cauză presupune concordanța cu prevederile </w:t>
            </w:r>
            <w:r w:rsidR="00DC0B04" w:rsidRPr="00B548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en-GB"/>
              </w:rPr>
              <w:t>Legii nr. 235/2011</w:t>
            </w:r>
            <w:r w:rsidR="00DC0B04"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privind activitățile de acreditare și de evaluare a conformității și Legii nr. 7/2016 în ceea ce privește obligațiile autorității de supraveghere a pieței. 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7.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  <w:r w:rsidRPr="00B548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Avizarea şi consultarea publică a proiectului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</w:tc>
      </w:tr>
      <w:tr w:rsidR="00A55DD2" w:rsidRPr="0057463B" w:rsidTr="00280CEE">
        <w:trPr>
          <w:trHeight w:val="2371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00269" w:rsidRDefault="00A55DD2" w:rsidP="00300269">
            <w:pPr>
              <w:spacing w:after="0" w:line="240" w:lineRule="auto"/>
              <w:ind w:left="97" w:right="75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În scopul respectării prevederilor Legii nr. 239</w:t>
            </w:r>
            <w:r w:rsidR="00BD35CD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/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2008 privind </w:t>
            </w:r>
            <w:proofErr w:type="spellStart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transparenţa</w:t>
            </w:r>
            <w:proofErr w:type="spellEnd"/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în procesul decizional, </w:t>
            </w:r>
            <w:r w:rsidR="0030026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la data</w:t>
            </w:r>
            <w:r w:rsidR="00300269" w:rsidRPr="00B4390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21.04.2021</w:t>
            </w:r>
            <w:r w:rsidR="0030026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,</w:t>
            </w:r>
            <w:r w:rsidR="00300269" w:rsidRPr="00B4390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pe pagina web </w:t>
            </w:r>
            <w:hyperlink r:id="rId5" w:history="1">
              <w:r w:rsidR="00B43900" w:rsidRPr="00B040FA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lang w:val="ro-MD" w:eastAsia="en-GB"/>
                </w:rPr>
                <w:t>www.mei.gov.md</w:t>
              </w:r>
            </w:hyperlink>
            <w:r w:rsidR="00B4390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  <w:r w:rsidR="00B43900" w:rsidRPr="00B4390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a fost publicat anunțul privind inițierea elaborării </w:t>
            </w:r>
            <w:r w:rsidR="004C76C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proiectului hotărârii</w:t>
            </w:r>
            <w:r w:rsidR="00B43900" w:rsidRPr="004C76C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de Guvern, iar la data 28.07.2021</w:t>
            </w:r>
            <w:r w:rsidR="004C76C5" w:rsidRPr="004C76C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a fost supus</w:t>
            </w:r>
            <w:r w:rsidR="00641560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ă</w:t>
            </w:r>
            <w:r w:rsidR="004C76C5" w:rsidRPr="004C76C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consultărilor</w:t>
            </w:r>
            <w:r w:rsidR="00B43900" w:rsidRPr="004C76C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</w:t>
            </w:r>
            <w:r w:rsidR="004C76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/>
              </w:rPr>
              <w:t>A</w:t>
            </w:r>
            <w:r w:rsidR="006415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/>
              </w:rPr>
              <w:t xml:space="preserve">naliza </w:t>
            </w:r>
            <w:r w:rsidR="004C76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/>
              </w:rPr>
              <w:t>I</w:t>
            </w:r>
            <w:r w:rsidR="006415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/>
              </w:rPr>
              <w:t xml:space="preserve">mpactului de </w:t>
            </w:r>
            <w:r w:rsidR="004C76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/>
              </w:rPr>
              <w:t>R</w:t>
            </w:r>
            <w:r w:rsidR="006415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/>
              </w:rPr>
              <w:t>eglementare (AIR)</w:t>
            </w:r>
            <w:r w:rsidR="004C76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/>
              </w:rPr>
              <w:t xml:space="preserve"> la proiectul hotărâ</w:t>
            </w:r>
            <w:r w:rsidR="00B43900" w:rsidRPr="004C76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/>
              </w:rPr>
              <w:t xml:space="preserve">rii de Guvern cu privire la aprobarea </w:t>
            </w:r>
            <w:r w:rsidR="00B43900" w:rsidRPr="004C76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 w:eastAsia="en-GB"/>
              </w:rPr>
              <w:t>Reglementării tehnice privind punerea la dispoziţie pe piaţă a apar</w:t>
            </w:r>
            <w:r w:rsidR="00B43900" w:rsidRPr="00B4390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o-RO" w:eastAsia="en-GB"/>
              </w:rPr>
              <w:t>atelor consumatoare de combustibili gazoși</w:t>
            </w:r>
            <w:r w:rsidRPr="00B4390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.</w:t>
            </w:r>
          </w:p>
          <w:p w:rsidR="00DB68B0" w:rsidRDefault="00300269" w:rsidP="00300269">
            <w:pPr>
              <w:spacing w:after="0" w:line="240" w:lineRule="auto"/>
              <w:ind w:left="97" w:right="75" w:firstLine="42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La data de 14/09/2021 A</w:t>
            </w:r>
            <w:r w:rsidRPr="0030026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IR a fost supus</w:t>
            </w:r>
            <w:r w:rsidR="0091143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ă</w:t>
            </w:r>
            <w:r w:rsidRPr="0030026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ex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>a</w:t>
            </w:r>
            <w:r w:rsidRPr="00300269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minării de către GL </w:t>
            </w:r>
            <w:r w:rsidRPr="0030026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al Comisiei de Stat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30026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pentru reglementarea activității de întreprinzător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A55DD2"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 xml:space="preserve">Conform art. 32 din Legea nr.100/2017 cu privire la actele normative proiectul </w:t>
            </w:r>
            <w:r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>v</w:t>
            </w:r>
            <w:r w:rsidR="00B43900"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>a fi</w:t>
            </w:r>
            <w:r w:rsidR="00A55DD2"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 xml:space="preserve"> supus </w:t>
            </w:r>
            <w:r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 xml:space="preserve">consultării publice și </w:t>
            </w:r>
            <w:r w:rsidR="00A55DD2"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>avizării</w:t>
            </w:r>
            <w:r w:rsidR="004E0D95"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 xml:space="preserve"> </w:t>
            </w:r>
            <w:r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 xml:space="preserve">de către </w:t>
            </w:r>
            <w:r w:rsidR="00A55DD2"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>părțil</w:t>
            </w:r>
            <w:r w:rsidR="00911435"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>e</w:t>
            </w:r>
            <w:r w:rsidR="00A55DD2"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 xml:space="preserve"> interesate.</w:t>
            </w:r>
            <w:bookmarkStart w:id="0" w:name="_GoBack"/>
            <w:bookmarkEnd w:id="0"/>
          </w:p>
          <w:p w:rsidR="0057463B" w:rsidRDefault="0057463B" w:rsidP="00300269">
            <w:pPr>
              <w:spacing w:after="0" w:line="240" w:lineRule="auto"/>
              <w:ind w:left="97" w:right="75" w:firstLine="42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57463B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o-MD"/>
              </w:rPr>
              <w:t>Consultarea la particip.gov.md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???</w:t>
            </w:r>
          </w:p>
          <w:p w:rsidR="0057463B" w:rsidRPr="00B54862" w:rsidRDefault="0057463B" w:rsidP="00300269">
            <w:pPr>
              <w:spacing w:after="0" w:line="240" w:lineRule="auto"/>
              <w:ind w:left="97" w:right="75"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  <w:tr w:rsidR="00A55DD2" w:rsidRPr="002763D3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8</w:t>
            </w:r>
            <w:r w:rsidRPr="00574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ro-MD" w:eastAsia="en-GB"/>
              </w:rPr>
              <w:t>.</w:t>
            </w:r>
            <w:r w:rsidRPr="0057463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D" w:eastAsia="en-GB"/>
              </w:rPr>
              <w:t xml:space="preserve"> </w:t>
            </w:r>
            <w:r w:rsidRPr="0057463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ro-MD" w:eastAsia="en-GB"/>
              </w:rPr>
              <w:t>Constatările expertizei anticorupţie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</w:tc>
      </w:tr>
      <w:tr w:rsidR="00A55DD2" w:rsidRPr="00DB68B0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280CEE">
            <w:pPr>
              <w:tabs>
                <w:tab w:val="left" w:pos="225"/>
              </w:tabs>
              <w:spacing w:after="0" w:line="240" w:lineRule="auto"/>
              <w:ind w:left="135" w:right="13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9</w:t>
            </w:r>
            <w:r w:rsidRPr="00574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ro-MD" w:eastAsia="en-GB"/>
              </w:rPr>
              <w:t>.</w:t>
            </w:r>
            <w:r w:rsidRPr="0057463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D" w:eastAsia="en-GB"/>
              </w:rPr>
              <w:t xml:space="preserve"> </w:t>
            </w:r>
            <w:r w:rsidRPr="0057463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ro-MD" w:eastAsia="en-GB"/>
              </w:rPr>
              <w:t>Constatările expertizei de compatibilitate</w:t>
            </w:r>
            <w:r w:rsidR="00280CEE" w:rsidRPr="0057463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ro-MD" w:eastAsia="en-GB"/>
              </w:rPr>
              <w:t xml:space="preserve"> cu legislația UE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</w:tc>
      </w:tr>
      <w:tr w:rsidR="00A55DD2" w:rsidRPr="0057463B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FB3915">
            <w:pPr>
              <w:tabs>
                <w:tab w:val="left" w:pos="9498"/>
              </w:tabs>
              <w:spacing w:after="0" w:line="240" w:lineRule="auto"/>
              <w:ind w:left="135" w:right="13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  <w:tr w:rsidR="00A55DD2" w:rsidRPr="002763D3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  <w:r w:rsidRPr="00B54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1</w:t>
            </w:r>
            <w:r w:rsidRPr="005746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ro-MD" w:eastAsia="en-GB"/>
              </w:rPr>
              <w:t>0.</w:t>
            </w:r>
            <w:r w:rsidRPr="0057463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D" w:eastAsia="en-GB"/>
              </w:rPr>
              <w:t xml:space="preserve"> </w:t>
            </w:r>
            <w:r w:rsidRPr="0057463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ro-MD" w:eastAsia="en-GB"/>
              </w:rPr>
              <w:t>Constatările expertizei juridice</w:t>
            </w:r>
            <w:r w:rsidRPr="00B5486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</w:tc>
      </w:tr>
      <w:tr w:rsidR="00A55DD2" w:rsidRPr="00DB68B0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B3915" w:rsidRPr="00B54862" w:rsidRDefault="00FB3915" w:rsidP="00280CEE">
            <w:pPr>
              <w:tabs>
                <w:tab w:val="left" w:pos="8595"/>
                <w:tab w:val="left" w:pos="9498"/>
              </w:tabs>
              <w:spacing w:after="0" w:line="240" w:lineRule="auto"/>
              <w:ind w:left="135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</w:pPr>
          </w:p>
        </w:tc>
      </w:tr>
      <w:tr w:rsidR="00A55DD2" w:rsidRPr="002763D3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A55DD2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D" w:eastAsia="en-GB"/>
              </w:rPr>
            </w:pPr>
            <w:r w:rsidRPr="00280C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en-GB"/>
              </w:rPr>
              <w:t>11.</w:t>
            </w:r>
            <w:r w:rsidRPr="00280CE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  <w:r w:rsidRPr="00280C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en-GB"/>
              </w:rPr>
              <w:t>Constatările altor expertize</w:t>
            </w:r>
            <w:r w:rsidRPr="00280CEE">
              <w:rPr>
                <w:rFonts w:ascii="Times New Roman" w:eastAsia="Times New Roman" w:hAnsi="Times New Roman" w:cs="Times New Roman"/>
                <w:sz w:val="28"/>
                <w:szCs w:val="28"/>
                <w:lang w:val="ro-MD" w:eastAsia="en-GB"/>
              </w:rPr>
              <w:t xml:space="preserve"> </w:t>
            </w:r>
          </w:p>
        </w:tc>
      </w:tr>
      <w:tr w:rsidR="00A55DD2" w:rsidRPr="002763D3" w:rsidTr="00280CE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5DD2" w:rsidRPr="00B54862" w:rsidRDefault="00A55DD2" w:rsidP="0045188F">
            <w:pPr>
              <w:tabs>
                <w:tab w:val="left" w:pos="9498"/>
              </w:tabs>
              <w:spacing w:after="0" w:line="240" w:lineRule="auto"/>
              <w:ind w:left="135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o-MD" w:eastAsia="en-GB"/>
              </w:rPr>
            </w:pPr>
          </w:p>
        </w:tc>
      </w:tr>
    </w:tbl>
    <w:p w:rsidR="00A55DD2" w:rsidRPr="002763D3" w:rsidRDefault="00A55DD2" w:rsidP="00A55DD2">
      <w:pPr>
        <w:tabs>
          <w:tab w:val="left" w:pos="9498"/>
        </w:tabs>
        <w:ind w:right="191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</w:p>
    <w:p w:rsidR="00A55DD2" w:rsidRPr="002763D3" w:rsidRDefault="00A55DD2" w:rsidP="00A55DD2">
      <w:pPr>
        <w:tabs>
          <w:tab w:val="left" w:pos="9498"/>
        </w:tabs>
        <w:ind w:right="191"/>
        <w:rPr>
          <w:rFonts w:ascii="Times New Roman" w:eastAsia="Times New Roman" w:hAnsi="Times New Roman" w:cs="Times New Roman"/>
          <w:sz w:val="26"/>
          <w:szCs w:val="26"/>
          <w:lang w:val="ro-MD" w:eastAsia="en-GB"/>
        </w:rPr>
      </w:pPr>
    </w:p>
    <w:p w:rsidR="00A55DD2" w:rsidRPr="0045369D" w:rsidRDefault="00CB7785" w:rsidP="00914D00">
      <w:pPr>
        <w:tabs>
          <w:tab w:val="left" w:pos="426"/>
        </w:tabs>
        <w:ind w:right="-143" w:firstLine="720"/>
        <w:rPr>
          <w:rFonts w:ascii="Times New Roman" w:eastAsia="Times New Roman" w:hAnsi="Times New Roman" w:cs="Times New Roman"/>
          <w:b/>
          <w:sz w:val="28"/>
          <w:szCs w:val="28"/>
          <w:lang w:val="ro-MD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en-GB"/>
        </w:rPr>
        <w:t>Secretar de stat</w:t>
      </w:r>
      <w:r w:rsidR="00914D00" w:rsidRPr="0045369D">
        <w:rPr>
          <w:rFonts w:ascii="Times New Roman" w:eastAsia="Times New Roman" w:hAnsi="Times New Roman" w:cs="Times New Roman"/>
          <w:b/>
          <w:sz w:val="28"/>
          <w:szCs w:val="28"/>
          <w:lang w:val="ro-MD" w:eastAsia="en-GB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en-GB"/>
        </w:rPr>
        <w:t>Vadim GUMENE</w:t>
      </w:r>
    </w:p>
    <w:sectPr w:rsidR="00A55DD2" w:rsidRPr="0045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83C0A"/>
    <w:multiLevelType w:val="hybridMultilevel"/>
    <w:tmpl w:val="C54C66D0"/>
    <w:lvl w:ilvl="0" w:tplc="90E2BDB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30"/>
    <w:rsid w:val="000A19B3"/>
    <w:rsid w:val="00124D38"/>
    <w:rsid w:val="0015572D"/>
    <w:rsid w:val="002763D3"/>
    <w:rsid w:val="00280CEE"/>
    <w:rsid w:val="00300269"/>
    <w:rsid w:val="003729FC"/>
    <w:rsid w:val="004439F6"/>
    <w:rsid w:val="0045188F"/>
    <w:rsid w:val="0045369D"/>
    <w:rsid w:val="004C76C5"/>
    <w:rsid w:val="004D44E1"/>
    <w:rsid w:val="004E0D95"/>
    <w:rsid w:val="0054235D"/>
    <w:rsid w:val="0057463B"/>
    <w:rsid w:val="00641560"/>
    <w:rsid w:val="00670C9C"/>
    <w:rsid w:val="00861C26"/>
    <w:rsid w:val="00885A78"/>
    <w:rsid w:val="00911435"/>
    <w:rsid w:val="00914D00"/>
    <w:rsid w:val="00951330"/>
    <w:rsid w:val="00991FC6"/>
    <w:rsid w:val="00A55DD2"/>
    <w:rsid w:val="00AE4E41"/>
    <w:rsid w:val="00AE7D53"/>
    <w:rsid w:val="00B00B34"/>
    <w:rsid w:val="00B43900"/>
    <w:rsid w:val="00B54862"/>
    <w:rsid w:val="00BD35CD"/>
    <w:rsid w:val="00C04806"/>
    <w:rsid w:val="00C1270B"/>
    <w:rsid w:val="00C137D7"/>
    <w:rsid w:val="00CB7785"/>
    <w:rsid w:val="00DB68B0"/>
    <w:rsid w:val="00DC0B04"/>
    <w:rsid w:val="00E64AC5"/>
    <w:rsid w:val="00F707D0"/>
    <w:rsid w:val="00FA3D3C"/>
    <w:rsid w:val="00FB3708"/>
    <w:rsid w:val="00FB3915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DC5EC-8BCA-4DA0-B0A5-4BF0B640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4E41"/>
    <w:rPr>
      <w:b/>
      <w:bCs/>
    </w:rPr>
  </w:style>
  <w:style w:type="paragraph" w:styleId="ListParagraph">
    <w:name w:val="List Paragraph"/>
    <w:basedOn w:val="Normal"/>
    <w:uiPriority w:val="34"/>
    <w:qFormat/>
    <w:rsid w:val="0054235D"/>
    <w:pPr>
      <w:ind w:left="720"/>
      <w:contextualSpacing/>
    </w:pPr>
  </w:style>
  <w:style w:type="paragraph" w:styleId="NoSpacing">
    <w:name w:val="No Spacing"/>
    <w:uiPriority w:val="1"/>
    <w:qFormat/>
    <w:rsid w:val="00FB39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5A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Lidia</cp:lastModifiedBy>
  <cp:revision>18</cp:revision>
  <dcterms:created xsi:type="dcterms:W3CDTF">2021-08-03T10:55:00Z</dcterms:created>
  <dcterms:modified xsi:type="dcterms:W3CDTF">2021-10-15T09:14:00Z</dcterms:modified>
</cp:coreProperties>
</file>