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3C0" w:rsidRPr="0051757E" w:rsidRDefault="00FF23C0" w:rsidP="00FF23C0">
      <w:pPr>
        <w:pStyle w:val="a4"/>
        <w:jc w:val="center"/>
        <w:rPr>
          <w:b/>
          <w:sz w:val="28"/>
          <w:szCs w:val="28"/>
          <w:lang w:val="ro-RO"/>
        </w:rPr>
      </w:pPr>
      <w:bookmarkStart w:id="0" w:name="_GoBack"/>
      <w:bookmarkEnd w:id="0"/>
      <w:r w:rsidRPr="0051757E">
        <w:rPr>
          <w:b/>
          <w:sz w:val="28"/>
          <w:szCs w:val="28"/>
          <w:lang w:val="ro-RO"/>
        </w:rPr>
        <w:t>Notă informativă</w:t>
      </w:r>
    </w:p>
    <w:p w:rsidR="00FF23C0" w:rsidRPr="0051757E" w:rsidRDefault="00FF23C0" w:rsidP="00FF23C0">
      <w:pPr>
        <w:pStyle w:val="a4"/>
        <w:jc w:val="center"/>
        <w:rPr>
          <w:b/>
          <w:sz w:val="28"/>
          <w:szCs w:val="28"/>
          <w:lang w:val="ro-RO"/>
        </w:rPr>
      </w:pPr>
      <w:r w:rsidRPr="0051757E">
        <w:rPr>
          <w:b/>
          <w:sz w:val="28"/>
          <w:szCs w:val="28"/>
          <w:lang w:val="ro-RO"/>
        </w:rPr>
        <w:t>la proiectul hotărîrii Guvernului</w:t>
      </w:r>
    </w:p>
    <w:p w:rsidR="00FF23C0" w:rsidRPr="0051757E" w:rsidRDefault="00FF23C0" w:rsidP="00FF23C0">
      <w:pPr>
        <w:pStyle w:val="a4"/>
        <w:jc w:val="center"/>
        <w:rPr>
          <w:b/>
          <w:sz w:val="28"/>
          <w:szCs w:val="28"/>
          <w:lang w:val="ro-RO"/>
        </w:rPr>
      </w:pPr>
      <w:r w:rsidRPr="0051757E">
        <w:rPr>
          <w:b/>
          <w:sz w:val="28"/>
          <w:szCs w:val="28"/>
          <w:lang w:val="ro-RO"/>
        </w:rPr>
        <w:t>,,Cu privire la transmiterea un</w:t>
      </w:r>
      <w:r w:rsidR="00302692" w:rsidRPr="0051757E">
        <w:rPr>
          <w:b/>
          <w:sz w:val="28"/>
          <w:szCs w:val="28"/>
          <w:lang w:val="ro-RO"/>
        </w:rPr>
        <w:t>ui mijloc de transport</w:t>
      </w:r>
      <w:r w:rsidRPr="0051757E">
        <w:rPr>
          <w:b/>
          <w:sz w:val="28"/>
          <w:szCs w:val="28"/>
          <w:lang w:val="ro-RO"/>
        </w:rPr>
        <w:t>”</w:t>
      </w:r>
    </w:p>
    <w:p w:rsidR="006722C6" w:rsidRPr="0051757E" w:rsidRDefault="006722C6" w:rsidP="00FF23C0">
      <w:pPr>
        <w:pStyle w:val="a4"/>
        <w:jc w:val="center"/>
        <w:rPr>
          <w:b/>
          <w:sz w:val="28"/>
          <w:szCs w:val="28"/>
          <w:lang w:val="ro-RO"/>
        </w:rPr>
      </w:pPr>
    </w:p>
    <w:tbl>
      <w:tblPr>
        <w:tblW w:w="500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3"/>
      </w:tblGrid>
      <w:tr w:rsidR="00FF23C0" w:rsidRPr="0051757E" w:rsidTr="000406E5">
        <w:tc>
          <w:tcPr>
            <w:tcW w:w="5000" w:type="pct"/>
          </w:tcPr>
          <w:p w:rsidR="00FF23C0" w:rsidRPr="0051757E" w:rsidRDefault="00FF23C0" w:rsidP="000406E5">
            <w:pPr>
              <w:pStyle w:val="a4"/>
              <w:rPr>
                <w:b/>
                <w:sz w:val="28"/>
                <w:szCs w:val="28"/>
                <w:lang w:val="ro-RO"/>
              </w:rPr>
            </w:pPr>
            <w:r w:rsidRPr="0051757E">
              <w:rPr>
                <w:b/>
                <w:sz w:val="28"/>
                <w:szCs w:val="28"/>
                <w:lang w:val="ro-RO"/>
              </w:rPr>
              <w:t>Denumirea autorului şi, după caz, a participanţilor la elaborarea proiectului</w:t>
            </w:r>
          </w:p>
        </w:tc>
      </w:tr>
      <w:tr w:rsidR="00FF23C0" w:rsidRPr="0051757E" w:rsidTr="000406E5">
        <w:tc>
          <w:tcPr>
            <w:tcW w:w="5000" w:type="pct"/>
          </w:tcPr>
          <w:p w:rsidR="00FF23C0" w:rsidRPr="0051757E" w:rsidRDefault="00FF23C0" w:rsidP="006722C6">
            <w:pPr>
              <w:pStyle w:val="a4"/>
              <w:rPr>
                <w:sz w:val="28"/>
                <w:szCs w:val="28"/>
                <w:lang w:val="ro-RO"/>
              </w:rPr>
            </w:pPr>
            <w:r w:rsidRPr="0051757E">
              <w:rPr>
                <w:sz w:val="28"/>
                <w:szCs w:val="28"/>
                <w:lang w:val="ro-RO"/>
              </w:rPr>
              <w:t>Proiectul de hotărîre a Guvernului ,,Cu privire la transmiterea un</w:t>
            </w:r>
            <w:r w:rsidR="00302692" w:rsidRPr="0051757E">
              <w:rPr>
                <w:sz w:val="28"/>
                <w:szCs w:val="28"/>
                <w:lang w:val="ro-RO"/>
              </w:rPr>
              <w:t>ui mijloc de tr</w:t>
            </w:r>
            <w:r w:rsidR="006722C6" w:rsidRPr="0051757E">
              <w:rPr>
                <w:sz w:val="28"/>
                <w:szCs w:val="28"/>
                <w:lang w:val="ro-RO"/>
              </w:rPr>
              <w:t>ans</w:t>
            </w:r>
            <w:r w:rsidR="00302692" w:rsidRPr="0051757E">
              <w:rPr>
                <w:sz w:val="28"/>
                <w:szCs w:val="28"/>
                <w:lang w:val="ro-RO"/>
              </w:rPr>
              <w:t>port</w:t>
            </w:r>
            <w:r w:rsidRPr="0051757E">
              <w:rPr>
                <w:sz w:val="28"/>
                <w:szCs w:val="28"/>
                <w:lang w:val="ro-RO"/>
              </w:rPr>
              <w:t xml:space="preserve">” (în continuare – proiect) este elaborat de </w:t>
            </w:r>
            <w:r w:rsidR="00B602D7" w:rsidRPr="0051757E">
              <w:rPr>
                <w:sz w:val="28"/>
                <w:szCs w:val="28"/>
                <w:lang w:val="ro-RO"/>
              </w:rPr>
              <w:t>Ministerul Sănătății</w:t>
            </w:r>
            <w:r w:rsidRPr="0051757E">
              <w:rPr>
                <w:sz w:val="28"/>
                <w:szCs w:val="28"/>
                <w:lang w:val="ro-RO"/>
              </w:rPr>
              <w:t>.</w:t>
            </w:r>
          </w:p>
        </w:tc>
      </w:tr>
      <w:tr w:rsidR="00FF23C0" w:rsidRPr="0051757E" w:rsidTr="000406E5">
        <w:trPr>
          <w:trHeight w:val="773"/>
        </w:trPr>
        <w:tc>
          <w:tcPr>
            <w:tcW w:w="5000" w:type="pct"/>
          </w:tcPr>
          <w:p w:rsidR="00FF23C0" w:rsidRPr="0051757E" w:rsidRDefault="00FF23C0" w:rsidP="000406E5">
            <w:pPr>
              <w:pStyle w:val="a4"/>
              <w:jc w:val="both"/>
              <w:rPr>
                <w:b/>
                <w:sz w:val="28"/>
                <w:szCs w:val="28"/>
                <w:lang w:val="ro-RO"/>
              </w:rPr>
            </w:pPr>
            <w:r w:rsidRPr="0051757E">
              <w:rPr>
                <w:b/>
                <w:sz w:val="28"/>
                <w:szCs w:val="28"/>
                <w:lang w:val="ro-RO"/>
              </w:rPr>
              <w:t>2. Condiţiile ce au impus elaborarea proiectului de act normativ şi finalităţile urmărite</w:t>
            </w:r>
          </w:p>
        </w:tc>
      </w:tr>
      <w:tr w:rsidR="00FF23C0" w:rsidRPr="0051757E" w:rsidTr="00986AD1">
        <w:trPr>
          <w:trHeight w:val="620"/>
        </w:trPr>
        <w:tc>
          <w:tcPr>
            <w:tcW w:w="5000" w:type="pct"/>
          </w:tcPr>
          <w:p w:rsidR="00705538" w:rsidRPr="0051757E" w:rsidRDefault="00705538" w:rsidP="00705538">
            <w:pPr>
              <w:pStyle w:val="a4"/>
              <w:jc w:val="both"/>
              <w:rPr>
                <w:rFonts w:eastAsia="Calibri"/>
                <w:sz w:val="28"/>
                <w:szCs w:val="28"/>
                <w:lang w:val="ro-RO"/>
              </w:rPr>
            </w:pPr>
            <w:r w:rsidRPr="0051757E">
              <w:rPr>
                <w:sz w:val="28"/>
                <w:szCs w:val="28"/>
                <w:lang w:val="ro-RO"/>
              </w:rPr>
              <w:t>Proiectul Hotărîrii Guvernului cu privire la transmiterea unui mijloc de transport a fost elaborat</w:t>
            </w:r>
            <w:r w:rsidRPr="0051757E">
              <w:rPr>
                <w:rFonts w:eastAsia="Calibri"/>
                <w:sz w:val="28"/>
                <w:szCs w:val="28"/>
                <w:lang w:val="ro-RO"/>
              </w:rPr>
              <w:t xml:space="preserve"> în </w:t>
            </w:r>
            <w:r w:rsidRPr="0051757E">
              <w:rPr>
                <w:sz w:val="28"/>
                <w:szCs w:val="28"/>
                <w:lang w:val="ro-RO"/>
              </w:rPr>
              <w:t>temeiul art. 6 alin. (1) lit.</w:t>
            </w:r>
            <w:r w:rsidRPr="0051757E">
              <w:rPr>
                <w:color w:val="000000"/>
                <w:sz w:val="28"/>
                <w:szCs w:val="28"/>
                <w:lang w:val="ro-RO"/>
              </w:rPr>
              <w:t xml:space="preserve"> a) și art. 14 alin.</w:t>
            </w:r>
            <w:r w:rsidR="008F51F3" w:rsidRPr="0051757E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Pr="0051757E">
              <w:rPr>
                <w:color w:val="000000"/>
                <w:sz w:val="28"/>
                <w:szCs w:val="28"/>
                <w:lang w:val="ro-RO"/>
              </w:rPr>
              <w:t xml:space="preserve">(1) lit. b) </w:t>
            </w:r>
            <w:r w:rsidRPr="0051757E">
              <w:rPr>
                <w:sz w:val="28"/>
                <w:szCs w:val="28"/>
                <w:lang w:val="ro-RO"/>
              </w:rPr>
              <w:t xml:space="preserve">din Legea nr. 121/2007 privind administrarea şi deetatizarea proprietăţii publice </w:t>
            </w:r>
            <w:r w:rsidRPr="0051757E">
              <w:rPr>
                <w:color w:val="000000"/>
                <w:sz w:val="28"/>
                <w:szCs w:val="28"/>
                <w:lang w:val="ro-RO"/>
              </w:rPr>
              <w:t>(Monitorul Oficial al Republicii Moldova, 2007, nr. 90-93, art. 401)</w:t>
            </w:r>
            <w:r w:rsidRPr="0051757E">
              <w:rPr>
                <w:sz w:val="28"/>
                <w:szCs w:val="28"/>
                <w:lang w:val="ro-RO"/>
              </w:rPr>
              <w:t xml:space="preserve"> și art. </w:t>
            </w:r>
            <w:r w:rsidRPr="0051757E">
              <w:rPr>
                <w:color w:val="000000"/>
                <w:sz w:val="28"/>
                <w:szCs w:val="28"/>
                <w:lang w:val="ro-RO" w:bidi="en-US"/>
              </w:rPr>
              <w:t>8 alin. (2) din Legea nr.523/1999 cu privire la proprietatea publică a unităților administrativ-teritoriale (</w:t>
            </w:r>
            <w:r w:rsidRPr="0051757E">
              <w:rPr>
                <w:color w:val="000000"/>
                <w:sz w:val="28"/>
                <w:szCs w:val="28"/>
                <w:lang w:val="ro-RO"/>
              </w:rPr>
              <w:t>Monitorul Oficial al Republicii Moldova, 1999, nr. 124-125  art. 611),  în contextul deciziei  Consiliului raional Basarabeasca din data d</w:t>
            </w:r>
            <w:r w:rsidR="008F51F3" w:rsidRPr="0051757E">
              <w:rPr>
                <w:color w:val="000000"/>
                <w:sz w:val="28"/>
                <w:szCs w:val="28"/>
                <w:lang w:val="ro-RO"/>
              </w:rPr>
              <w:t>e 05 iulie, 2021, n</w:t>
            </w:r>
            <w:r w:rsidRPr="0051757E">
              <w:rPr>
                <w:color w:val="000000"/>
                <w:sz w:val="28"/>
                <w:szCs w:val="28"/>
                <w:lang w:val="ro-RO"/>
              </w:rPr>
              <w:t>r</w:t>
            </w:r>
            <w:r w:rsidR="008F51F3" w:rsidRPr="0051757E">
              <w:rPr>
                <w:color w:val="000000"/>
                <w:sz w:val="28"/>
                <w:szCs w:val="28"/>
                <w:lang w:val="ro-RO"/>
              </w:rPr>
              <w:t>. 03/</w:t>
            </w:r>
            <w:r w:rsidRPr="0051757E">
              <w:rPr>
                <w:color w:val="000000"/>
                <w:sz w:val="28"/>
                <w:szCs w:val="28"/>
                <w:lang w:val="ro-RO"/>
              </w:rPr>
              <w:t>01</w:t>
            </w:r>
            <w:r w:rsidR="008F51F3" w:rsidRPr="0051757E">
              <w:rPr>
                <w:color w:val="000000"/>
                <w:sz w:val="28"/>
                <w:szCs w:val="28"/>
                <w:lang w:val="ro-RO"/>
              </w:rPr>
              <w:t xml:space="preserve"> „Cu privire la acceptarea în proprietatea raionului a unui mijloc de transport”</w:t>
            </w:r>
            <w:r w:rsidRPr="0051757E">
              <w:rPr>
                <w:color w:val="000000"/>
                <w:sz w:val="28"/>
                <w:szCs w:val="28"/>
                <w:lang w:val="ro-RO"/>
              </w:rPr>
              <w:t xml:space="preserve"> şi dispune transmiterea, cu acordul Consiliului raional respectiv, din proprietatea statului, administrarea </w:t>
            </w:r>
            <w:r w:rsidRPr="0051757E">
              <w:rPr>
                <w:sz w:val="28"/>
                <w:szCs w:val="28"/>
                <w:lang w:val="ro-RO"/>
              </w:rPr>
              <w:t xml:space="preserve">Ministerului Sănătății (gestiunea </w:t>
            </w:r>
            <w:r w:rsidR="0051757E">
              <w:rPr>
                <w:color w:val="000000"/>
                <w:sz w:val="28"/>
                <w:szCs w:val="28"/>
                <w:lang w:val="ro-RO" w:bidi="en-US"/>
              </w:rPr>
              <w:t>i</w:t>
            </w:r>
            <w:r w:rsidRPr="0051757E">
              <w:rPr>
                <w:color w:val="000000"/>
                <w:sz w:val="28"/>
                <w:szCs w:val="28"/>
                <w:lang w:val="ro-RO" w:bidi="en-US"/>
              </w:rPr>
              <w:t>nstituției Medico-Sanitare Publice Institutul de Medicină Urgentă</w:t>
            </w:r>
            <w:r w:rsidRPr="0051757E">
              <w:rPr>
                <w:sz w:val="28"/>
                <w:szCs w:val="28"/>
                <w:lang w:val="ro-RO"/>
              </w:rPr>
              <w:t>) în proprietatea raionul</w:t>
            </w:r>
            <w:r w:rsidR="00625F64" w:rsidRPr="0051757E">
              <w:rPr>
                <w:sz w:val="28"/>
                <w:szCs w:val="28"/>
                <w:lang w:val="ro-RO"/>
              </w:rPr>
              <w:t>ui</w:t>
            </w:r>
            <w:r w:rsidRPr="0051757E">
              <w:rPr>
                <w:sz w:val="28"/>
                <w:szCs w:val="28"/>
                <w:lang w:val="ro-RO"/>
              </w:rPr>
              <w:t xml:space="preserve"> Basarabeasca, </w:t>
            </w:r>
            <w:r w:rsidRPr="0051757E">
              <w:rPr>
                <w:color w:val="000000"/>
                <w:sz w:val="28"/>
                <w:szCs w:val="28"/>
                <w:lang w:val="ro-RO" w:bidi="ro-RO"/>
              </w:rPr>
              <w:t xml:space="preserve">administrarea Consiliului raional Basarabeasca, (gestiunea Instituției medico-sanitare publice „Spitalul raional Basarabeasca”), </w:t>
            </w:r>
            <w:r w:rsidRPr="0051757E">
              <w:rPr>
                <w:sz w:val="28"/>
                <w:szCs w:val="28"/>
                <w:lang w:val="ro-RO"/>
              </w:rPr>
              <w:t xml:space="preserve">autosanitara </w:t>
            </w:r>
            <w:r w:rsidRPr="0051757E">
              <w:rPr>
                <w:color w:val="000000" w:themeColor="text1"/>
                <w:sz w:val="28"/>
                <w:szCs w:val="28"/>
                <w:lang w:val="ro-RO"/>
              </w:rPr>
              <w:t xml:space="preserve">de tip </w:t>
            </w:r>
            <w:r w:rsidRPr="0051757E">
              <w:rPr>
                <w:sz w:val="28"/>
                <w:szCs w:val="28"/>
                <w:lang w:val="ro-RO"/>
              </w:rPr>
              <w:t xml:space="preserve">„Peugeot Boxer”, </w:t>
            </w:r>
            <w:r w:rsidRPr="0051757E">
              <w:rPr>
                <w:color w:val="000000" w:themeColor="text1"/>
                <w:sz w:val="28"/>
                <w:szCs w:val="28"/>
                <w:lang w:val="ro-RO"/>
              </w:rPr>
              <w:t xml:space="preserve">anul </w:t>
            </w:r>
            <w:r w:rsidR="008F51F3" w:rsidRPr="0051757E">
              <w:rPr>
                <w:color w:val="000000" w:themeColor="text1"/>
                <w:sz w:val="28"/>
                <w:szCs w:val="28"/>
                <w:lang w:val="ro-RO"/>
              </w:rPr>
              <w:t>fabricării</w:t>
            </w:r>
            <w:r w:rsidRPr="0051757E">
              <w:rPr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Pr="0051757E">
              <w:rPr>
                <w:sz w:val="28"/>
                <w:szCs w:val="28"/>
                <w:lang w:val="ro-RO"/>
              </w:rPr>
              <w:t xml:space="preserve">2000, </w:t>
            </w:r>
            <w:r w:rsidRPr="0051757E">
              <w:rPr>
                <w:color w:val="000000" w:themeColor="text1"/>
                <w:sz w:val="28"/>
                <w:szCs w:val="28"/>
                <w:lang w:val="ro-RO"/>
              </w:rPr>
              <w:t>nr. de înmatriculare</w:t>
            </w:r>
            <w:r w:rsidRPr="0051757E">
              <w:rPr>
                <w:sz w:val="28"/>
                <w:szCs w:val="28"/>
                <w:lang w:val="ro-RO"/>
              </w:rPr>
              <w:t xml:space="preserve"> ICQ 579, </w:t>
            </w:r>
            <w:r w:rsidRPr="0051757E">
              <w:rPr>
                <w:rStyle w:val="FontStyle63"/>
                <w:sz w:val="28"/>
                <w:szCs w:val="28"/>
                <w:lang w:val="ro-RO" w:eastAsia="ro-RO"/>
              </w:rPr>
              <w:t xml:space="preserve">numărul </w:t>
            </w:r>
            <w:r w:rsidR="008F51F3" w:rsidRPr="0051757E">
              <w:rPr>
                <w:rStyle w:val="FontStyle63"/>
                <w:sz w:val="28"/>
                <w:szCs w:val="28"/>
                <w:lang w:val="ro-RO" w:eastAsia="ro-RO"/>
              </w:rPr>
              <w:t>caroseriei</w:t>
            </w:r>
            <w:r w:rsidRPr="0051757E">
              <w:rPr>
                <w:rStyle w:val="FontStyle63"/>
                <w:sz w:val="28"/>
                <w:szCs w:val="28"/>
                <w:lang w:val="ro-RO" w:eastAsia="ro-RO"/>
              </w:rPr>
              <w:t xml:space="preserve"> </w:t>
            </w:r>
            <w:r w:rsidRPr="0051757E">
              <w:rPr>
                <w:sz w:val="28"/>
                <w:szCs w:val="28"/>
                <w:lang w:val="ro-RO"/>
              </w:rPr>
              <w:t>WF3232B4215837962</w:t>
            </w:r>
            <w:r w:rsidRPr="0051757E">
              <w:rPr>
                <w:rStyle w:val="FontStyle63"/>
                <w:sz w:val="28"/>
                <w:szCs w:val="28"/>
                <w:lang w:val="ro-RO"/>
              </w:rPr>
              <w:t>, indicaţia vitezometrului 286873 KM.</w:t>
            </w:r>
          </w:p>
          <w:p w:rsidR="00423769" w:rsidRPr="0051757E" w:rsidRDefault="006722C6" w:rsidP="00705538">
            <w:pPr>
              <w:pStyle w:val="a4"/>
              <w:jc w:val="both"/>
              <w:rPr>
                <w:rFonts w:eastAsia="Calibri"/>
                <w:sz w:val="28"/>
                <w:szCs w:val="28"/>
                <w:lang w:val="ro-RO"/>
              </w:rPr>
            </w:pPr>
            <w:r w:rsidRPr="0051757E">
              <w:rPr>
                <w:rFonts w:eastAsia="Calibri"/>
                <w:sz w:val="28"/>
                <w:szCs w:val="28"/>
                <w:lang w:val="ro-RO"/>
              </w:rPr>
              <w:t xml:space="preserve">            </w:t>
            </w:r>
            <w:r w:rsidR="00705538" w:rsidRPr="0051757E">
              <w:rPr>
                <w:rFonts w:eastAsia="Calibri"/>
                <w:sz w:val="28"/>
                <w:szCs w:val="28"/>
                <w:lang w:val="ro-RO"/>
              </w:rPr>
              <w:t>Menţionăm, că Consiliul raional Basarabeasca de nenum</w:t>
            </w:r>
            <w:r w:rsidR="0051757E">
              <w:rPr>
                <w:rFonts w:eastAsia="Calibri"/>
                <w:sz w:val="28"/>
                <w:szCs w:val="28"/>
                <w:lang w:val="ro-RO"/>
              </w:rPr>
              <w:t>ă</w:t>
            </w:r>
            <w:r w:rsidR="00705538" w:rsidRPr="0051757E">
              <w:rPr>
                <w:rFonts w:eastAsia="Calibri"/>
                <w:sz w:val="28"/>
                <w:szCs w:val="28"/>
                <w:lang w:val="ro-RO"/>
              </w:rPr>
              <w:t>rate ori s-a adresat Ministerului Sănătăţii şi Cancelariei de Stat privind acceptarea transmiterii unei unităţi de transport, necesară pentru necesităţile IMSP Spitalul raional Basarabeasca</w:t>
            </w:r>
            <w:r w:rsidR="00625F64" w:rsidRPr="0051757E">
              <w:rPr>
                <w:rFonts w:eastAsia="Calibri"/>
                <w:sz w:val="28"/>
                <w:szCs w:val="28"/>
                <w:lang w:val="ro-RO"/>
              </w:rPr>
              <w:t>,</w:t>
            </w:r>
            <w:r w:rsidR="00705538" w:rsidRPr="0051757E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  <w:r w:rsidR="00E63E44">
              <w:rPr>
                <w:rFonts w:eastAsia="Calibri"/>
                <w:sz w:val="28"/>
                <w:szCs w:val="28"/>
                <w:lang w:val="ro-RO"/>
              </w:rPr>
              <w:t xml:space="preserve">pentru a asigura </w:t>
            </w:r>
            <w:r w:rsidR="00705538" w:rsidRPr="0051757E">
              <w:rPr>
                <w:rFonts w:eastAsia="Calibri"/>
                <w:sz w:val="28"/>
                <w:szCs w:val="28"/>
                <w:lang w:val="ro-RO"/>
              </w:rPr>
              <w:t>transportarea pacienţilor, din administrarea Ministerului, proprietatea publică a statului în administrarea Consiliului raional Basarabeasca.</w:t>
            </w:r>
            <w:r w:rsidR="00423769" w:rsidRPr="0051757E">
              <w:rPr>
                <w:rFonts w:eastAsia="Calibri"/>
                <w:sz w:val="28"/>
                <w:szCs w:val="28"/>
                <w:lang w:val="ro-RO"/>
              </w:rPr>
              <w:t xml:space="preserve"> La moment Spitalul Raional Basarabeasca dispune de trei unități de transport pentru acordarea asistenței medicale populației raionului: </w:t>
            </w:r>
            <w:r w:rsidR="00D620BE" w:rsidRPr="0051757E">
              <w:rPr>
                <w:rFonts w:eastAsia="Calibri"/>
                <w:sz w:val="28"/>
                <w:szCs w:val="28"/>
                <w:lang w:val="ro-RO"/>
              </w:rPr>
              <w:t>UAZ 33962, anul fabricării 1996</w:t>
            </w:r>
            <w:r w:rsidR="00D620BE">
              <w:rPr>
                <w:rFonts w:eastAsia="Calibri"/>
                <w:sz w:val="28"/>
                <w:szCs w:val="28"/>
                <w:lang w:val="ro-RO"/>
              </w:rPr>
              <w:t xml:space="preserve"> și </w:t>
            </w:r>
            <w:r w:rsidR="00423769" w:rsidRPr="0051757E">
              <w:rPr>
                <w:rFonts w:eastAsia="Calibri"/>
                <w:sz w:val="28"/>
                <w:szCs w:val="28"/>
                <w:lang w:val="ro-RO"/>
              </w:rPr>
              <w:t xml:space="preserve">UAZ 33962, anul fabricării 2007, </w:t>
            </w:r>
            <w:r w:rsidR="00E63E44">
              <w:rPr>
                <w:rFonts w:eastAsia="Calibri"/>
                <w:sz w:val="28"/>
                <w:szCs w:val="28"/>
                <w:lang w:val="ro-RO"/>
              </w:rPr>
              <w:t xml:space="preserve">care </w:t>
            </w:r>
            <w:r w:rsidR="008F51F3" w:rsidRPr="0051757E">
              <w:rPr>
                <w:rFonts w:eastAsia="Calibri"/>
                <w:sz w:val="28"/>
                <w:szCs w:val="28"/>
                <w:lang w:val="ro-RO"/>
              </w:rPr>
              <w:t xml:space="preserve">nu </w:t>
            </w:r>
            <w:r w:rsidR="00D620BE">
              <w:rPr>
                <w:rFonts w:eastAsia="Calibri"/>
                <w:sz w:val="28"/>
                <w:szCs w:val="28"/>
                <w:lang w:val="ro-RO"/>
              </w:rPr>
              <w:t xml:space="preserve">funcționează </w:t>
            </w:r>
            <w:r w:rsidR="00E63E44">
              <w:rPr>
                <w:rFonts w:eastAsia="Calibri"/>
                <w:sz w:val="28"/>
                <w:szCs w:val="28"/>
                <w:lang w:val="ro-RO"/>
              </w:rPr>
              <w:t>și</w:t>
            </w:r>
            <w:r w:rsidR="008F51F3" w:rsidRPr="0051757E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  <w:r w:rsidR="00423769" w:rsidRPr="0051757E">
              <w:rPr>
                <w:rFonts w:eastAsia="Calibri"/>
                <w:sz w:val="28"/>
                <w:szCs w:val="28"/>
                <w:lang w:val="ro-RO"/>
              </w:rPr>
              <w:t>necesită a fi casat</w:t>
            </w:r>
            <w:r w:rsidR="00D620BE">
              <w:rPr>
                <w:rFonts w:eastAsia="Calibri"/>
                <w:sz w:val="28"/>
                <w:szCs w:val="28"/>
                <w:lang w:val="ro-RO"/>
              </w:rPr>
              <w:t>e,</w:t>
            </w:r>
            <w:r w:rsidR="008F51F3" w:rsidRPr="0051757E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  <w:r w:rsidR="00423769" w:rsidRPr="0051757E">
              <w:rPr>
                <w:rFonts w:eastAsia="Calibri"/>
                <w:sz w:val="28"/>
                <w:szCs w:val="28"/>
                <w:lang w:val="ro-RO"/>
              </w:rPr>
              <w:t xml:space="preserve">și </w:t>
            </w:r>
            <w:r w:rsidR="00E63E44">
              <w:rPr>
                <w:rFonts w:eastAsia="Calibri"/>
                <w:sz w:val="28"/>
                <w:szCs w:val="28"/>
                <w:lang w:val="ro-RO"/>
              </w:rPr>
              <w:t xml:space="preserve">un </w:t>
            </w:r>
            <w:r w:rsidR="00423769" w:rsidRPr="0051757E">
              <w:rPr>
                <w:rFonts w:eastAsia="Calibri"/>
                <w:sz w:val="28"/>
                <w:szCs w:val="28"/>
                <w:lang w:val="ro-RO"/>
              </w:rPr>
              <w:t>VAZ 2107, anul fabricării 2002.</w:t>
            </w:r>
          </w:p>
          <w:p w:rsidR="00A1588C" w:rsidRPr="0051757E" w:rsidRDefault="00705538" w:rsidP="00A1588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57E">
              <w:rPr>
                <w:rFonts w:ascii="Times New Roman" w:eastAsia="Calibri" w:hAnsi="Times New Roman" w:cs="Times New Roman"/>
                <w:sz w:val="28"/>
                <w:szCs w:val="28"/>
              </w:rPr>
              <w:t>Lu</w:t>
            </w:r>
            <w:r w:rsidR="0051757E">
              <w:rPr>
                <w:rFonts w:ascii="Times New Roman" w:eastAsia="Calibri" w:hAnsi="Times New Roman" w:cs="Times New Roman"/>
                <w:sz w:val="28"/>
                <w:szCs w:val="28"/>
              </w:rPr>
              <w:t>î</w:t>
            </w:r>
            <w:r w:rsidRPr="005175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nd în considerație, că </w:t>
            </w:r>
            <w:r w:rsidR="00A1588C" w:rsidRPr="005175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la moment, procurarea unei unităţi de transport de către IMSP Spitalul Raional Basarabeasca este imposibilă, </w:t>
            </w:r>
            <w:r w:rsidR="00E63E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din lipsa surselor financiare, fapt ce </w:t>
            </w:r>
            <w:r w:rsidRPr="0051757E">
              <w:rPr>
                <w:rFonts w:ascii="Times New Roman" w:eastAsia="Calibri" w:hAnsi="Times New Roman" w:cs="Times New Roman"/>
                <w:sz w:val="28"/>
                <w:szCs w:val="28"/>
              </w:rPr>
              <w:t>tergiversează activitatea instituției, îndeose</w:t>
            </w:r>
            <w:r w:rsidR="005175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bi în </w:t>
            </w:r>
            <w:r w:rsidR="00E63E44">
              <w:rPr>
                <w:rFonts w:ascii="Times New Roman" w:eastAsia="Calibri" w:hAnsi="Times New Roman" w:cs="Times New Roman"/>
                <w:sz w:val="28"/>
                <w:szCs w:val="28"/>
              </w:rPr>
              <w:t>perioada</w:t>
            </w:r>
            <w:r w:rsidR="005175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pandemi</w:t>
            </w:r>
            <w:r w:rsidR="00E63E44">
              <w:rPr>
                <w:rFonts w:ascii="Times New Roman" w:eastAsia="Calibri" w:hAnsi="Times New Roman" w:cs="Times New Roman"/>
                <w:sz w:val="28"/>
                <w:szCs w:val="28"/>
              </w:rPr>
              <w:t>că</w:t>
            </w:r>
            <w:r w:rsidR="00A1588C" w:rsidRPr="005175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s-a </w:t>
            </w:r>
            <w:r w:rsidR="00A1588C" w:rsidRPr="0051757E">
              <w:rPr>
                <w:rFonts w:ascii="Times New Roman" w:hAnsi="Times New Roman" w:cs="Times New Roman"/>
                <w:sz w:val="28"/>
                <w:szCs w:val="28"/>
              </w:rPr>
              <w:t>identificat o unitate de transport, în urma renovării parcului auto al IMSP Institutul de Medicină Urgentă</w:t>
            </w:r>
            <w:r w:rsidR="006722C6" w:rsidRPr="005175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1588C" w:rsidRPr="0051757E">
              <w:rPr>
                <w:rFonts w:ascii="Times New Roman" w:hAnsi="Times New Roman" w:cs="Times New Roman"/>
                <w:sz w:val="28"/>
                <w:szCs w:val="28"/>
              </w:rPr>
              <w:t xml:space="preserve">care poate fi utilizată în continuare de către instituția dată. </w:t>
            </w:r>
          </w:p>
          <w:p w:rsidR="00705538" w:rsidRPr="0051757E" w:rsidRDefault="006722C6" w:rsidP="00705538">
            <w:pPr>
              <w:pStyle w:val="a4"/>
              <w:jc w:val="both"/>
              <w:rPr>
                <w:rFonts w:eastAsia="Calibri"/>
                <w:sz w:val="28"/>
                <w:szCs w:val="28"/>
                <w:lang w:val="ro-RO"/>
              </w:rPr>
            </w:pPr>
            <w:r w:rsidRPr="0051757E">
              <w:rPr>
                <w:sz w:val="28"/>
                <w:szCs w:val="28"/>
                <w:lang w:val="ro-RO"/>
              </w:rPr>
              <w:t xml:space="preserve">          </w:t>
            </w:r>
            <w:r w:rsidR="00705538" w:rsidRPr="0051757E">
              <w:rPr>
                <w:sz w:val="28"/>
                <w:szCs w:val="28"/>
                <w:lang w:val="ro-RO"/>
              </w:rPr>
              <w:t xml:space="preserve">Concomitent se prevede că, </w:t>
            </w:r>
            <w:r w:rsidR="00B602D7" w:rsidRPr="0051757E">
              <w:rPr>
                <w:sz w:val="28"/>
                <w:szCs w:val="28"/>
                <w:lang w:val="ro-RO"/>
              </w:rPr>
              <w:t>Ministerul Sănătății</w:t>
            </w:r>
            <w:r w:rsidR="00705538" w:rsidRPr="0051757E">
              <w:rPr>
                <w:sz w:val="28"/>
                <w:szCs w:val="28"/>
                <w:lang w:val="ro-RO"/>
              </w:rPr>
              <w:t xml:space="preserve">, </w:t>
            </w:r>
            <w:r w:rsidR="00705538" w:rsidRPr="0051757E">
              <w:rPr>
                <w:color w:val="000000"/>
                <w:sz w:val="28"/>
                <w:szCs w:val="28"/>
                <w:lang w:val="ro-RO"/>
              </w:rPr>
              <w:t xml:space="preserve">în comun cu Consiliul raional </w:t>
            </w:r>
            <w:r w:rsidR="00705538" w:rsidRPr="0051757E">
              <w:rPr>
                <w:color w:val="000000"/>
                <w:sz w:val="28"/>
                <w:szCs w:val="28"/>
                <w:lang w:val="ro-RO" w:bidi="ro-RO"/>
              </w:rPr>
              <w:t xml:space="preserve">Basarabeasca, </w:t>
            </w:r>
            <w:r w:rsidR="00705538" w:rsidRPr="0051757E">
              <w:rPr>
                <w:color w:val="000000"/>
                <w:sz w:val="28"/>
                <w:szCs w:val="28"/>
                <w:lang w:val="ro-RO"/>
              </w:rPr>
              <w:t>vor institui comisia de transmitere şi vor asigura, în termen de 30 de zile, transmiterea bunului nominalizat, în conformitate cu prevederile Regulamentului cu privire la modul de transmitere a bunurilor proprietate publică, aprobat prin Hotărîrea Guvernului nr. 901/2015</w:t>
            </w:r>
            <w:r w:rsidR="00705538" w:rsidRPr="0051757E">
              <w:rPr>
                <w:sz w:val="28"/>
                <w:szCs w:val="28"/>
                <w:lang w:val="ro-RO"/>
              </w:rPr>
              <w:t>.</w:t>
            </w:r>
          </w:p>
          <w:p w:rsidR="00FF23C0" w:rsidRPr="0051757E" w:rsidRDefault="006722C6" w:rsidP="00705538">
            <w:pPr>
              <w:spacing w:after="0" w:line="24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5175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Prezenta hotărîre </w:t>
            </w:r>
            <w:r w:rsidRPr="0051757E">
              <w:rPr>
                <w:rFonts w:ascii="Times New Roman" w:hAnsi="Times New Roman" w:cs="Times New Roman"/>
                <w:bCs/>
                <w:sz w:val="28"/>
                <w:szCs w:val="28"/>
              </w:rPr>
              <w:t>î</w:t>
            </w:r>
            <w:r w:rsidRPr="005175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ntră în vigoare la data publicării</w:t>
            </w:r>
            <w:r w:rsidRPr="0051757E">
              <w:rPr>
                <w:rFonts w:ascii="Times New Roman" w:hAnsi="Times New Roman" w:cs="Times New Roman"/>
                <w:sz w:val="28"/>
                <w:szCs w:val="28"/>
              </w:rPr>
              <w:t xml:space="preserve"> în Monitorul Oficial al Republicii Moldova</w:t>
            </w:r>
            <w:r w:rsidRPr="005175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FF23C0" w:rsidRPr="0051757E" w:rsidTr="000406E5">
        <w:tc>
          <w:tcPr>
            <w:tcW w:w="5000" w:type="pct"/>
          </w:tcPr>
          <w:p w:rsidR="00FF23C0" w:rsidRPr="0051757E" w:rsidRDefault="00FF23C0" w:rsidP="000406E5">
            <w:pPr>
              <w:pStyle w:val="a4"/>
              <w:jc w:val="both"/>
              <w:rPr>
                <w:b/>
                <w:sz w:val="28"/>
                <w:szCs w:val="28"/>
                <w:lang w:val="ro-RO"/>
              </w:rPr>
            </w:pPr>
            <w:r w:rsidRPr="0051757E">
              <w:rPr>
                <w:b/>
                <w:sz w:val="28"/>
                <w:szCs w:val="28"/>
                <w:lang w:val="ro-RO"/>
              </w:rPr>
              <w:t xml:space="preserve">3. Descrierea gradului de compatibilitate pentru proiectele care au ca scop </w:t>
            </w:r>
            <w:r w:rsidRPr="0051757E">
              <w:rPr>
                <w:b/>
                <w:sz w:val="28"/>
                <w:szCs w:val="28"/>
                <w:lang w:val="ro-RO"/>
              </w:rPr>
              <w:lastRenderedPageBreak/>
              <w:t>armonizarea legislaţiei naţionale cu legislaţia Uniunii Europene</w:t>
            </w:r>
          </w:p>
        </w:tc>
      </w:tr>
      <w:tr w:rsidR="00FF23C0" w:rsidRPr="0051757E" w:rsidTr="000406E5">
        <w:tc>
          <w:tcPr>
            <w:tcW w:w="5000" w:type="pct"/>
          </w:tcPr>
          <w:p w:rsidR="00FF23C0" w:rsidRPr="0051757E" w:rsidRDefault="00FF23C0" w:rsidP="000406E5">
            <w:pPr>
              <w:pStyle w:val="a4"/>
              <w:ind w:left="281" w:hanging="281"/>
              <w:jc w:val="both"/>
              <w:rPr>
                <w:b/>
                <w:sz w:val="28"/>
                <w:szCs w:val="28"/>
                <w:lang w:val="ro-RO"/>
              </w:rPr>
            </w:pPr>
            <w:r w:rsidRPr="0051757E">
              <w:rPr>
                <w:b/>
                <w:sz w:val="28"/>
                <w:szCs w:val="28"/>
                <w:lang w:val="ro-RO"/>
              </w:rPr>
              <w:lastRenderedPageBreak/>
              <w:t>4. Principalele prevederi ale proiectului şi evidenţierea elementelor noi</w:t>
            </w:r>
          </w:p>
          <w:p w:rsidR="006722C6" w:rsidRPr="0051757E" w:rsidRDefault="00FF23C0" w:rsidP="006722C6">
            <w:pPr>
              <w:pStyle w:val="a4"/>
              <w:jc w:val="both"/>
              <w:rPr>
                <w:rFonts w:eastAsia="Calibri"/>
                <w:sz w:val="28"/>
                <w:szCs w:val="28"/>
                <w:lang w:val="ro-RO"/>
              </w:rPr>
            </w:pPr>
            <w:r w:rsidRPr="0051757E">
              <w:rPr>
                <w:rFonts w:eastAsia="Calibri"/>
                <w:sz w:val="28"/>
                <w:szCs w:val="28"/>
                <w:lang w:val="ro-RO"/>
              </w:rPr>
              <w:t xml:space="preserve">      </w:t>
            </w:r>
            <w:r w:rsidR="006722C6" w:rsidRPr="0051757E">
              <w:rPr>
                <w:sz w:val="28"/>
                <w:szCs w:val="28"/>
                <w:lang w:val="ro-RO"/>
              </w:rPr>
              <w:t>Proiectul de hotărîre a Guvernului ,,Cu privire la transmite</w:t>
            </w:r>
            <w:r w:rsidR="00B602D7" w:rsidRPr="0051757E">
              <w:rPr>
                <w:sz w:val="28"/>
                <w:szCs w:val="28"/>
                <w:lang w:val="ro-RO"/>
              </w:rPr>
              <w:t>rea unui mijloc de tr</w:t>
            </w:r>
            <w:r w:rsidR="0051757E">
              <w:rPr>
                <w:sz w:val="28"/>
                <w:szCs w:val="28"/>
                <w:lang w:val="ro-RO"/>
              </w:rPr>
              <w:t>a</w:t>
            </w:r>
            <w:r w:rsidR="00B602D7" w:rsidRPr="0051757E">
              <w:rPr>
                <w:sz w:val="28"/>
                <w:szCs w:val="28"/>
                <w:lang w:val="ro-RO"/>
              </w:rPr>
              <w:t>ns</w:t>
            </w:r>
            <w:r w:rsidR="006722C6" w:rsidRPr="0051757E">
              <w:rPr>
                <w:sz w:val="28"/>
                <w:szCs w:val="28"/>
                <w:lang w:val="ro-RO"/>
              </w:rPr>
              <w:t xml:space="preserve">port” are ca scop </w:t>
            </w:r>
            <w:r w:rsidR="006722C6" w:rsidRPr="0051757E">
              <w:rPr>
                <w:color w:val="000000"/>
                <w:sz w:val="28"/>
                <w:szCs w:val="28"/>
                <w:lang w:val="ro-RO"/>
              </w:rPr>
              <w:t xml:space="preserve">transmiterea, cu acordul Consiliului raional respectiv, din proprietatea statului, administrarea </w:t>
            </w:r>
            <w:r w:rsidR="006722C6" w:rsidRPr="0051757E">
              <w:rPr>
                <w:sz w:val="28"/>
                <w:szCs w:val="28"/>
                <w:lang w:val="ro-RO"/>
              </w:rPr>
              <w:t xml:space="preserve">Ministerului Sănătății (gestiunea </w:t>
            </w:r>
            <w:r w:rsidR="006722C6" w:rsidRPr="0051757E">
              <w:rPr>
                <w:color w:val="000000"/>
                <w:sz w:val="28"/>
                <w:szCs w:val="28"/>
                <w:lang w:val="ro-RO" w:bidi="en-US"/>
              </w:rPr>
              <w:t>Instituției Medico-Sanitare Publice Institutul de Medicină Urgentă</w:t>
            </w:r>
            <w:r w:rsidR="006722C6" w:rsidRPr="0051757E">
              <w:rPr>
                <w:sz w:val="28"/>
                <w:szCs w:val="28"/>
                <w:lang w:val="ro-RO"/>
              </w:rPr>
              <w:t>) în proprietatea raionul</w:t>
            </w:r>
            <w:r w:rsidR="00625F64" w:rsidRPr="0051757E">
              <w:rPr>
                <w:sz w:val="28"/>
                <w:szCs w:val="28"/>
                <w:lang w:val="ro-RO"/>
              </w:rPr>
              <w:t>ui</w:t>
            </w:r>
            <w:r w:rsidR="006722C6" w:rsidRPr="0051757E">
              <w:rPr>
                <w:sz w:val="28"/>
                <w:szCs w:val="28"/>
                <w:lang w:val="ro-RO"/>
              </w:rPr>
              <w:t xml:space="preserve"> Basarabeasca, </w:t>
            </w:r>
            <w:r w:rsidR="006722C6" w:rsidRPr="0051757E">
              <w:rPr>
                <w:color w:val="000000"/>
                <w:sz w:val="28"/>
                <w:szCs w:val="28"/>
                <w:lang w:val="ro-RO" w:bidi="ro-RO"/>
              </w:rPr>
              <w:t xml:space="preserve">administrarea Consiliului raional Basarabeasca, (gestiunea Instituției medico-sanitare publice „Spitalul raional Basarabeasca”), a unei  </w:t>
            </w:r>
            <w:r w:rsidR="006722C6" w:rsidRPr="0051757E">
              <w:rPr>
                <w:sz w:val="28"/>
                <w:szCs w:val="28"/>
                <w:lang w:val="ro-RO"/>
              </w:rPr>
              <w:t xml:space="preserve">autosanitare </w:t>
            </w:r>
            <w:r w:rsidR="006722C6" w:rsidRPr="0051757E">
              <w:rPr>
                <w:color w:val="000000" w:themeColor="text1"/>
                <w:sz w:val="28"/>
                <w:szCs w:val="28"/>
                <w:lang w:val="ro-RO"/>
              </w:rPr>
              <w:t xml:space="preserve">de tip </w:t>
            </w:r>
            <w:r w:rsidR="006722C6" w:rsidRPr="0051757E">
              <w:rPr>
                <w:sz w:val="28"/>
                <w:szCs w:val="28"/>
                <w:lang w:val="ro-RO"/>
              </w:rPr>
              <w:t xml:space="preserve">„Peugeot Boxer”, </w:t>
            </w:r>
            <w:r w:rsidR="006722C6" w:rsidRPr="0051757E">
              <w:rPr>
                <w:color w:val="000000" w:themeColor="text1"/>
                <w:sz w:val="28"/>
                <w:szCs w:val="28"/>
                <w:lang w:val="ro-RO"/>
              </w:rPr>
              <w:t xml:space="preserve">anul </w:t>
            </w:r>
            <w:r w:rsidR="008F51F3" w:rsidRPr="0051757E">
              <w:rPr>
                <w:color w:val="000000" w:themeColor="text1"/>
                <w:sz w:val="28"/>
                <w:szCs w:val="28"/>
                <w:lang w:val="ro-RO"/>
              </w:rPr>
              <w:t>fabricării</w:t>
            </w:r>
            <w:r w:rsidR="006722C6" w:rsidRPr="0051757E">
              <w:rPr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6722C6" w:rsidRPr="0051757E">
              <w:rPr>
                <w:sz w:val="28"/>
                <w:szCs w:val="28"/>
                <w:lang w:val="ro-RO"/>
              </w:rPr>
              <w:t xml:space="preserve">2000, </w:t>
            </w:r>
            <w:r w:rsidR="006722C6" w:rsidRPr="0051757E">
              <w:rPr>
                <w:color w:val="000000" w:themeColor="text1"/>
                <w:sz w:val="28"/>
                <w:szCs w:val="28"/>
                <w:lang w:val="ro-RO"/>
              </w:rPr>
              <w:t>nr. de înmatriculare</w:t>
            </w:r>
            <w:r w:rsidR="006722C6" w:rsidRPr="0051757E">
              <w:rPr>
                <w:sz w:val="28"/>
                <w:szCs w:val="28"/>
                <w:lang w:val="ro-RO"/>
              </w:rPr>
              <w:t xml:space="preserve"> ICQ 579, </w:t>
            </w:r>
            <w:r w:rsidR="006722C6" w:rsidRPr="0051757E">
              <w:rPr>
                <w:rStyle w:val="FontStyle63"/>
                <w:sz w:val="28"/>
                <w:szCs w:val="28"/>
                <w:lang w:val="ro-RO" w:eastAsia="ro-RO"/>
              </w:rPr>
              <w:t xml:space="preserve">numărul </w:t>
            </w:r>
            <w:r w:rsidR="008F51F3" w:rsidRPr="0051757E">
              <w:rPr>
                <w:rStyle w:val="FontStyle63"/>
                <w:sz w:val="28"/>
                <w:szCs w:val="28"/>
                <w:lang w:val="ro-RO" w:eastAsia="ro-RO"/>
              </w:rPr>
              <w:t xml:space="preserve">caroseriei </w:t>
            </w:r>
            <w:r w:rsidR="006722C6" w:rsidRPr="0051757E">
              <w:rPr>
                <w:sz w:val="28"/>
                <w:szCs w:val="28"/>
                <w:lang w:val="ro-RO"/>
              </w:rPr>
              <w:t>WF3232B4215837962</w:t>
            </w:r>
            <w:r w:rsidR="006722C6" w:rsidRPr="0051757E">
              <w:rPr>
                <w:rStyle w:val="FontStyle63"/>
                <w:sz w:val="28"/>
                <w:szCs w:val="28"/>
                <w:lang w:val="ro-RO"/>
              </w:rPr>
              <w:t>, indicaţia vitezometrului 286873 KM.</w:t>
            </w:r>
          </w:p>
          <w:p w:rsidR="006722C6" w:rsidRPr="0051757E" w:rsidRDefault="00705538" w:rsidP="006722C6">
            <w:pPr>
              <w:pStyle w:val="a4"/>
              <w:jc w:val="both"/>
              <w:rPr>
                <w:sz w:val="28"/>
                <w:szCs w:val="28"/>
                <w:lang w:val="ro-RO"/>
              </w:rPr>
            </w:pPr>
            <w:r w:rsidRPr="0051757E">
              <w:rPr>
                <w:sz w:val="28"/>
                <w:szCs w:val="28"/>
                <w:lang w:val="ro-RO"/>
              </w:rPr>
              <w:t xml:space="preserve">Aprobarea proiectului de act normativ va asigura </w:t>
            </w:r>
            <w:r w:rsidRPr="0051757E">
              <w:rPr>
                <w:rFonts w:eastAsia="Calibri"/>
                <w:sz w:val="28"/>
                <w:szCs w:val="28"/>
                <w:lang w:val="ro-RO"/>
              </w:rPr>
              <w:t xml:space="preserve">crearea condițiilor mai bune pentru activitatea IMSP SR </w:t>
            </w:r>
            <w:r w:rsidR="006722C6" w:rsidRPr="0051757E">
              <w:rPr>
                <w:rFonts w:eastAsia="Calibri"/>
                <w:sz w:val="28"/>
                <w:szCs w:val="28"/>
                <w:lang w:val="ro-RO"/>
              </w:rPr>
              <w:t>Basarabeasca</w:t>
            </w:r>
            <w:r w:rsidRPr="0051757E">
              <w:rPr>
                <w:rFonts w:eastAsia="Calibri"/>
                <w:sz w:val="28"/>
                <w:szCs w:val="28"/>
                <w:lang w:val="ro-RO"/>
              </w:rPr>
              <w:t>. Dotarea s</w:t>
            </w:r>
            <w:r w:rsidR="009246FB" w:rsidRPr="0051757E">
              <w:rPr>
                <w:rFonts w:eastAsia="Calibri"/>
                <w:sz w:val="28"/>
                <w:szCs w:val="28"/>
                <w:lang w:val="ro-RO"/>
              </w:rPr>
              <w:t>pitalului</w:t>
            </w:r>
            <w:r w:rsidRPr="0051757E">
              <w:rPr>
                <w:rFonts w:eastAsia="Calibri"/>
                <w:sz w:val="28"/>
                <w:szCs w:val="28"/>
                <w:lang w:val="ro-RO"/>
              </w:rPr>
              <w:t xml:space="preserve"> cu transport va asigura cu succes </w:t>
            </w:r>
            <w:r w:rsidRPr="0051757E">
              <w:rPr>
                <w:sz w:val="28"/>
                <w:szCs w:val="28"/>
                <w:lang w:val="ro-RO"/>
              </w:rPr>
              <w:t>deplasarea medicilor în</w:t>
            </w:r>
            <w:r w:rsidR="006722C6" w:rsidRPr="0051757E">
              <w:rPr>
                <w:sz w:val="28"/>
                <w:szCs w:val="28"/>
                <w:lang w:val="ro-RO"/>
              </w:rPr>
              <w:t xml:space="preserve"> caz de urgenţe majore şi transportarea pacienților.</w:t>
            </w:r>
          </w:p>
          <w:p w:rsidR="00705538" w:rsidRPr="0051757E" w:rsidRDefault="00705538" w:rsidP="006722C6">
            <w:pPr>
              <w:pStyle w:val="a4"/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FF23C0" w:rsidRPr="0051757E" w:rsidTr="000406E5">
        <w:trPr>
          <w:trHeight w:val="520"/>
        </w:trPr>
        <w:tc>
          <w:tcPr>
            <w:tcW w:w="5000" w:type="pct"/>
          </w:tcPr>
          <w:p w:rsidR="00FF23C0" w:rsidRPr="0051757E" w:rsidRDefault="00FF23C0" w:rsidP="000406E5">
            <w:pPr>
              <w:pStyle w:val="a4"/>
              <w:ind w:left="281" w:hanging="281"/>
              <w:rPr>
                <w:b/>
                <w:sz w:val="28"/>
                <w:szCs w:val="28"/>
                <w:lang w:val="ro-RO"/>
              </w:rPr>
            </w:pPr>
            <w:r w:rsidRPr="0051757E">
              <w:rPr>
                <w:b/>
                <w:sz w:val="28"/>
                <w:szCs w:val="28"/>
                <w:lang w:val="ro-RO"/>
              </w:rPr>
              <w:t>5. Fundamentarea economico - financiară</w:t>
            </w:r>
          </w:p>
        </w:tc>
      </w:tr>
      <w:tr w:rsidR="00FF23C0" w:rsidRPr="0051757E" w:rsidTr="000406E5">
        <w:trPr>
          <w:trHeight w:val="287"/>
        </w:trPr>
        <w:tc>
          <w:tcPr>
            <w:tcW w:w="5000" w:type="pct"/>
          </w:tcPr>
          <w:p w:rsidR="00573424" w:rsidRPr="0051757E" w:rsidRDefault="00FF23C0" w:rsidP="00E63E44">
            <w:pPr>
              <w:pStyle w:val="a4"/>
              <w:ind w:left="72" w:hanging="281"/>
              <w:jc w:val="both"/>
              <w:rPr>
                <w:sz w:val="28"/>
                <w:szCs w:val="28"/>
                <w:lang w:val="ro-RO"/>
              </w:rPr>
            </w:pPr>
            <w:r w:rsidRPr="0051757E">
              <w:rPr>
                <w:sz w:val="28"/>
                <w:szCs w:val="28"/>
                <w:lang w:val="ro-RO"/>
              </w:rPr>
              <w:t xml:space="preserve">       Implementarea pre</w:t>
            </w:r>
            <w:r w:rsidR="00573424" w:rsidRPr="0051757E">
              <w:rPr>
                <w:sz w:val="28"/>
                <w:szCs w:val="28"/>
                <w:lang w:val="ro-RO"/>
              </w:rPr>
              <w:t>vederilor</w:t>
            </w:r>
            <w:r w:rsidRPr="0051757E">
              <w:rPr>
                <w:sz w:val="28"/>
                <w:szCs w:val="28"/>
                <w:lang w:val="ro-RO"/>
              </w:rPr>
              <w:t xml:space="preserve"> proiect</w:t>
            </w:r>
            <w:r w:rsidR="00573424" w:rsidRPr="0051757E">
              <w:rPr>
                <w:sz w:val="28"/>
                <w:szCs w:val="28"/>
                <w:lang w:val="ro-RO"/>
              </w:rPr>
              <w:t>ului</w:t>
            </w:r>
            <w:r w:rsidRPr="0051757E">
              <w:rPr>
                <w:sz w:val="28"/>
                <w:szCs w:val="28"/>
                <w:lang w:val="ro-RO"/>
              </w:rPr>
              <w:t xml:space="preserve"> de hotărîre de Guvern nu </w:t>
            </w:r>
            <w:r w:rsidR="00573424" w:rsidRPr="0051757E">
              <w:rPr>
                <w:sz w:val="28"/>
                <w:szCs w:val="28"/>
                <w:lang w:val="ro-RO"/>
              </w:rPr>
              <w:t>necesită</w:t>
            </w:r>
            <w:r w:rsidRPr="0051757E">
              <w:rPr>
                <w:sz w:val="28"/>
                <w:szCs w:val="28"/>
                <w:lang w:val="ro-RO"/>
              </w:rPr>
              <w:t xml:space="preserve"> cheltuieli financiare s</w:t>
            </w:r>
            <w:r w:rsidR="00E63E44">
              <w:rPr>
                <w:sz w:val="28"/>
                <w:szCs w:val="28"/>
                <w:lang w:val="ro-RO"/>
              </w:rPr>
              <w:t>uplimentare din bugetul de stat</w:t>
            </w:r>
            <w:r w:rsidRPr="0051757E">
              <w:rPr>
                <w:sz w:val="28"/>
                <w:szCs w:val="28"/>
                <w:lang w:val="ro-RO"/>
              </w:rPr>
              <w:t>.</w:t>
            </w:r>
            <w:r w:rsidR="00E63E44">
              <w:rPr>
                <w:sz w:val="28"/>
                <w:szCs w:val="28"/>
                <w:lang w:val="ro-RO"/>
              </w:rPr>
              <w:t xml:space="preserve"> </w:t>
            </w:r>
            <w:r w:rsidR="00E97E5A" w:rsidRPr="0051757E">
              <w:rPr>
                <w:sz w:val="28"/>
                <w:szCs w:val="28"/>
                <w:lang w:val="ro-RO"/>
              </w:rPr>
              <w:t xml:space="preserve">Cheltuielile aferente înregistrării modificărilor corespunzătoare în registrul bunurilor imobile vor fi suportate de </w:t>
            </w:r>
            <w:r w:rsidR="006722C6" w:rsidRPr="0051757E">
              <w:rPr>
                <w:sz w:val="28"/>
                <w:szCs w:val="28"/>
                <w:lang w:val="ro-RO"/>
              </w:rPr>
              <w:t xml:space="preserve">către </w:t>
            </w:r>
            <w:r w:rsidR="00E97E5A" w:rsidRPr="0051757E">
              <w:rPr>
                <w:sz w:val="28"/>
                <w:szCs w:val="28"/>
                <w:lang w:val="ro-RO"/>
              </w:rPr>
              <w:t>Consiliul raional Basarabeasca.</w:t>
            </w:r>
          </w:p>
        </w:tc>
      </w:tr>
      <w:tr w:rsidR="00FF23C0" w:rsidRPr="0051757E" w:rsidTr="000406E5">
        <w:tc>
          <w:tcPr>
            <w:tcW w:w="5000" w:type="pct"/>
          </w:tcPr>
          <w:p w:rsidR="00FF23C0" w:rsidRPr="0051757E" w:rsidRDefault="00FF23C0" w:rsidP="000406E5">
            <w:pPr>
              <w:pStyle w:val="a4"/>
              <w:ind w:left="281" w:hanging="281"/>
              <w:rPr>
                <w:b/>
                <w:sz w:val="28"/>
                <w:szCs w:val="28"/>
                <w:lang w:val="ro-RO"/>
              </w:rPr>
            </w:pPr>
            <w:r w:rsidRPr="0051757E">
              <w:rPr>
                <w:b/>
                <w:sz w:val="28"/>
                <w:szCs w:val="28"/>
                <w:lang w:val="ro-RO"/>
              </w:rPr>
              <w:t>6. Modul de încorporare a actului în cadrul normativ în vigoare</w:t>
            </w:r>
          </w:p>
        </w:tc>
      </w:tr>
      <w:tr w:rsidR="00FF23C0" w:rsidRPr="0051757E" w:rsidTr="000406E5">
        <w:tc>
          <w:tcPr>
            <w:tcW w:w="5000" w:type="pct"/>
          </w:tcPr>
          <w:p w:rsidR="00FF23C0" w:rsidRPr="0051757E" w:rsidRDefault="00DA5F73" w:rsidP="00882900">
            <w:pPr>
              <w:pStyle w:val="a4"/>
              <w:ind w:left="281" w:hanging="281"/>
              <w:jc w:val="both"/>
              <w:rPr>
                <w:sz w:val="28"/>
                <w:szCs w:val="28"/>
                <w:lang w:val="ro-RO"/>
              </w:rPr>
            </w:pPr>
            <w:r w:rsidRPr="0051757E">
              <w:rPr>
                <w:sz w:val="28"/>
                <w:szCs w:val="28"/>
                <w:lang w:val="ro-RO"/>
              </w:rPr>
              <w:t xml:space="preserve">   </w:t>
            </w:r>
            <w:r w:rsidR="00882900" w:rsidRPr="0051757E">
              <w:rPr>
                <w:sz w:val="28"/>
                <w:szCs w:val="28"/>
                <w:lang w:val="ro-RO"/>
              </w:rPr>
              <w:t>Proiectul elaborat se încadreaz</w:t>
            </w:r>
            <w:r w:rsidRPr="0051757E">
              <w:rPr>
                <w:sz w:val="28"/>
                <w:szCs w:val="28"/>
                <w:lang w:val="ro-RO"/>
              </w:rPr>
              <w:t>ă</w:t>
            </w:r>
            <w:r w:rsidR="00882900" w:rsidRPr="0051757E">
              <w:rPr>
                <w:sz w:val="28"/>
                <w:szCs w:val="28"/>
                <w:lang w:val="ro-RO"/>
              </w:rPr>
              <w:t xml:space="preserve"> în cadrul </w:t>
            </w:r>
            <w:r w:rsidR="00882900" w:rsidRPr="0051757E">
              <w:rPr>
                <w:sz w:val="28"/>
                <w:szCs w:val="28"/>
                <w:lang w:val="ro-RO" w:eastAsia="zh-TW" w:bidi="en-US"/>
              </w:rPr>
              <w:t>normativ în vigoare, iar a</w:t>
            </w:r>
            <w:r w:rsidR="00FF23C0" w:rsidRPr="0051757E">
              <w:rPr>
                <w:sz w:val="28"/>
                <w:szCs w:val="28"/>
                <w:lang w:val="ro-RO"/>
              </w:rPr>
              <w:t xml:space="preserve">probarea </w:t>
            </w:r>
            <w:r w:rsidR="00882900" w:rsidRPr="0051757E">
              <w:rPr>
                <w:sz w:val="28"/>
                <w:szCs w:val="28"/>
                <w:lang w:val="ro-RO"/>
              </w:rPr>
              <w:t xml:space="preserve">acestuia </w:t>
            </w:r>
            <w:r w:rsidR="00FF23C0" w:rsidRPr="0051757E">
              <w:rPr>
                <w:sz w:val="28"/>
                <w:szCs w:val="28"/>
                <w:lang w:val="ro-RO"/>
              </w:rPr>
              <w:t xml:space="preserve">nu va </w:t>
            </w:r>
            <w:r w:rsidR="00FF23C0" w:rsidRPr="0051757E">
              <w:rPr>
                <w:sz w:val="28"/>
                <w:szCs w:val="28"/>
                <w:lang w:val="ro-RO" w:eastAsia="zh-TW" w:bidi="en-US"/>
              </w:rPr>
              <w:t xml:space="preserve">genera </w:t>
            </w:r>
            <w:r w:rsidR="00882900" w:rsidRPr="0051757E">
              <w:rPr>
                <w:sz w:val="28"/>
                <w:szCs w:val="28"/>
                <w:lang w:val="ro-RO" w:eastAsia="zh-TW" w:bidi="en-US"/>
              </w:rPr>
              <w:t>ca consecinţă necesitatea amendării altor acte normative</w:t>
            </w:r>
            <w:r w:rsidR="00FF23C0" w:rsidRPr="0051757E">
              <w:rPr>
                <w:sz w:val="28"/>
                <w:szCs w:val="28"/>
                <w:lang w:val="ro-RO" w:eastAsia="zh-TW" w:bidi="en-US"/>
              </w:rPr>
              <w:t>.</w:t>
            </w:r>
          </w:p>
        </w:tc>
      </w:tr>
      <w:tr w:rsidR="00FF23C0" w:rsidRPr="0051757E" w:rsidTr="000406E5">
        <w:tc>
          <w:tcPr>
            <w:tcW w:w="5000" w:type="pct"/>
          </w:tcPr>
          <w:p w:rsidR="00FF23C0" w:rsidRPr="0051757E" w:rsidRDefault="00FF23C0" w:rsidP="000406E5">
            <w:pPr>
              <w:pStyle w:val="a4"/>
              <w:ind w:left="281" w:hanging="281"/>
              <w:rPr>
                <w:b/>
                <w:sz w:val="28"/>
                <w:szCs w:val="28"/>
                <w:lang w:val="ro-RO"/>
              </w:rPr>
            </w:pPr>
            <w:r w:rsidRPr="0051757E">
              <w:rPr>
                <w:b/>
                <w:sz w:val="28"/>
                <w:szCs w:val="28"/>
                <w:lang w:val="ro-RO"/>
              </w:rPr>
              <w:t>7. Avizarea şi consultarea publică a proiectului</w:t>
            </w:r>
          </w:p>
        </w:tc>
      </w:tr>
      <w:tr w:rsidR="00FF23C0" w:rsidRPr="0051757E" w:rsidTr="000406E5">
        <w:tc>
          <w:tcPr>
            <w:tcW w:w="5000" w:type="pct"/>
          </w:tcPr>
          <w:p w:rsidR="00882900" w:rsidRPr="0051757E" w:rsidRDefault="00FF23C0" w:rsidP="00882900">
            <w:pPr>
              <w:pStyle w:val="a4"/>
              <w:ind w:left="72" w:hanging="281"/>
              <w:jc w:val="both"/>
              <w:rPr>
                <w:sz w:val="28"/>
                <w:szCs w:val="28"/>
                <w:lang w:val="ro-RO"/>
              </w:rPr>
            </w:pPr>
            <w:r w:rsidRPr="0051757E">
              <w:rPr>
                <w:sz w:val="28"/>
                <w:szCs w:val="28"/>
                <w:lang w:val="ro-RO"/>
              </w:rPr>
              <w:t xml:space="preserve">      </w:t>
            </w:r>
            <w:r w:rsidR="00882900" w:rsidRPr="0051757E">
              <w:rPr>
                <w:sz w:val="28"/>
                <w:szCs w:val="28"/>
                <w:lang w:val="ro-RO"/>
              </w:rPr>
              <w:t xml:space="preserve">În scopul respectării </w:t>
            </w:r>
            <w:r w:rsidR="00882900" w:rsidRPr="0051757E">
              <w:rPr>
                <w:rFonts w:eastAsia="Calibri"/>
                <w:sz w:val="28"/>
                <w:szCs w:val="28"/>
                <w:lang w:val="ro-RO"/>
              </w:rPr>
              <w:t>prevederilor Legii nr. 239/2008 privind transparența în procesul decizional, proiectul hotărîrii de Guvern este plasat</w:t>
            </w:r>
            <w:r w:rsidR="00882900" w:rsidRPr="0051757E">
              <w:rPr>
                <w:sz w:val="28"/>
                <w:szCs w:val="28"/>
                <w:lang w:val="ro-RO"/>
              </w:rPr>
              <w:t xml:space="preserve"> pe portalul guvernamental (</w:t>
            </w:r>
            <w:hyperlink r:id="rId7" w:history="1">
              <w:r w:rsidR="00882900" w:rsidRPr="0051757E">
                <w:rPr>
                  <w:rStyle w:val="a3"/>
                  <w:sz w:val="28"/>
                  <w:szCs w:val="28"/>
                  <w:lang w:val="ro-RO"/>
                </w:rPr>
                <w:t>www.particip.gov.md</w:t>
              </w:r>
            </w:hyperlink>
            <w:r w:rsidR="00882900" w:rsidRPr="0051757E">
              <w:rPr>
                <w:sz w:val="28"/>
                <w:szCs w:val="28"/>
                <w:lang w:val="ro-RO"/>
              </w:rPr>
              <w:t>) precum și pe pagina –web oficială a Ministerului Sănătății, (</w:t>
            </w:r>
            <w:hyperlink r:id="rId8" w:history="1">
              <w:r w:rsidR="00D74D05" w:rsidRPr="0051757E">
                <w:rPr>
                  <w:rStyle w:val="a3"/>
                  <w:sz w:val="28"/>
                  <w:szCs w:val="28"/>
                  <w:lang w:val="ro-RO"/>
                </w:rPr>
                <w:t>www.ms.gov.md</w:t>
              </w:r>
            </w:hyperlink>
            <w:r w:rsidR="00882900" w:rsidRPr="0051757E">
              <w:rPr>
                <w:sz w:val="28"/>
                <w:szCs w:val="28"/>
                <w:lang w:val="ro-RO"/>
              </w:rPr>
              <w:t>) la compartimentul „Transparență decizională”.</w:t>
            </w:r>
          </w:p>
          <w:p w:rsidR="00882900" w:rsidRPr="0051757E" w:rsidRDefault="00882900" w:rsidP="00882900">
            <w:pPr>
              <w:pStyle w:val="a4"/>
              <w:ind w:left="72" w:hanging="281"/>
              <w:jc w:val="both"/>
              <w:rPr>
                <w:sz w:val="28"/>
                <w:szCs w:val="28"/>
                <w:lang w:val="ro-RO"/>
              </w:rPr>
            </w:pPr>
            <w:r w:rsidRPr="0051757E">
              <w:rPr>
                <w:sz w:val="28"/>
                <w:szCs w:val="28"/>
                <w:lang w:val="ro-RO"/>
              </w:rPr>
              <w:t xml:space="preserve">     Informaţia privind rezultatele expertizei, inclusiv a expertizei anticorupţie, juridice vor fi incluse î</w:t>
            </w:r>
            <w:r w:rsidR="00E97E5A" w:rsidRPr="0051757E">
              <w:rPr>
                <w:sz w:val="28"/>
                <w:szCs w:val="28"/>
                <w:lang w:val="ro-RO"/>
              </w:rPr>
              <w:t>n sinteză, ulterior recepţionării avizelor respective şi a raportului anticorupţie.</w:t>
            </w:r>
          </w:p>
          <w:p w:rsidR="0082099E" w:rsidRPr="0051757E" w:rsidRDefault="00882900" w:rsidP="00E97E5A">
            <w:pPr>
              <w:pStyle w:val="a4"/>
              <w:ind w:left="72" w:hanging="281"/>
              <w:jc w:val="both"/>
              <w:rPr>
                <w:sz w:val="28"/>
                <w:szCs w:val="28"/>
                <w:lang w:val="ro-RO"/>
              </w:rPr>
            </w:pPr>
            <w:r w:rsidRPr="0051757E"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FF23C0" w:rsidRPr="0051757E" w:rsidTr="000406E5">
        <w:trPr>
          <w:trHeight w:val="703"/>
        </w:trPr>
        <w:tc>
          <w:tcPr>
            <w:tcW w:w="5000" w:type="pct"/>
          </w:tcPr>
          <w:p w:rsidR="00FF23C0" w:rsidRPr="0051757E" w:rsidRDefault="00FF23C0" w:rsidP="00882900">
            <w:pPr>
              <w:pStyle w:val="a4"/>
              <w:jc w:val="both"/>
              <w:rPr>
                <w:b/>
                <w:sz w:val="28"/>
                <w:szCs w:val="28"/>
                <w:lang w:val="ro-RO"/>
              </w:rPr>
            </w:pPr>
            <w:r w:rsidRPr="0051757E">
              <w:rPr>
                <w:b/>
                <w:sz w:val="28"/>
                <w:szCs w:val="28"/>
                <w:lang w:val="ro-RO"/>
              </w:rPr>
              <w:t>8. Constatările expertizei anticorupție</w:t>
            </w:r>
            <w:r w:rsidR="00986AD1" w:rsidRPr="0051757E">
              <w:rPr>
                <w:b/>
                <w:sz w:val="28"/>
                <w:szCs w:val="28"/>
                <w:lang w:val="ro-RO"/>
              </w:rPr>
              <w:t>.</w:t>
            </w:r>
            <w:r w:rsidR="00A466B4" w:rsidRPr="0051757E">
              <w:rPr>
                <w:b/>
                <w:sz w:val="28"/>
                <w:szCs w:val="28"/>
                <w:lang w:val="ro-RO"/>
              </w:rPr>
              <w:t xml:space="preserve"> </w:t>
            </w:r>
          </w:p>
        </w:tc>
      </w:tr>
      <w:tr w:rsidR="00FF23C0" w:rsidRPr="0051757E" w:rsidTr="000406E5">
        <w:tc>
          <w:tcPr>
            <w:tcW w:w="5000" w:type="pct"/>
          </w:tcPr>
          <w:p w:rsidR="00882900" w:rsidRPr="0051757E" w:rsidRDefault="00FF23C0" w:rsidP="00882900">
            <w:pPr>
              <w:pStyle w:val="a4"/>
              <w:jc w:val="both"/>
              <w:rPr>
                <w:b/>
                <w:sz w:val="28"/>
                <w:szCs w:val="28"/>
                <w:lang w:val="ro-RO"/>
              </w:rPr>
            </w:pPr>
            <w:r w:rsidRPr="0051757E">
              <w:rPr>
                <w:b/>
                <w:sz w:val="28"/>
                <w:szCs w:val="28"/>
                <w:lang w:val="ro-RO"/>
              </w:rPr>
              <w:t xml:space="preserve">9. </w:t>
            </w:r>
            <w:r w:rsidR="00A466B4" w:rsidRPr="0051757E">
              <w:rPr>
                <w:b/>
                <w:sz w:val="28"/>
                <w:szCs w:val="28"/>
                <w:lang w:val="ro-RO"/>
              </w:rPr>
              <w:t>Constatările expertizei juridice</w:t>
            </w:r>
            <w:r w:rsidR="00986AD1" w:rsidRPr="0051757E">
              <w:rPr>
                <w:b/>
                <w:sz w:val="28"/>
                <w:szCs w:val="28"/>
                <w:lang w:val="ro-RO"/>
              </w:rPr>
              <w:t>.</w:t>
            </w:r>
            <w:r w:rsidR="00A466B4" w:rsidRPr="0051757E">
              <w:rPr>
                <w:b/>
                <w:sz w:val="28"/>
                <w:szCs w:val="28"/>
                <w:lang w:val="ro-RO"/>
              </w:rPr>
              <w:t xml:space="preserve"> </w:t>
            </w:r>
          </w:p>
          <w:p w:rsidR="0082099E" w:rsidRPr="0051757E" w:rsidRDefault="0082099E" w:rsidP="00986AD1">
            <w:pPr>
              <w:tabs>
                <w:tab w:val="left" w:pos="884"/>
                <w:tab w:val="left" w:pos="1196"/>
              </w:tabs>
              <w:spacing w:after="0" w:line="240" w:lineRule="auto"/>
              <w:ind w:firstLine="720"/>
              <w:jc w:val="both"/>
              <w:rPr>
                <w:b/>
                <w:sz w:val="28"/>
                <w:szCs w:val="28"/>
              </w:rPr>
            </w:pPr>
          </w:p>
        </w:tc>
      </w:tr>
      <w:tr w:rsidR="00FF23C0" w:rsidRPr="0051757E" w:rsidTr="000406E5">
        <w:tc>
          <w:tcPr>
            <w:tcW w:w="5000" w:type="pct"/>
          </w:tcPr>
          <w:p w:rsidR="00FF23C0" w:rsidRPr="0051757E" w:rsidRDefault="00FF23C0" w:rsidP="00A466B4">
            <w:pPr>
              <w:pStyle w:val="a4"/>
              <w:rPr>
                <w:b/>
                <w:sz w:val="28"/>
                <w:szCs w:val="28"/>
                <w:lang w:val="ro-RO"/>
              </w:rPr>
            </w:pPr>
            <w:r w:rsidRPr="0051757E">
              <w:rPr>
                <w:b/>
                <w:sz w:val="28"/>
                <w:szCs w:val="28"/>
                <w:lang w:val="ro-RO"/>
              </w:rPr>
              <w:t xml:space="preserve">10. </w:t>
            </w:r>
            <w:r w:rsidR="00A466B4" w:rsidRPr="0051757E">
              <w:rPr>
                <w:b/>
                <w:sz w:val="28"/>
                <w:szCs w:val="28"/>
                <w:lang w:val="ro-RO"/>
              </w:rPr>
              <w:t>Constatările altor expertize</w:t>
            </w:r>
          </w:p>
          <w:p w:rsidR="00E97E5A" w:rsidRPr="0051757E" w:rsidRDefault="00E97E5A" w:rsidP="00A466B4">
            <w:pPr>
              <w:pStyle w:val="a4"/>
              <w:rPr>
                <w:sz w:val="28"/>
                <w:szCs w:val="28"/>
                <w:lang w:val="ro-RO"/>
              </w:rPr>
            </w:pPr>
            <w:r w:rsidRPr="0051757E">
              <w:rPr>
                <w:sz w:val="28"/>
                <w:szCs w:val="28"/>
                <w:lang w:val="ro-RO"/>
              </w:rPr>
              <w:t>Proiectul nu conţine prevederi de reglementare a activităţii de întreprinzător, în contextul Legii nr. 235-2006, astfel nefiind necesară elaborarea analizei impactului de reglementare</w:t>
            </w:r>
          </w:p>
        </w:tc>
      </w:tr>
    </w:tbl>
    <w:p w:rsidR="00FF23C0" w:rsidRPr="0051757E" w:rsidRDefault="00FF23C0" w:rsidP="00FF23C0">
      <w:pPr>
        <w:pStyle w:val="a4"/>
        <w:jc w:val="center"/>
        <w:rPr>
          <w:b/>
          <w:sz w:val="28"/>
          <w:szCs w:val="28"/>
          <w:lang w:val="ro-RO"/>
        </w:rPr>
      </w:pPr>
    </w:p>
    <w:p w:rsidR="00B602D7" w:rsidRPr="0051757E" w:rsidRDefault="00B602D7" w:rsidP="00FF23C0">
      <w:pPr>
        <w:pStyle w:val="a4"/>
        <w:jc w:val="center"/>
        <w:rPr>
          <w:b/>
          <w:sz w:val="28"/>
          <w:szCs w:val="28"/>
          <w:lang w:val="ro-RO"/>
        </w:rPr>
      </w:pPr>
    </w:p>
    <w:p w:rsidR="004C192A" w:rsidRPr="0051757E" w:rsidRDefault="004C192A" w:rsidP="004C192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757E">
        <w:rPr>
          <w:rFonts w:ascii="Times New Roman" w:hAnsi="Times New Roman" w:cs="Times New Roman"/>
          <w:b/>
          <w:sz w:val="28"/>
          <w:szCs w:val="24"/>
        </w:rPr>
        <w:t xml:space="preserve">MINISTRU </w:t>
      </w:r>
      <w:r w:rsidR="00D74D05" w:rsidRPr="0051757E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</w:t>
      </w:r>
      <w:r w:rsidRPr="0051757E">
        <w:rPr>
          <w:rFonts w:ascii="Times New Roman" w:hAnsi="Times New Roman" w:cs="Times New Roman"/>
          <w:b/>
          <w:sz w:val="28"/>
          <w:szCs w:val="24"/>
        </w:rPr>
        <w:t>Ala NEMERENCO</w:t>
      </w:r>
    </w:p>
    <w:p w:rsidR="00882900" w:rsidRPr="0051757E" w:rsidRDefault="00882900" w:rsidP="00882900">
      <w:pPr>
        <w:pStyle w:val="a4"/>
        <w:rPr>
          <w:sz w:val="12"/>
          <w:szCs w:val="12"/>
          <w:lang w:val="ro-RO"/>
        </w:rPr>
      </w:pPr>
      <w:r w:rsidRPr="0051757E">
        <w:rPr>
          <w:sz w:val="12"/>
          <w:szCs w:val="12"/>
          <w:lang w:val="ro-RO"/>
        </w:rPr>
        <w:t>Ex .V. Carp ,</w:t>
      </w:r>
    </w:p>
    <w:p w:rsidR="000B3C01" w:rsidRPr="0051757E" w:rsidRDefault="00882900" w:rsidP="00FF23C0">
      <w:pPr>
        <w:pStyle w:val="a4"/>
        <w:rPr>
          <w:lang w:val="ro-RO"/>
        </w:rPr>
      </w:pPr>
      <w:r w:rsidRPr="0051757E">
        <w:rPr>
          <w:sz w:val="12"/>
          <w:szCs w:val="12"/>
          <w:lang w:val="ro-RO"/>
        </w:rPr>
        <w:t>Tel. 022 268806</w:t>
      </w:r>
      <w:r w:rsidR="00FF23C0" w:rsidRPr="0051757E">
        <w:rPr>
          <w:sz w:val="16"/>
          <w:szCs w:val="16"/>
          <w:lang w:val="ro-RO"/>
        </w:rPr>
        <w:t xml:space="preserve"> </w:t>
      </w:r>
    </w:p>
    <w:sectPr w:rsidR="000B3C01" w:rsidRPr="0051757E" w:rsidSect="00986AD1">
      <w:pgSz w:w="11906" w:h="16838"/>
      <w:pgMar w:top="634" w:right="850" w:bottom="576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977C2"/>
    <w:multiLevelType w:val="hybridMultilevel"/>
    <w:tmpl w:val="34CE1846"/>
    <w:lvl w:ilvl="0" w:tplc="FB72D05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05" w:hanging="360"/>
      </w:pPr>
    </w:lvl>
    <w:lvl w:ilvl="2" w:tplc="0418001B" w:tentative="1">
      <w:start w:val="1"/>
      <w:numFmt w:val="lowerRoman"/>
      <w:lvlText w:val="%3."/>
      <w:lvlJc w:val="right"/>
      <w:pPr>
        <w:ind w:left="2325" w:hanging="180"/>
      </w:pPr>
    </w:lvl>
    <w:lvl w:ilvl="3" w:tplc="0418000F" w:tentative="1">
      <w:start w:val="1"/>
      <w:numFmt w:val="decimal"/>
      <w:lvlText w:val="%4."/>
      <w:lvlJc w:val="left"/>
      <w:pPr>
        <w:ind w:left="3045" w:hanging="360"/>
      </w:pPr>
    </w:lvl>
    <w:lvl w:ilvl="4" w:tplc="04180019" w:tentative="1">
      <w:start w:val="1"/>
      <w:numFmt w:val="lowerLetter"/>
      <w:lvlText w:val="%5."/>
      <w:lvlJc w:val="left"/>
      <w:pPr>
        <w:ind w:left="3765" w:hanging="360"/>
      </w:pPr>
    </w:lvl>
    <w:lvl w:ilvl="5" w:tplc="0418001B" w:tentative="1">
      <w:start w:val="1"/>
      <w:numFmt w:val="lowerRoman"/>
      <w:lvlText w:val="%6."/>
      <w:lvlJc w:val="right"/>
      <w:pPr>
        <w:ind w:left="4485" w:hanging="180"/>
      </w:pPr>
    </w:lvl>
    <w:lvl w:ilvl="6" w:tplc="0418000F" w:tentative="1">
      <w:start w:val="1"/>
      <w:numFmt w:val="decimal"/>
      <w:lvlText w:val="%7."/>
      <w:lvlJc w:val="left"/>
      <w:pPr>
        <w:ind w:left="5205" w:hanging="360"/>
      </w:pPr>
    </w:lvl>
    <w:lvl w:ilvl="7" w:tplc="04180019" w:tentative="1">
      <w:start w:val="1"/>
      <w:numFmt w:val="lowerLetter"/>
      <w:lvlText w:val="%8."/>
      <w:lvlJc w:val="left"/>
      <w:pPr>
        <w:ind w:left="5925" w:hanging="360"/>
      </w:pPr>
    </w:lvl>
    <w:lvl w:ilvl="8" w:tplc="0418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7FAA6973"/>
    <w:multiLevelType w:val="hybridMultilevel"/>
    <w:tmpl w:val="46A6D798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3C0"/>
    <w:rsid w:val="0005799B"/>
    <w:rsid w:val="000A7A31"/>
    <w:rsid w:val="000B3C01"/>
    <w:rsid w:val="0019541D"/>
    <w:rsid w:val="00302692"/>
    <w:rsid w:val="00306FE6"/>
    <w:rsid w:val="003A74F9"/>
    <w:rsid w:val="00423769"/>
    <w:rsid w:val="004C192A"/>
    <w:rsid w:val="004F364D"/>
    <w:rsid w:val="0051757E"/>
    <w:rsid w:val="00525657"/>
    <w:rsid w:val="00573424"/>
    <w:rsid w:val="00625206"/>
    <w:rsid w:val="00625F64"/>
    <w:rsid w:val="006722C6"/>
    <w:rsid w:val="00705538"/>
    <w:rsid w:val="0082099E"/>
    <w:rsid w:val="00882900"/>
    <w:rsid w:val="008F51F3"/>
    <w:rsid w:val="009246FB"/>
    <w:rsid w:val="00986AD1"/>
    <w:rsid w:val="00A1588C"/>
    <w:rsid w:val="00A466B4"/>
    <w:rsid w:val="00A51F49"/>
    <w:rsid w:val="00B602D7"/>
    <w:rsid w:val="00D620BE"/>
    <w:rsid w:val="00D74D05"/>
    <w:rsid w:val="00DA5F73"/>
    <w:rsid w:val="00E01E06"/>
    <w:rsid w:val="00E501BA"/>
    <w:rsid w:val="00E61DBB"/>
    <w:rsid w:val="00E63E44"/>
    <w:rsid w:val="00E97E5A"/>
    <w:rsid w:val="00F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3C0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23C0"/>
    <w:rPr>
      <w:color w:val="0000FF"/>
      <w:u w:val="single"/>
    </w:rPr>
  </w:style>
  <w:style w:type="paragraph" w:styleId="a4">
    <w:name w:val="No Spacing"/>
    <w:uiPriority w:val="1"/>
    <w:qFormat/>
    <w:rsid w:val="00FF2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FF23C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2099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ntStyle63">
    <w:name w:val="Font Style63"/>
    <w:basedOn w:val="a0"/>
    <w:rsid w:val="00525657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3C0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23C0"/>
    <w:rPr>
      <w:color w:val="0000FF"/>
      <w:u w:val="single"/>
    </w:rPr>
  </w:style>
  <w:style w:type="paragraph" w:styleId="a4">
    <w:name w:val="No Spacing"/>
    <w:uiPriority w:val="1"/>
    <w:qFormat/>
    <w:rsid w:val="00FF2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FF23C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2099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ntStyle63">
    <w:name w:val="Font Style63"/>
    <w:basedOn w:val="a0"/>
    <w:rsid w:val="00525657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.gov.md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articip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D1224-4690-454A-B277-D3A98CEE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 Vladimir</dc:creator>
  <cp:lastModifiedBy>User</cp:lastModifiedBy>
  <cp:revision>5</cp:revision>
  <cp:lastPrinted>2021-11-15T07:57:00Z</cp:lastPrinted>
  <dcterms:created xsi:type="dcterms:W3CDTF">2021-11-11T09:54:00Z</dcterms:created>
  <dcterms:modified xsi:type="dcterms:W3CDTF">2021-11-15T07:57:00Z</dcterms:modified>
</cp:coreProperties>
</file>