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4F68C" w14:textId="77777777" w:rsidR="00BA2B04" w:rsidRPr="00755AB3" w:rsidRDefault="00BA2B04" w:rsidP="00EA1AC1">
      <w:pPr>
        <w:spacing w:after="0"/>
        <w:jc w:val="center"/>
        <w:rPr>
          <w:rFonts w:ascii="Times New Roman" w:hAnsi="Times New Roman"/>
          <w:b/>
          <w:sz w:val="27"/>
          <w:szCs w:val="27"/>
          <w:lang w:val="ro-MD"/>
        </w:rPr>
      </w:pPr>
      <w:r w:rsidRPr="00755AB3">
        <w:rPr>
          <w:rFonts w:ascii="Times New Roman" w:hAnsi="Times New Roman"/>
          <w:b/>
          <w:sz w:val="27"/>
          <w:szCs w:val="27"/>
          <w:lang w:val="ro-MD"/>
        </w:rPr>
        <w:t>NOTĂ INFORMATIVĂ</w:t>
      </w:r>
    </w:p>
    <w:p w14:paraId="4870631C" w14:textId="72BCC0A2" w:rsidR="00755AB3" w:rsidRDefault="00BA2B04" w:rsidP="00EA1AC1">
      <w:pPr>
        <w:spacing w:after="0"/>
        <w:ind w:left="1134" w:right="530"/>
        <w:contextualSpacing/>
        <w:jc w:val="center"/>
        <w:rPr>
          <w:rFonts w:ascii="Times New Roman" w:hAnsi="Times New Roman"/>
          <w:b/>
          <w:sz w:val="27"/>
          <w:szCs w:val="27"/>
          <w:lang w:val="ro-MD"/>
        </w:rPr>
      </w:pPr>
      <w:r w:rsidRPr="00755AB3">
        <w:rPr>
          <w:rFonts w:ascii="Times New Roman" w:hAnsi="Times New Roman"/>
          <w:b/>
          <w:sz w:val="27"/>
          <w:szCs w:val="27"/>
          <w:lang w:val="ro-MD"/>
        </w:rPr>
        <w:t>l</w:t>
      </w:r>
      <w:r w:rsidR="00F417DD" w:rsidRPr="00755AB3">
        <w:rPr>
          <w:rFonts w:ascii="Times New Roman" w:hAnsi="Times New Roman"/>
          <w:b/>
          <w:sz w:val="27"/>
          <w:szCs w:val="27"/>
          <w:lang w:val="ro-MD"/>
        </w:rPr>
        <w:t>a proiectul h</w:t>
      </w:r>
      <w:r w:rsidR="007C3A6A" w:rsidRPr="00755AB3">
        <w:rPr>
          <w:rFonts w:ascii="Times New Roman" w:hAnsi="Times New Roman"/>
          <w:b/>
          <w:sz w:val="27"/>
          <w:szCs w:val="27"/>
          <w:lang w:val="ro-MD"/>
        </w:rPr>
        <w:t>otărâ</w:t>
      </w:r>
      <w:r w:rsidRPr="00755AB3">
        <w:rPr>
          <w:rFonts w:ascii="Times New Roman" w:hAnsi="Times New Roman"/>
          <w:b/>
          <w:sz w:val="27"/>
          <w:szCs w:val="27"/>
          <w:lang w:val="ro-MD"/>
        </w:rPr>
        <w:t xml:space="preserve">rii Guvernului cu privire la instituirea Comisiei </w:t>
      </w:r>
      <w:r w:rsidR="00176F10">
        <w:rPr>
          <w:rFonts w:ascii="Times New Roman" w:hAnsi="Times New Roman"/>
          <w:b/>
          <w:sz w:val="27"/>
          <w:szCs w:val="27"/>
          <w:lang w:val="ro-MD"/>
        </w:rPr>
        <w:t xml:space="preserve">de cercetarea </w:t>
      </w:r>
      <w:r w:rsidRPr="00755AB3">
        <w:rPr>
          <w:rFonts w:ascii="Times New Roman" w:hAnsi="Times New Roman"/>
          <w:b/>
          <w:sz w:val="27"/>
          <w:szCs w:val="27"/>
          <w:lang w:val="ro-MD"/>
        </w:rPr>
        <w:t>prealabilă p</w:t>
      </w:r>
      <w:r w:rsidR="00176F10">
        <w:rPr>
          <w:rFonts w:ascii="Times New Roman" w:hAnsi="Times New Roman"/>
          <w:b/>
          <w:sz w:val="27"/>
          <w:szCs w:val="27"/>
          <w:lang w:val="ro-MD"/>
        </w:rPr>
        <w:t>entru</w:t>
      </w:r>
      <w:r w:rsidRPr="00755AB3">
        <w:rPr>
          <w:rFonts w:ascii="Times New Roman" w:hAnsi="Times New Roman"/>
          <w:b/>
          <w:sz w:val="27"/>
          <w:szCs w:val="27"/>
          <w:lang w:val="ro-MD"/>
        </w:rPr>
        <w:t xml:space="preserve"> declararea utilității publice de interes național a lucrărilor de construcție </w:t>
      </w:r>
      <w:r w:rsidR="00034F72">
        <w:rPr>
          <w:rFonts w:ascii="Times New Roman" w:hAnsi="Times New Roman"/>
          <w:b/>
          <w:sz w:val="27"/>
          <w:szCs w:val="27"/>
          <w:lang w:val="ro-MD"/>
        </w:rPr>
        <w:t xml:space="preserve">a </w:t>
      </w:r>
      <w:r w:rsidR="007C3A6A" w:rsidRPr="00755AB3">
        <w:rPr>
          <w:rFonts w:ascii="Times New Roman" w:hAnsi="Times New Roman"/>
          <w:b/>
          <w:sz w:val="27"/>
          <w:szCs w:val="27"/>
          <w:lang w:val="ro-MD"/>
        </w:rPr>
        <w:t>apeductul</w:t>
      </w:r>
      <w:r w:rsidR="00034F72">
        <w:rPr>
          <w:rFonts w:ascii="Times New Roman" w:hAnsi="Times New Roman"/>
          <w:b/>
          <w:sz w:val="27"/>
          <w:szCs w:val="27"/>
          <w:lang w:val="ro-MD"/>
        </w:rPr>
        <w:t>ui</w:t>
      </w:r>
      <w:r w:rsidR="007C3A6A" w:rsidRPr="00755AB3">
        <w:rPr>
          <w:rFonts w:ascii="Times New Roman" w:hAnsi="Times New Roman"/>
          <w:b/>
          <w:sz w:val="27"/>
          <w:szCs w:val="27"/>
          <w:lang w:val="ro-MD"/>
        </w:rPr>
        <w:t xml:space="preserve"> magistral </w:t>
      </w:r>
    </w:p>
    <w:p w14:paraId="40434176" w14:textId="620A83D5" w:rsidR="00BA2B04" w:rsidRPr="00755AB3" w:rsidRDefault="007C3A6A" w:rsidP="00EA1AC1">
      <w:pPr>
        <w:spacing w:after="0"/>
        <w:ind w:left="1134" w:right="530"/>
        <w:contextualSpacing/>
        <w:jc w:val="center"/>
        <w:rPr>
          <w:rFonts w:ascii="Times New Roman" w:hAnsi="Times New Roman"/>
          <w:b/>
          <w:sz w:val="27"/>
          <w:szCs w:val="27"/>
          <w:lang w:val="ro-MD"/>
        </w:rPr>
      </w:pPr>
      <w:r w:rsidRPr="00755AB3">
        <w:rPr>
          <w:rFonts w:ascii="Times New Roman" w:hAnsi="Times New Roman"/>
          <w:b/>
          <w:sz w:val="27"/>
          <w:szCs w:val="27"/>
          <w:lang w:val="ro-MD"/>
        </w:rPr>
        <w:t xml:space="preserve">Chișinău – Strășeni – </w:t>
      </w:r>
      <w:r w:rsidR="00BA2B04" w:rsidRPr="00755AB3">
        <w:rPr>
          <w:rFonts w:ascii="Times New Roman" w:hAnsi="Times New Roman"/>
          <w:b/>
          <w:sz w:val="27"/>
          <w:szCs w:val="27"/>
          <w:lang w:val="ro-MD"/>
        </w:rPr>
        <w:t>Călărași</w:t>
      </w:r>
    </w:p>
    <w:p w14:paraId="6F331538" w14:textId="77777777" w:rsidR="00BA2B04" w:rsidRPr="00755AB3" w:rsidRDefault="00BA2B04" w:rsidP="00EA1AC1">
      <w:pPr>
        <w:spacing w:after="0"/>
        <w:contextualSpacing/>
        <w:jc w:val="center"/>
        <w:rPr>
          <w:rFonts w:ascii="Times New Roman" w:eastAsia="Cambria" w:hAnsi="Times New Roman"/>
          <w:b/>
          <w:color w:val="000000"/>
          <w:sz w:val="27"/>
          <w:szCs w:val="27"/>
          <w:lang w:val="ro-RO"/>
        </w:rPr>
      </w:pPr>
    </w:p>
    <w:tbl>
      <w:tblPr>
        <w:tblW w:w="48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46"/>
      </w:tblGrid>
      <w:tr w:rsidR="00BA2B04" w:rsidRPr="001D5093" w14:paraId="4E5BC931" w14:textId="77777777" w:rsidTr="00AD4322">
        <w:tc>
          <w:tcPr>
            <w:tcW w:w="5000" w:type="pct"/>
          </w:tcPr>
          <w:p w14:paraId="15C1FEE1" w14:textId="77777777" w:rsidR="00BA2B04" w:rsidRPr="00755AB3" w:rsidRDefault="00BA2B04" w:rsidP="00EA1AC1">
            <w:pPr>
              <w:numPr>
                <w:ilvl w:val="3"/>
                <w:numId w:val="1"/>
              </w:numPr>
              <w:tabs>
                <w:tab w:val="clear" w:pos="2880"/>
                <w:tab w:val="left" w:pos="284"/>
                <w:tab w:val="left" w:pos="1196"/>
              </w:tabs>
              <w:spacing w:after="0"/>
              <w:ind w:left="0" w:firstLine="0"/>
              <w:contextualSpacing/>
              <w:jc w:val="both"/>
              <w:rPr>
                <w:rFonts w:ascii="Times New Roman" w:hAnsi="Times New Roman"/>
                <w:b/>
                <w:color w:val="000000"/>
                <w:sz w:val="27"/>
                <w:szCs w:val="27"/>
                <w:lang w:val="ro-RO"/>
              </w:rPr>
            </w:pPr>
            <w:r w:rsidRPr="00755AB3">
              <w:rPr>
                <w:rFonts w:ascii="Times New Roman" w:hAnsi="Times New Roman"/>
                <w:b/>
                <w:color w:val="000000"/>
                <w:sz w:val="27"/>
                <w:szCs w:val="27"/>
                <w:lang w:val="ro-RO"/>
              </w:rPr>
              <w:t xml:space="preserve"> Denumirea autorului şi, după caz, a participanţilor la elaborarea proiectului</w:t>
            </w:r>
          </w:p>
        </w:tc>
      </w:tr>
      <w:tr w:rsidR="00BA2B04" w:rsidRPr="001D5093" w14:paraId="30B5A912" w14:textId="77777777" w:rsidTr="00AD4322">
        <w:tc>
          <w:tcPr>
            <w:tcW w:w="5000" w:type="pct"/>
          </w:tcPr>
          <w:p w14:paraId="32423345" w14:textId="2AAE0E84" w:rsidR="00BA2B04" w:rsidRPr="00755AB3" w:rsidRDefault="00BA2B04" w:rsidP="00176F10">
            <w:pPr>
              <w:spacing w:after="0"/>
              <w:contextualSpacing/>
              <w:jc w:val="both"/>
              <w:rPr>
                <w:rFonts w:ascii="Times New Roman" w:hAnsi="Times New Roman"/>
                <w:color w:val="000000"/>
                <w:sz w:val="27"/>
                <w:szCs w:val="27"/>
                <w:lang w:val="ro-MD"/>
              </w:rPr>
            </w:pPr>
            <w:r w:rsidRPr="00755AB3">
              <w:rPr>
                <w:rFonts w:ascii="Times New Roman" w:hAnsi="Times New Roman"/>
                <w:sz w:val="27"/>
                <w:szCs w:val="27"/>
                <w:lang w:val="ro-MD"/>
              </w:rPr>
              <w:t xml:space="preserve">Proiectul hotărârii Guvernului cu privire la instituirea Comisiei </w:t>
            </w:r>
            <w:r w:rsidR="00176F10">
              <w:rPr>
                <w:rFonts w:ascii="Times New Roman" w:hAnsi="Times New Roman"/>
                <w:sz w:val="27"/>
                <w:szCs w:val="27"/>
                <w:lang w:val="ro-MD"/>
              </w:rPr>
              <w:t>de</w:t>
            </w:r>
            <w:r w:rsidRPr="00755AB3">
              <w:rPr>
                <w:rFonts w:ascii="Times New Roman" w:hAnsi="Times New Roman"/>
                <w:sz w:val="27"/>
                <w:szCs w:val="27"/>
                <w:lang w:val="ro-MD"/>
              </w:rPr>
              <w:t xml:space="preserve"> cercetare</w:t>
            </w:r>
            <w:r w:rsidR="00176F10">
              <w:rPr>
                <w:rFonts w:ascii="Times New Roman" w:hAnsi="Times New Roman"/>
                <w:sz w:val="27"/>
                <w:szCs w:val="27"/>
                <w:lang w:val="ro-MD"/>
              </w:rPr>
              <w:t xml:space="preserve"> prealabilă pentru </w:t>
            </w:r>
            <w:r w:rsidRPr="00755AB3">
              <w:rPr>
                <w:rFonts w:ascii="Times New Roman" w:hAnsi="Times New Roman"/>
                <w:sz w:val="27"/>
                <w:szCs w:val="27"/>
                <w:lang w:val="ro-MD"/>
              </w:rPr>
              <w:t xml:space="preserve">declararea utilității publice de interes național </w:t>
            </w:r>
            <w:r w:rsidR="007C3A6A" w:rsidRPr="00755AB3">
              <w:rPr>
                <w:rFonts w:ascii="Times New Roman" w:hAnsi="Times New Roman"/>
                <w:sz w:val="27"/>
                <w:szCs w:val="27"/>
                <w:lang w:val="ro-MD"/>
              </w:rPr>
              <w:t xml:space="preserve">a lucrărilor de construcție </w:t>
            </w:r>
            <w:r w:rsidR="00034F72">
              <w:rPr>
                <w:rFonts w:ascii="Times New Roman" w:hAnsi="Times New Roman"/>
                <w:sz w:val="27"/>
                <w:szCs w:val="27"/>
                <w:lang w:val="ro-MD"/>
              </w:rPr>
              <w:t>a</w:t>
            </w:r>
            <w:r w:rsidR="007C3A6A" w:rsidRPr="00755AB3">
              <w:rPr>
                <w:rFonts w:ascii="Times New Roman" w:hAnsi="Times New Roman"/>
                <w:sz w:val="27"/>
                <w:szCs w:val="27"/>
                <w:lang w:val="ro-MD"/>
              </w:rPr>
              <w:t xml:space="preserve"> apeductul</w:t>
            </w:r>
            <w:r w:rsidR="00034F72">
              <w:rPr>
                <w:rFonts w:ascii="Times New Roman" w:hAnsi="Times New Roman"/>
                <w:sz w:val="27"/>
                <w:szCs w:val="27"/>
                <w:lang w:val="ro-MD"/>
              </w:rPr>
              <w:t>ui</w:t>
            </w:r>
            <w:r w:rsidR="007C3A6A" w:rsidRPr="00755AB3">
              <w:rPr>
                <w:rFonts w:ascii="Times New Roman" w:hAnsi="Times New Roman"/>
                <w:sz w:val="27"/>
                <w:szCs w:val="27"/>
                <w:lang w:val="ro-MD"/>
              </w:rPr>
              <w:t xml:space="preserve"> magistral Chișinău – Strășeni – Călărași </w:t>
            </w:r>
            <w:r w:rsidRPr="00755AB3">
              <w:rPr>
                <w:rFonts w:ascii="Times New Roman" w:hAnsi="Times New Roman"/>
                <w:sz w:val="27"/>
                <w:szCs w:val="27"/>
                <w:lang w:val="ro-MD"/>
              </w:rPr>
              <w:t xml:space="preserve">este elaborat de către Ministerul Infrastructurii și Dezvoltării Regionale, cu suportul metodologic al </w:t>
            </w:r>
            <w:r w:rsidRPr="006B2D37">
              <w:rPr>
                <w:rFonts w:ascii="Times New Roman" w:hAnsi="Times New Roman"/>
                <w:sz w:val="27"/>
                <w:szCs w:val="27"/>
                <w:lang w:val="ro-MD"/>
              </w:rPr>
              <w:t>Unității de im</w:t>
            </w:r>
            <w:r w:rsidR="003C2D83" w:rsidRPr="006B2D37">
              <w:rPr>
                <w:rFonts w:ascii="Times New Roman" w:hAnsi="Times New Roman"/>
                <w:sz w:val="27"/>
                <w:szCs w:val="27"/>
                <w:lang w:val="ro-MD"/>
              </w:rPr>
              <w:t>p</w:t>
            </w:r>
            <w:r w:rsidRPr="006B2D37">
              <w:rPr>
                <w:rFonts w:ascii="Times New Roman" w:hAnsi="Times New Roman"/>
                <w:sz w:val="27"/>
                <w:szCs w:val="27"/>
                <w:lang w:val="ro-MD"/>
              </w:rPr>
              <w:t>lementare a proiectului constituită în cadrul A</w:t>
            </w:r>
            <w:r w:rsidR="007C3A6A" w:rsidRPr="006B2D37">
              <w:rPr>
                <w:rFonts w:ascii="Times New Roman" w:hAnsi="Times New Roman"/>
                <w:sz w:val="27"/>
                <w:szCs w:val="27"/>
                <w:lang w:val="ro-MD"/>
              </w:rPr>
              <w:t xml:space="preserve">genției de Dezvoltare Regională </w:t>
            </w:r>
            <w:r w:rsidRPr="006B2D37">
              <w:rPr>
                <w:rFonts w:ascii="Times New Roman" w:hAnsi="Times New Roman"/>
                <w:sz w:val="27"/>
                <w:szCs w:val="27"/>
                <w:lang w:val="ro-MD"/>
              </w:rPr>
              <w:t>Centru</w:t>
            </w:r>
            <w:r w:rsidRPr="00755AB3">
              <w:rPr>
                <w:rFonts w:ascii="Times New Roman" w:hAnsi="Times New Roman"/>
                <w:sz w:val="27"/>
                <w:szCs w:val="27"/>
                <w:lang w:val="ro-MD"/>
              </w:rPr>
              <w:t>.</w:t>
            </w:r>
          </w:p>
        </w:tc>
      </w:tr>
      <w:tr w:rsidR="00BA2B04" w:rsidRPr="001D5093" w14:paraId="30EA53AE" w14:textId="77777777" w:rsidTr="00AD4322">
        <w:tc>
          <w:tcPr>
            <w:tcW w:w="5000" w:type="pct"/>
          </w:tcPr>
          <w:p w14:paraId="4423EA8F" w14:textId="77777777" w:rsidR="00BA2B04" w:rsidRPr="00755AB3" w:rsidRDefault="00BA2B04" w:rsidP="00EA1AC1">
            <w:pPr>
              <w:tabs>
                <w:tab w:val="left" w:pos="884"/>
                <w:tab w:val="left" w:pos="1196"/>
              </w:tabs>
              <w:spacing w:after="0"/>
              <w:contextualSpacing/>
              <w:jc w:val="both"/>
              <w:rPr>
                <w:rFonts w:ascii="Times New Roman" w:hAnsi="Times New Roman"/>
                <w:b/>
                <w:color w:val="000000"/>
                <w:sz w:val="27"/>
                <w:szCs w:val="27"/>
                <w:lang w:val="ro-RO"/>
              </w:rPr>
            </w:pPr>
            <w:r w:rsidRPr="00755AB3">
              <w:rPr>
                <w:rFonts w:ascii="Times New Roman" w:hAnsi="Times New Roman"/>
                <w:b/>
                <w:color w:val="000000"/>
                <w:sz w:val="27"/>
                <w:szCs w:val="27"/>
                <w:lang w:val="ro-RO"/>
              </w:rPr>
              <w:t>2. Condiţiile ce au impus elaborarea proiectului de act normativ şi finalităţile urmărite</w:t>
            </w:r>
          </w:p>
        </w:tc>
      </w:tr>
      <w:tr w:rsidR="00BA2B04" w:rsidRPr="001D5093" w14:paraId="2B8D73C0" w14:textId="77777777" w:rsidTr="00AD4322">
        <w:tc>
          <w:tcPr>
            <w:tcW w:w="5000" w:type="pct"/>
          </w:tcPr>
          <w:p w14:paraId="12F0D18A" w14:textId="2D3EC618" w:rsidR="007C3A6A" w:rsidRPr="00755AB3" w:rsidRDefault="007C3A6A" w:rsidP="00EA1AC1">
            <w:pPr>
              <w:spacing w:after="0"/>
              <w:jc w:val="both"/>
              <w:rPr>
                <w:rFonts w:ascii="Times New Roman" w:hAnsi="Times New Roman"/>
                <w:sz w:val="27"/>
                <w:szCs w:val="27"/>
                <w:lang w:val="ro-MD"/>
              </w:rPr>
            </w:pPr>
            <w:r w:rsidRPr="00755AB3">
              <w:rPr>
                <w:rFonts w:ascii="Times New Roman" w:hAnsi="Times New Roman"/>
                <w:sz w:val="27"/>
                <w:szCs w:val="27"/>
                <w:lang w:val="ro-MD"/>
              </w:rPr>
              <w:t>Proiectul actului normativ a fost elaborat în conformitate cu prevederile art.7 alin.</w:t>
            </w:r>
            <w:r w:rsidR="00F417DD" w:rsidRPr="00755AB3">
              <w:rPr>
                <w:rFonts w:ascii="Times New Roman" w:hAnsi="Times New Roman"/>
                <w:sz w:val="27"/>
                <w:szCs w:val="27"/>
                <w:lang w:val="ro-MD"/>
              </w:rPr>
              <w:t xml:space="preserve"> </w:t>
            </w:r>
            <w:r w:rsidRPr="00755AB3">
              <w:rPr>
                <w:rFonts w:ascii="Times New Roman" w:hAnsi="Times New Roman"/>
                <w:sz w:val="27"/>
                <w:szCs w:val="27"/>
                <w:lang w:val="ro-MD"/>
              </w:rPr>
              <w:t xml:space="preserve">(2) din Legea </w:t>
            </w:r>
            <w:r w:rsidR="007B4305">
              <w:rPr>
                <w:rFonts w:ascii="Times New Roman" w:hAnsi="Times New Roman"/>
                <w:sz w:val="27"/>
                <w:szCs w:val="27"/>
                <w:lang w:val="ro-MD"/>
              </w:rPr>
              <w:t xml:space="preserve">nr. 488/1999 </w:t>
            </w:r>
            <w:r w:rsidRPr="00755AB3">
              <w:rPr>
                <w:rFonts w:ascii="Times New Roman" w:hAnsi="Times New Roman"/>
                <w:sz w:val="27"/>
                <w:szCs w:val="27"/>
                <w:lang w:val="ro-MD"/>
              </w:rPr>
              <w:t>exproprierii pentru cauză de utilitate publică și ale Regulamentului privind modul de cercetare prealabilă pentru declararea utilității publice a obiectului exproprierii, aprobat prin Hotărârea Guvernului nr. 660/2006.</w:t>
            </w:r>
          </w:p>
          <w:p w14:paraId="3BA35773" w14:textId="25D8208A" w:rsidR="007C3A6A" w:rsidRPr="00755AB3" w:rsidRDefault="007C3A6A" w:rsidP="00EA1AC1">
            <w:pPr>
              <w:spacing w:after="0"/>
              <w:jc w:val="both"/>
              <w:rPr>
                <w:rFonts w:ascii="Times New Roman" w:hAnsi="Times New Roman"/>
                <w:sz w:val="27"/>
                <w:szCs w:val="27"/>
                <w:lang w:val="ro-MD"/>
              </w:rPr>
            </w:pPr>
            <w:r w:rsidRPr="00755AB3">
              <w:rPr>
                <w:rFonts w:ascii="Times New Roman" w:hAnsi="Times New Roman"/>
                <w:sz w:val="27"/>
                <w:szCs w:val="27"/>
                <w:lang w:val="ro-MD"/>
              </w:rPr>
              <w:t xml:space="preserve">Necesitatea elaborării proiectului Hotărârii de Guvern este argumentată de imperativul realizării proiectului </w:t>
            </w:r>
            <w:r w:rsidRPr="00755AB3">
              <w:rPr>
                <w:rFonts w:ascii="Times New Roman" w:hAnsi="Times New Roman"/>
                <w:i/>
                <w:sz w:val="27"/>
                <w:szCs w:val="27"/>
                <w:lang w:val="ro-MD"/>
              </w:rPr>
              <w:t>„Îmbunătățirea infrastructurii de apă în Moldova Centrală”</w:t>
            </w:r>
            <w:r w:rsidRPr="00755AB3">
              <w:rPr>
                <w:rFonts w:ascii="Times New Roman" w:hAnsi="Times New Roman"/>
                <w:sz w:val="27"/>
                <w:szCs w:val="27"/>
                <w:lang w:val="ro-MD"/>
              </w:rPr>
              <w:t>, prin încheierea Acordului de finanțare și proiect între Institutul de Credit pentru Reconstrucție (KfW), Republica Moldova (Ministerul Finanțelor) și Agenția de Dezvoltare Region</w:t>
            </w:r>
            <w:r w:rsidR="00F417DD" w:rsidRPr="00755AB3">
              <w:rPr>
                <w:rFonts w:ascii="Times New Roman" w:hAnsi="Times New Roman"/>
                <w:sz w:val="27"/>
                <w:szCs w:val="27"/>
                <w:lang w:val="ro-MD"/>
              </w:rPr>
              <w:t xml:space="preserve">ală Centru în valoare de 25 milioane de </w:t>
            </w:r>
            <w:r w:rsidRPr="00755AB3">
              <w:rPr>
                <w:rFonts w:ascii="Times New Roman" w:hAnsi="Times New Roman"/>
                <w:sz w:val="27"/>
                <w:szCs w:val="27"/>
                <w:lang w:val="ro-MD"/>
              </w:rPr>
              <w:t xml:space="preserve">euro. </w:t>
            </w:r>
          </w:p>
          <w:p w14:paraId="045EB916" w14:textId="1EF9A7B7" w:rsidR="007C3A6A" w:rsidRPr="00755AB3" w:rsidRDefault="00F417DD" w:rsidP="00EA1AC1">
            <w:pPr>
              <w:spacing w:after="0"/>
              <w:jc w:val="both"/>
              <w:rPr>
                <w:rFonts w:ascii="Times New Roman" w:hAnsi="Times New Roman"/>
                <w:sz w:val="27"/>
                <w:szCs w:val="27"/>
                <w:lang w:val="ro-MD"/>
              </w:rPr>
            </w:pPr>
            <w:r w:rsidRPr="00755AB3">
              <w:rPr>
                <w:rFonts w:ascii="Times New Roman" w:hAnsi="Times New Roman"/>
                <w:sz w:val="27"/>
                <w:szCs w:val="27"/>
                <w:lang w:val="ro-MD"/>
              </w:rPr>
              <w:t>Proiectu</w:t>
            </w:r>
            <w:r w:rsidR="007C3A6A" w:rsidRPr="00755AB3">
              <w:rPr>
                <w:rFonts w:ascii="Times New Roman" w:hAnsi="Times New Roman"/>
                <w:sz w:val="27"/>
                <w:szCs w:val="27"/>
                <w:lang w:val="ro-MD"/>
              </w:rPr>
              <w:t xml:space="preserve">l magistralei va traversa următoarele unități </w:t>
            </w:r>
            <w:r w:rsidR="007B4305">
              <w:rPr>
                <w:rFonts w:ascii="Times New Roman" w:hAnsi="Times New Roman"/>
                <w:sz w:val="27"/>
                <w:szCs w:val="27"/>
                <w:lang w:val="ro-MD"/>
              </w:rPr>
              <w:t>administrativ-</w:t>
            </w:r>
            <w:r w:rsidR="007C3A6A" w:rsidRPr="00755AB3">
              <w:rPr>
                <w:rFonts w:ascii="Times New Roman" w:hAnsi="Times New Roman"/>
                <w:sz w:val="27"/>
                <w:szCs w:val="27"/>
                <w:lang w:val="ro-MD"/>
              </w:rPr>
              <w:t>teritorial</w:t>
            </w:r>
            <w:r w:rsidR="007B4305">
              <w:rPr>
                <w:rFonts w:ascii="Times New Roman" w:hAnsi="Times New Roman"/>
                <w:sz w:val="27"/>
                <w:szCs w:val="27"/>
                <w:lang w:val="ro-MD"/>
              </w:rPr>
              <w:t>e</w:t>
            </w:r>
            <w:r w:rsidR="007C3A6A" w:rsidRPr="00755AB3">
              <w:rPr>
                <w:rFonts w:ascii="Times New Roman" w:hAnsi="Times New Roman"/>
                <w:sz w:val="27"/>
                <w:szCs w:val="27"/>
                <w:lang w:val="ro-MD"/>
              </w:rPr>
              <w:t xml:space="preserve"> de nivel I și II:</w:t>
            </w:r>
          </w:p>
          <w:p w14:paraId="5C3662AB" w14:textId="77777777" w:rsidR="00EA1AC1" w:rsidRPr="00755AB3" w:rsidRDefault="007C3A6A" w:rsidP="00EA1AC1">
            <w:pPr>
              <w:pStyle w:val="a6"/>
              <w:numPr>
                <w:ilvl w:val="0"/>
                <w:numId w:val="5"/>
              </w:numPr>
              <w:spacing w:after="0"/>
              <w:ind w:left="315" w:hanging="270"/>
              <w:jc w:val="both"/>
              <w:rPr>
                <w:rFonts w:ascii="Times New Roman" w:hAnsi="Times New Roman"/>
                <w:sz w:val="27"/>
                <w:szCs w:val="27"/>
                <w:lang w:val="ro-MD"/>
              </w:rPr>
            </w:pPr>
            <w:r w:rsidRPr="00755AB3">
              <w:rPr>
                <w:rFonts w:ascii="Times New Roman" w:hAnsi="Times New Roman"/>
                <w:sz w:val="27"/>
                <w:szCs w:val="27"/>
                <w:lang w:val="ro-MD"/>
              </w:rPr>
              <w:t>Localitățile Vatra, Ghidighici și municipiul Chișinău;</w:t>
            </w:r>
          </w:p>
          <w:p w14:paraId="6CD36DE8" w14:textId="3DE8F398" w:rsidR="00EA1AC1" w:rsidRPr="00755AB3" w:rsidRDefault="007C3A6A" w:rsidP="00EA1AC1">
            <w:pPr>
              <w:pStyle w:val="a6"/>
              <w:numPr>
                <w:ilvl w:val="0"/>
                <w:numId w:val="5"/>
              </w:numPr>
              <w:spacing w:after="0"/>
              <w:ind w:left="315" w:hanging="270"/>
              <w:jc w:val="both"/>
              <w:rPr>
                <w:rFonts w:ascii="Times New Roman" w:hAnsi="Times New Roman"/>
                <w:sz w:val="27"/>
                <w:szCs w:val="27"/>
                <w:lang w:val="ro-MD"/>
              </w:rPr>
            </w:pPr>
            <w:r w:rsidRPr="00755AB3">
              <w:rPr>
                <w:rFonts w:ascii="Times New Roman" w:hAnsi="Times New Roman"/>
                <w:sz w:val="27"/>
                <w:szCs w:val="27"/>
                <w:lang w:val="ro-MD"/>
              </w:rPr>
              <w:t xml:space="preserve">Localitățile Vorniceni, Bucovăț, Tătărești, Pănășești, Roșcani, Sireți, Gălești, Căpriana și </w:t>
            </w:r>
            <w:r w:rsidR="00F417DD" w:rsidRPr="00755AB3">
              <w:rPr>
                <w:rFonts w:ascii="Times New Roman" w:hAnsi="Times New Roman"/>
                <w:sz w:val="27"/>
                <w:szCs w:val="27"/>
                <w:lang w:val="ro-MD"/>
              </w:rPr>
              <w:t>municipiul</w:t>
            </w:r>
            <w:r w:rsidRPr="00755AB3">
              <w:rPr>
                <w:rFonts w:ascii="Times New Roman" w:hAnsi="Times New Roman"/>
                <w:sz w:val="27"/>
                <w:szCs w:val="27"/>
                <w:lang w:val="ro-MD"/>
              </w:rPr>
              <w:t xml:space="preserve"> Strășeni din raionul Strășeni;</w:t>
            </w:r>
          </w:p>
          <w:p w14:paraId="011537B7" w14:textId="0601D028" w:rsidR="007B4305" w:rsidRDefault="007C3A6A" w:rsidP="007B4305">
            <w:pPr>
              <w:pStyle w:val="a6"/>
              <w:numPr>
                <w:ilvl w:val="0"/>
                <w:numId w:val="5"/>
              </w:numPr>
              <w:spacing w:after="0"/>
              <w:ind w:left="315" w:hanging="270"/>
              <w:jc w:val="both"/>
              <w:rPr>
                <w:rFonts w:ascii="Times New Roman" w:hAnsi="Times New Roman"/>
                <w:sz w:val="27"/>
                <w:szCs w:val="27"/>
                <w:lang w:val="ro-MD"/>
              </w:rPr>
            </w:pPr>
            <w:r w:rsidRPr="00755AB3">
              <w:rPr>
                <w:rFonts w:ascii="Times New Roman" w:hAnsi="Times New Roman"/>
                <w:sz w:val="27"/>
                <w:szCs w:val="27"/>
                <w:lang w:val="ro-MD"/>
              </w:rPr>
              <w:t xml:space="preserve">Localitățile Vărzăreștii Noi, Nișcani, Tuzara, Pitușca și orașul Călărași din raionul </w:t>
            </w:r>
            <w:r w:rsidR="007B4305">
              <w:rPr>
                <w:rFonts w:ascii="Times New Roman" w:hAnsi="Times New Roman"/>
                <w:sz w:val="27"/>
                <w:szCs w:val="27"/>
                <w:lang w:val="ro-MD"/>
              </w:rPr>
              <w:t>Călărași;</w:t>
            </w:r>
          </w:p>
          <w:p w14:paraId="6A712262" w14:textId="07E97BAF" w:rsidR="007C3A6A" w:rsidRPr="007B4305" w:rsidRDefault="007B4305" w:rsidP="007B4305">
            <w:pPr>
              <w:pStyle w:val="a6"/>
              <w:numPr>
                <w:ilvl w:val="0"/>
                <w:numId w:val="5"/>
              </w:numPr>
              <w:spacing w:after="0"/>
              <w:ind w:left="315" w:hanging="270"/>
              <w:jc w:val="both"/>
              <w:rPr>
                <w:rFonts w:ascii="Times New Roman" w:hAnsi="Times New Roman"/>
                <w:sz w:val="27"/>
                <w:szCs w:val="27"/>
                <w:lang w:val="ro-MD"/>
              </w:rPr>
            </w:pPr>
            <w:r w:rsidRPr="00755AB3">
              <w:rPr>
                <w:rFonts w:ascii="Times New Roman" w:hAnsi="Times New Roman"/>
                <w:sz w:val="27"/>
                <w:szCs w:val="27"/>
                <w:lang w:val="ro-MD"/>
              </w:rPr>
              <w:t>Terenurile din pr</w:t>
            </w:r>
            <w:r>
              <w:rPr>
                <w:rFonts w:ascii="Times New Roman" w:hAnsi="Times New Roman"/>
                <w:sz w:val="27"/>
                <w:szCs w:val="27"/>
                <w:lang w:val="ro-MD"/>
              </w:rPr>
              <w:t>oprietatea Agenției Moldsilva.</w:t>
            </w:r>
          </w:p>
          <w:p w14:paraId="06D17922" w14:textId="0F260283" w:rsidR="007C3A6A" w:rsidRPr="00755AB3" w:rsidRDefault="007C3A6A" w:rsidP="00EA1AC1">
            <w:pPr>
              <w:spacing w:after="0"/>
              <w:jc w:val="both"/>
              <w:rPr>
                <w:rFonts w:ascii="Times New Roman" w:hAnsi="Times New Roman"/>
                <w:sz w:val="27"/>
                <w:szCs w:val="27"/>
                <w:lang w:val="ro-MD"/>
              </w:rPr>
            </w:pPr>
            <w:r w:rsidRPr="00755AB3">
              <w:rPr>
                <w:rFonts w:ascii="Times New Roman" w:hAnsi="Times New Roman"/>
                <w:sz w:val="27"/>
                <w:szCs w:val="27"/>
                <w:lang w:val="ro-MD"/>
              </w:rPr>
              <w:t xml:space="preserve">Astfel, în conformitate cu documentele de pregătire a proiectului, lucrările de construcție menționate vor fi executate pe terenuri proprietate publică a unităţilor administrativ-teritoriale şi proprietate privată, </w:t>
            </w:r>
            <w:r w:rsidR="005A407D" w:rsidRPr="00755AB3">
              <w:rPr>
                <w:rFonts w:ascii="Times New Roman" w:hAnsi="Times New Roman"/>
                <w:sz w:val="27"/>
                <w:szCs w:val="27"/>
                <w:lang w:val="ro-MD"/>
              </w:rPr>
              <w:t xml:space="preserve">fapt ce </w:t>
            </w:r>
            <w:r w:rsidRPr="00755AB3">
              <w:rPr>
                <w:rFonts w:ascii="Times New Roman" w:hAnsi="Times New Roman"/>
                <w:sz w:val="27"/>
                <w:szCs w:val="27"/>
                <w:lang w:val="ro-MD"/>
              </w:rPr>
              <w:t>nece</w:t>
            </w:r>
            <w:r w:rsidR="005A407D" w:rsidRPr="00755AB3">
              <w:rPr>
                <w:rFonts w:ascii="Times New Roman" w:hAnsi="Times New Roman"/>
                <w:sz w:val="27"/>
                <w:szCs w:val="27"/>
                <w:lang w:val="ro-MD"/>
              </w:rPr>
              <w:t>sită exproprierea temporară</w:t>
            </w:r>
            <w:r w:rsidRPr="00755AB3">
              <w:rPr>
                <w:rFonts w:ascii="Times New Roman" w:hAnsi="Times New Roman"/>
                <w:sz w:val="27"/>
                <w:szCs w:val="27"/>
                <w:lang w:val="ro-MD"/>
              </w:rPr>
              <w:t xml:space="preserve"> a bunurilor din proprietate privată în scopul efectuării de lucrări pentru cauză de utilitate publică de interes național.</w:t>
            </w:r>
          </w:p>
          <w:p w14:paraId="2D20C0AE" w14:textId="393C45CC" w:rsidR="007C3A6A" w:rsidRPr="00755AB3" w:rsidRDefault="007C3A6A" w:rsidP="00EA1AC1">
            <w:pPr>
              <w:spacing w:after="0"/>
              <w:jc w:val="both"/>
              <w:rPr>
                <w:rFonts w:ascii="Times New Roman" w:hAnsi="Times New Roman"/>
                <w:sz w:val="27"/>
                <w:szCs w:val="27"/>
                <w:lang w:val="ro-MD"/>
              </w:rPr>
            </w:pPr>
            <w:r w:rsidRPr="00755AB3">
              <w:rPr>
                <w:rFonts w:ascii="Times New Roman" w:hAnsi="Times New Roman"/>
                <w:sz w:val="27"/>
                <w:szCs w:val="27"/>
                <w:lang w:val="ro-MD"/>
              </w:rPr>
              <w:t>Cercetarea prealabilă se realizează de către o Comisie insituită prin hotărâre de Guvern, cu includerea în calitate de membri a reprezentanților Ministerului Infrastructurii și Dezvoltății Regionale</w:t>
            </w:r>
            <w:r w:rsidR="007B4305">
              <w:rPr>
                <w:rFonts w:ascii="Times New Roman" w:hAnsi="Times New Roman"/>
                <w:sz w:val="27"/>
                <w:szCs w:val="27"/>
                <w:lang w:val="ro-MD"/>
              </w:rPr>
              <w:t xml:space="preserve"> </w:t>
            </w:r>
            <w:r w:rsidR="00755AB3" w:rsidRPr="00755AB3">
              <w:rPr>
                <w:rFonts w:ascii="Times New Roman" w:hAnsi="Times New Roman"/>
                <w:sz w:val="27"/>
                <w:szCs w:val="27"/>
                <w:lang w:val="ro-MD"/>
              </w:rPr>
              <w:t>(MIDR)</w:t>
            </w:r>
            <w:r w:rsidRPr="00755AB3">
              <w:rPr>
                <w:rFonts w:ascii="Times New Roman" w:hAnsi="Times New Roman"/>
                <w:sz w:val="27"/>
                <w:szCs w:val="27"/>
                <w:lang w:val="ro-MD"/>
              </w:rPr>
              <w:t xml:space="preserve">, Ministerul Agriculturii și Indiustriei Alimentare, Ministerul Finanțelor, Ministerul Mediului, precum și președinții raioanelor și primarii localităților în a cărei rază teritorială se vor desfășura lucrările de utilitate publică. În scopul îndeplinirii obligațiilor ce îi revin, Comisia este în drept să atragă în caz de necesitate </w:t>
            </w:r>
            <w:r w:rsidRPr="00755AB3">
              <w:rPr>
                <w:rFonts w:ascii="Times New Roman" w:hAnsi="Times New Roman"/>
                <w:sz w:val="27"/>
                <w:szCs w:val="27"/>
                <w:lang w:val="ro-MD"/>
              </w:rPr>
              <w:lastRenderedPageBreak/>
              <w:t xml:space="preserve">experți, specialiști în domeniul supus cercetării sau reprezentanți din cadrul altor autorități publice de specialitate. </w:t>
            </w:r>
            <w:r w:rsidR="00155D7C">
              <w:rPr>
                <w:rFonts w:ascii="Times New Roman" w:hAnsi="Times New Roman"/>
                <w:sz w:val="27"/>
                <w:szCs w:val="27"/>
                <w:lang w:val="ro-MD"/>
              </w:rPr>
              <w:t>În paralel, MIDR va solicita delegarea reprezentanților instituțiilor interesate pentru a fi incluși în componența Comisiei nominalizate.</w:t>
            </w:r>
          </w:p>
          <w:p w14:paraId="5C8C96F2" w14:textId="4AD7286E" w:rsidR="007C3A6A" w:rsidRPr="00755AB3" w:rsidRDefault="007C3A6A" w:rsidP="00EA1AC1">
            <w:pPr>
              <w:spacing w:after="0"/>
              <w:jc w:val="both"/>
              <w:rPr>
                <w:rFonts w:ascii="Times New Roman" w:hAnsi="Times New Roman"/>
                <w:sz w:val="27"/>
                <w:szCs w:val="27"/>
                <w:lang w:val="ro-MD"/>
              </w:rPr>
            </w:pPr>
            <w:r w:rsidRPr="00755AB3">
              <w:rPr>
                <w:rFonts w:ascii="Times New Roman" w:hAnsi="Times New Roman"/>
                <w:sz w:val="27"/>
                <w:szCs w:val="27"/>
                <w:lang w:val="ro-MD"/>
              </w:rPr>
              <w:t>Comisia are rolul de a decide, în rezultatul cercetărilor, cu privire la existența elementelor justificative ale interesului național și posibilitatea declarării utilității publice a lucrărilor.</w:t>
            </w:r>
          </w:p>
          <w:p w14:paraId="1887A38C" w14:textId="3B36D75B" w:rsidR="007C3A6A" w:rsidRPr="00755AB3" w:rsidRDefault="007C3A6A" w:rsidP="00EA1AC1">
            <w:pPr>
              <w:spacing w:after="0"/>
              <w:jc w:val="both"/>
              <w:rPr>
                <w:rFonts w:ascii="Times New Roman" w:hAnsi="Times New Roman"/>
                <w:sz w:val="27"/>
                <w:szCs w:val="27"/>
                <w:lang w:val="ro-MD"/>
              </w:rPr>
            </w:pPr>
            <w:r w:rsidRPr="00755AB3">
              <w:rPr>
                <w:rFonts w:ascii="Times New Roman" w:hAnsi="Times New Roman"/>
                <w:sz w:val="27"/>
                <w:szCs w:val="27"/>
                <w:lang w:val="ro-MD"/>
              </w:rPr>
              <w:t>Decizia comisiei va fi consemnată într-un proces verbal care va servi temei pentru elaborarea și adoptarea legii cu privire la declararea utilității publice a lucrărilor de construcție.</w:t>
            </w:r>
          </w:p>
          <w:p w14:paraId="5041518C" w14:textId="4AD993D5" w:rsidR="007C3A6A" w:rsidRPr="00755AB3" w:rsidRDefault="007C3A6A" w:rsidP="00EA1AC1">
            <w:pPr>
              <w:spacing w:after="0"/>
              <w:jc w:val="both"/>
              <w:rPr>
                <w:rFonts w:ascii="Times New Roman" w:hAnsi="Times New Roman"/>
                <w:sz w:val="27"/>
                <w:szCs w:val="27"/>
                <w:lang w:val="ro-MD"/>
              </w:rPr>
            </w:pPr>
            <w:r w:rsidRPr="00755AB3">
              <w:rPr>
                <w:rFonts w:ascii="Times New Roman" w:hAnsi="Times New Roman"/>
                <w:sz w:val="27"/>
                <w:szCs w:val="27"/>
                <w:lang w:val="ro-MD"/>
              </w:rPr>
              <w:t xml:space="preserve">În cadrul comisiei va fi asigurat procesul de promovare a proiectului (consultarea publică, avizarea, efectuarea expertizelor juridice, economice, anticorupție, de mediu) cu coordonarea nemijlocită a MIDR. Unitatea de implementare a proiectului va asigura </w:t>
            </w:r>
            <w:r w:rsidR="00755AB3" w:rsidRPr="00755AB3">
              <w:rPr>
                <w:rFonts w:ascii="Times New Roman" w:hAnsi="Times New Roman"/>
                <w:sz w:val="27"/>
                <w:szCs w:val="27"/>
                <w:lang w:val="ro-MD"/>
              </w:rPr>
              <w:t>secretariatul</w:t>
            </w:r>
            <w:r w:rsidRPr="00755AB3">
              <w:rPr>
                <w:rFonts w:ascii="Times New Roman" w:hAnsi="Times New Roman"/>
                <w:sz w:val="27"/>
                <w:szCs w:val="27"/>
                <w:lang w:val="ro-MD"/>
              </w:rPr>
              <w:t xml:space="preserve"> în cadrul comisiei, prin oferirea suportului informativ pentru buna funcționalitate a ședințelor.  </w:t>
            </w:r>
          </w:p>
          <w:p w14:paraId="0388A0CC" w14:textId="36098366" w:rsidR="00BA2B04" w:rsidRPr="00755AB3" w:rsidRDefault="006B2C8F" w:rsidP="00EA1AC1">
            <w:pPr>
              <w:spacing w:after="0"/>
              <w:jc w:val="both"/>
              <w:rPr>
                <w:rFonts w:ascii="Times New Roman" w:hAnsi="Times New Roman"/>
                <w:sz w:val="27"/>
                <w:szCs w:val="27"/>
                <w:lang w:val="ro-MD"/>
              </w:rPr>
            </w:pPr>
            <w:r>
              <w:rPr>
                <w:rFonts w:ascii="Times New Roman" w:hAnsi="Times New Roman"/>
                <w:sz w:val="27"/>
                <w:szCs w:val="27"/>
                <w:lang w:val="ro-MD"/>
              </w:rPr>
              <w:t>L</w:t>
            </w:r>
            <w:r w:rsidR="007C3A6A" w:rsidRPr="00755AB3">
              <w:rPr>
                <w:rFonts w:ascii="Times New Roman" w:hAnsi="Times New Roman"/>
                <w:sz w:val="27"/>
                <w:szCs w:val="27"/>
                <w:lang w:val="ro-MD"/>
              </w:rPr>
              <w:t>uând în considerare importanța lucrărilor ce urmează a fi executate și termenul de efectuare a acestora, Ministerul Infrastructurii și Dezvoltării Regionale a elaborat prezentul proiect de hotărâre a Guvernului în scopul inițierii declarării utilității publice de interes național a acestor lucrări și îl propune spre promovare.</w:t>
            </w:r>
          </w:p>
        </w:tc>
      </w:tr>
      <w:tr w:rsidR="00BA2B04" w:rsidRPr="001D5093" w14:paraId="0EBF3AFC" w14:textId="77777777" w:rsidTr="00AD4322">
        <w:tc>
          <w:tcPr>
            <w:tcW w:w="5000" w:type="pct"/>
          </w:tcPr>
          <w:p w14:paraId="6C9E44B8" w14:textId="77777777" w:rsidR="00BA2B04" w:rsidRPr="00755AB3" w:rsidRDefault="00BA2B04" w:rsidP="00EA1AC1">
            <w:pPr>
              <w:tabs>
                <w:tab w:val="left" w:pos="884"/>
                <w:tab w:val="left" w:pos="1196"/>
              </w:tabs>
              <w:spacing w:after="0"/>
              <w:jc w:val="both"/>
              <w:rPr>
                <w:rFonts w:ascii="Times New Roman" w:hAnsi="Times New Roman"/>
                <w:b/>
                <w:color w:val="000000"/>
                <w:sz w:val="27"/>
                <w:szCs w:val="27"/>
                <w:lang w:val="ro-RO"/>
              </w:rPr>
            </w:pPr>
            <w:r w:rsidRPr="00755AB3">
              <w:rPr>
                <w:rFonts w:ascii="Times New Roman" w:hAnsi="Times New Roman"/>
                <w:b/>
                <w:color w:val="000000"/>
                <w:sz w:val="27"/>
                <w:szCs w:val="27"/>
                <w:lang w:val="ro-RO"/>
              </w:rPr>
              <w:lastRenderedPageBreak/>
              <w:t>3. Descrierea gradului de compatibilitate pentru proiectele care au ca scop armonizarea legislaţiei naţionale cu legislaţia Uniunii Europene</w:t>
            </w:r>
          </w:p>
        </w:tc>
      </w:tr>
      <w:tr w:rsidR="00BA2B04" w:rsidRPr="001D5093" w14:paraId="052858A5" w14:textId="77777777" w:rsidTr="00AD4322">
        <w:trPr>
          <w:trHeight w:val="647"/>
        </w:trPr>
        <w:tc>
          <w:tcPr>
            <w:tcW w:w="5000" w:type="pct"/>
          </w:tcPr>
          <w:p w14:paraId="59469E00" w14:textId="77777777" w:rsidR="00BA2B04" w:rsidRPr="00755AB3" w:rsidRDefault="00BA2B04" w:rsidP="00EA1AC1">
            <w:pPr>
              <w:tabs>
                <w:tab w:val="left" w:pos="884"/>
                <w:tab w:val="left" w:pos="1196"/>
              </w:tabs>
              <w:spacing w:after="0"/>
              <w:jc w:val="both"/>
              <w:rPr>
                <w:rFonts w:ascii="Times New Roman" w:hAnsi="Times New Roman"/>
                <w:color w:val="000000"/>
                <w:sz w:val="27"/>
                <w:szCs w:val="27"/>
                <w:lang w:val="ro-RO"/>
              </w:rPr>
            </w:pPr>
            <w:r w:rsidRPr="00755AB3">
              <w:rPr>
                <w:rFonts w:ascii="Times New Roman" w:hAnsi="Times New Roman"/>
                <w:color w:val="000000"/>
                <w:sz w:val="27"/>
                <w:szCs w:val="27"/>
                <w:lang w:val="ro-RO"/>
              </w:rPr>
              <w:t>Acest proiect nu are ca scop armonizarea legislaţiei naţionale cu legislaţia statelor membre ale Uniunii Europene.</w:t>
            </w:r>
          </w:p>
        </w:tc>
      </w:tr>
      <w:tr w:rsidR="00BA2B04" w:rsidRPr="001D5093" w14:paraId="0304517F" w14:textId="77777777" w:rsidTr="00AD4322">
        <w:trPr>
          <w:trHeight w:val="70"/>
        </w:trPr>
        <w:tc>
          <w:tcPr>
            <w:tcW w:w="5000" w:type="pct"/>
          </w:tcPr>
          <w:p w14:paraId="77DD61F8" w14:textId="77777777" w:rsidR="00BA2B04" w:rsidRPr="00755AB3" w:rsidRDefault="00BA2B04" w:rsidP="00EA1AC1">
            <w:pPr>
              <w:tabs>
                <w:tab w:val="left" w:pos="884"/>
                <w:tab w:val="left" w:pos="1196"/>
              </w:tabs>
              <w:spacing w:after="0"/>
              <w:contextualSpacing/>
              <w:jc w:val="both"/>
              <w:rPr>
                <w:rFonts w:ascii="Times New Roman" w:hAnsi="Times New Roman"/>
                <w:b/>
                <w:sz w:val="27"/>
                <w:szCs w:val="27"/>
                <w:lang w:val="ro-RO"/>
              </w:rPr>
            </w:pPr>
            <w:r w:rsidRPr="00755AB3">
              <w:rPr>
                <w:rFonts w:ascii="Times New Roman" w:hAnsi="Times New Roman"/>
                <w:b/>
                <w:sz w:val="27"/>
                <w:szCs w:val="27"/>
                <w:lang w:val="ro-RO"/>
              </w:rPr>
              <w:t>4. Principalele prevederi ale proiectului şi evidenţierea elementelor noi</w:t>
            </w:r>
          </w:p>
        </w:tc>
      </w:tr>
      <w:tr w:rsidR="00BA2B04" w:rsidRPr="001D5093" w14:paraId="496CE054" w14:textId="77777777" w:rsidTr="00AD4322">
        <w:tc>
          <w:tcPr>
            <w:tcW w:w="5000" w:type="pct"/>
          </w:tcPr>
          <w:p w14:paraId="4A413573" w14:textId="5F5F77E3" w:rsidR="00BD2DE4" w:rsidRPr="00755AB3" w:rsidRDefault="00755AB3" w:rsidP="00EA1AC1">
            <w:pPr>
              <w:spacing w:after="0"/>
              <w:jc w:val="both"/>
              <w:rPr>
                <w:rFonts w:ascii="Times New Roman" w:hAnsi="Times New Roman"/>
                <w:sz w:val="27"/>
                <w:szCs w:val="27"/>
                <w:lang w:val="ro-RO"/>
              </w:rPr>
            </w:pPr>
            <w:r w:rsidRPr="00755AB3">
              <w:rPr>
                <w:rFonts w:ascii="Times New Roman" w:hAnsi="Times New Roman"/>
                <w:sz w:val="27"/>
                <w:szCs w:val="27"/>
                <w:lang w:val="ro-RO"/>
              </w:rPr>
              <w:t>Scopul proiectului este</w:t>
            </w:r>
            <w:r w:rsidR="007C3A6A" w:rsidRPr="00755AB3">
              <w:rPr>
                <w:rFonts w:ascii="Times New Roman" w:hAnsi="Times New Roman"/>
                <w:sz w:val="27"/>
                <w:szCs w:val="27"/>
                <w:lang w:val="ro-RO"/>
              </w:rPr>
              <w:t xml:space="preserve"> inițierea procedurii de cercetare prealabilă privind declararea utilității publice de</w:t>
            </w:r>
            <w:r w:rsidRPr="00755AB3">
              <w:rPr>
                <w:rFonts w:ascii="Times New Roman" w:hAnsi="Times New Roman"/>
                <w:sz w:val="27"/>
                <w:szCs w:val="27"/>
                <w:lang w:val="ro-RO"/>
              </w:rPr>
              <w:t xml:space="preserve"> interes național a lucrărilor </w:t>
            </w:r>
            <w:r w:rsidR="007C3A6A" w:rsidRPr="00755AB3">
              <w:rPr>
                <w:rFonts w:ascii="Times New Roman" w:hAnsi="Times New Roman"/>
                <w:sz w:val="27"/>
                <w:szCs w:val="27"/>
                <w:lang w:val="ro-RO"/>
              </w:rPr>
              <w:t xml:space="preserve">de construcție a </w:t>
            </w:r>
            <w:r w:rsidR="00BD2DE4" w:rsidRPr="00755AB3">
              <w:rPr>
                <w:rFonts w:ascii="Times New Roman" w:hAnsi="Times New Roman"/>
                <w:sz w:val="27"/>
                <w:szCs w:val="27"/>
                <w:lang w:val="ro-RO"/>
              </w:rPr>
              <w:t xml:space="preserve">apeductului magistral Chișinău – Strășeni – </w:t>
            </w:r>
            <w:r w:rsidR="007C3A6A" w:rsidRPr="00755AB3">
              <w:rPr>
                <w:rFonts w:ascii="Times New Roman" w:hAnsi="Times New Roman"/>
                <w:sz w:val="27"/>
                <w:szCs w:val="27"/>
                <w:lang w:val="ro-RO"/>
              </w:rPr>
              <w:t>Călărași, reabilitare</w:t>
            </w:r>
            <w:r w:rsidRPr="00755AB3">
              <w:rPr>
                <w:rFonts w:ascii="Times New Roman" w:hAnsi="Times New Roman"/>
                <w:sz w:val="27"/>
                <w:szCs w:val="27"/>
                <w:lang w:val="ro-RO"/>
              </w:rPr>
              <w:t>a și extindere</w:t>
            </w:r>
            <w:r w:rsidR="007C3A6A" w:rsidRPr="00755AB3">
              <w:rPr>
                <w:rFonts w:ascii="Times New Roman" w:hAnsi="Times New Roman"/>
                <w:sz w:val="27"/>
                <w:szCs w:val="27"/>
                <w:lang w:val="ro-RO"/>
              </w:rPr>
              <w:t>a apeductului, finanțat de către Guvernul Federal German prin intermediul băncii de dezvoltare KfW</w:t>
            </w:r>
            <w:r w:rsidR="00BD2DE4" w:rsidRPr="00755AB3">
              <w:rPr>
                <w:rFonts w:ascii="Times New Roman" w:hAnsi="Times New Roman"/>
                <w:sz w:val="27"/>
                <w:szCs w:val="27"/>
                <w:lang w:val="ro-RO"/>
              </w:rPr>
              <w:t xml:space="preserve">. </w:t>
            </w:r>
            <w:r w:rsidR="007C3A6A" w:rsidRPr="00755AB3">
              <w:rPr>
                <w:rFonts w:ascii="Times New Roman" w:hAnsi="Times New Roman"/>
                <w:sz w:val="27"/>
                <w:szCs w:val="27"/>
                <w:lang w:val="ro-RO"/>
              </w:rPr>
              <w:t>Proiectul se regăsește în planul de acțiuni privind implementa</w:t>
            </w:r>
            <w:r w:rsidR="00BD2DE4" w:rsidRPr="00755AB3">
              <w:rPr>
                <w:rFonts w:ascii="Times New Roman" w:hAnsi="Times New Roman"/>
                <w:sz w:val="27"/>
                <w:szCs w:val="27"/>
                <w:lang w:val="ro-RO"/>
              </w:rPr>
              <w:t>rea S</w:t>
            </w:r>
            <w:r w:rsidR="007C3A6A" w:rsidRPr="00755AB3">
              <w:rPr>
                <w:rFonts w:ascii="Times New Roman" w:hAnsi="Times New Roman"/>
                <w:sz w:val="27"/>
                <w:szCs w:val="27"/>
                <w:lang w:val="ro-RO"/>
              </w:rPr>
              <w:t xml:space="preserve">trategiei de alimentare cu apă și sanitație 2014-2030, aprobat prin Hotărârea Guvernului nr. 199/2014. Respectiv, traseul proiectat al magistralei va traversa unități teritorial-administrative de nivel I și II,  terenuri ce necesită expropriere temporară din proprietate privată în scopul efectuării de lucrări pentru cauză de utilitate publică de interes național. </w:t>
            </w:r>
          </w:p>
          <w:p w14:paraId="41E722A2" w14:textId="1EDED8C7" w:rsidR="00BD2DE4" w:rsidRPr="00755AB3" w:rsidRDefault="007C3A6A" w:rsidP="00EA1AC1">
            <w:pPr>
              <w:spacing w:after="0"/>
              <w:jc w:val="both"/>
              <w:rPr>
                <w:rFonts w:ascii="Times New Roman" w:hAnsi="Times New Roman"/>
                <w:sz w:val="27"/>
                <w:szCs w:val="27"/>
                <w:lang w:val="ro-RO"/>
              </w:rPr>
            </w:pPr>
            <w:r w:rsidRPr="00755AB3">
              <w:rPr>
                <w:rFonts w:ascii="Times New Roman" w:hAnsi="Times New Roman"/>
                <w:sz w:val="27"/>
                <w:szCs w:val="27"/>
                <w:lang w:val="ro-RO"/>
              </w:rPr>
              <w:t>Se propune formarea Comisei de cercetare comună, iar pentru examinarea obiectelor cercetării prealabile și stabilirea existenței elementelor justificative ale interesului național se vor organiza ședințe separate de lucru în teritoriu, cu reprezentanții autorităților publice locale de nivelul I și II, pe a căror rază teritorială se vor desfășura lucrările de utilitate publică. Fiecare președinte de raion și primar din localitățile menționate se vor expune asupra obiectelor terenurilor ce urmează a fi traversate din teritoriul unităților teritoriale.</w:t>
            </w:r>
            <w:r w:rsidR="00BD2DE4" w:rsidRPr="00755AB3">
              <w:rPr>
                <w:rFonts w:ascii="Times New Roman" w:hAnsi="Times New Roman"/>
                <w:sz w:val="27"/>
                <w:szCs w:val="27"/>
                <w:lang w:val="ro-RO"/>
              </w:rPr>
              <w:t xml:space="preserve"> </w:t>
            </w:r>
          </w:p>
          <w:p w14:paraId="4A24677B" w14:textId="77777777" w:rsidR="007C3A6A" w:rsidRPr="00755AB3" w:rsidRDefault="007C3A6A" w:rsidP="00EA1AC1">
            <w:pPr>
              <w:spacing w:after="0"/>
              <w:jc w:val="both"/>
              <w:rPr>
                <w:rFonts w:ascii="Times New Roman" w:hAnsi="Times New Roman"/>
                <w:sz w:val="27"/>
                <w:szCs w:val="27"/>
                <w:lang w:val="ro-RO"/>
              </w:rPr>
            </w:pPr>
            <w:r w:rsidRPr="00755AB3">
              <w:rPr>
                <w:rFonts w:ascii="Times New Roman" w:hAnsi="Times New Roman"/>
                <w:sz w:val="27"/>
                <w:szCs w:val="27"/>
                <w:lang w:val="ro-RO"/>
              </w:rPr>
              <w:t>În cadrul proiectului sunt prevăzute următoarele activități majore:</w:t>
            </w:r>
          </w:p>
          <w:p w14:paraId="35C347C7" w14:textId="50B24EDB" w:rsidR="00BD2DE4" w:rsidRPr="00755AB3" w:rsidRDefault="007C3A6A" w:rsidP="00EA1AC1">
            <w:pPr>
              <w:pStyle w:val="a6"/>
              <w:numPr>
                <w:ilvl w:val="0"/>
                <w:numId w:val="6"/>
              </w:numPr>
              <w:tabs>
                <w:tab w:val="left" w:pos="315"/>
              </w:tabs>
              <w:spacing w:after="0"/>
              <w:ind w:left="0" w:firstLine="0"/>
              <w:jc w:val="both"/>
              <w:rPr>
                <w:rFonts w:ascii="Times New Roman" w:hAnsi="Times New Roman"/>
                <w:sz w:val="27"/>
                <w:szCs w:val="27"/>
                <w:lang w:val="ro-RO"/>
              </w:rPr>
            </w:pPr>
            <w:r w:rsidRPr="00755AB3">
              <w:rPr>
                <w:rFonts w:ascii="Times New Roman" w:hAnsi="Times New Roman"/>
                <w:sz w:val="27"/>
                <w:szCs w:val="27"/>
                <w:lang w:val="ro-RO"/>
              </w:rPr>
              <w:t>Construcți</w:t>
            </w:r>
            <w:r w:rsidR="00755AB3" w:rsidRPr="00755AB3">
              <w:rPr>
                <w:rFonts w:ascii="Times New Roman" w:hAnsi="Times New Roman"/>
                <w:sz w:val="27"/>
                <w:szCs w:val="27"/>
                <w:lang w:val="ro-RO"/>
              </w:rPr>
              <w:t xml:space="preserve">a unei conducte principale noi pe traseul Chișinău – Strășeni – Călărași </w:t>
            </w:r>
            <w:r w:rsidRPr="00755AB3">
              <w:rPr>
                <w:rFonts w:ascii="Times New Roman" w:hAnsi="Times New Roman"/>
                <w:sz w:val="27"/>
                <w:szCs w:val="27"/>
                <w:lang w:val="ro-RO"/>
              </w:rPr>
              <w:t>cu o lungime de aproximativ 52 km și conectarea acesteia la rezervoarele existente în ambele orașe și - în cazul suficienței fondurilor și lipsei obiecțiilor din partea KfW</w:t>
            </w:r>
            <w:r w:rsidR="00755AB3" w:rsidRPr="00755AB3">
              <w:rPr>
                <w:rFonts w:ascii="Times New Roman" w:hAnsi="Times New Roman"/>
                <w:sz w:val="27"/>
                <w:szCs w:val="27"/>
                <w:lang w:val="ro-RO"/>
              </w:rPr>
              <w:t xml:space="preserve"> (</w:t>
            </w:r>
            <w:r w:rsidRPr="00755AB3">
              <w:rPr>
                <w:rFonts w:ascii="Times New Roman" w:hAnsi="Times New Roman"/>
                <w:sz w:val="27"/>
                <w:szCs w:val="27"/>
                <w:lang w:val="ro-RO"/>
              </w:rPr>
              <w:t xml:space="preserve">aprobarea oficială) - către satele cu rețele interne existente de-a lungul traseului conductelor. </w:t>
            </w:r>
            <w:r w:rsidRPr="00755AB3">
              <w:rPr>
                <w:rFonts w:ascii="Times New Roman" w:hAnsi="Times New Roman"/>
                <w:sz w:val="27"/>
                <w:szCs w:val="27"/>
                <w:lang w:val="ro-RO"/>
              </w:rPr>
              <w:lastRenderedPageBreak/>
              <w:t xml:space="preserve">Construcția va fi subterană și va urma pe cât posibil rutele de transport public. De la stația de tratare existentă în Chișinău, unde are loc prelucrarea apei din râul Nistru, apa va fi pompată printr-o conductă existentă către o cameră de conectare de unde va porni noua conductă principală de transmisie. Proiectul presupune alocarea grantului etapizat, pentru fiecare fază de proiectare. </w:t>
            </w:r>
            <w:r w:rsidRPr="006B2C8F">
              <w:rPr>
                <w:rFonts w:ascii="Times New Roman" w:hAnsi="Times New Roman"/>
                <w:sz w:val="27"/>
                <w:szCs w:val="27"/>
                <w:lang w:val="ro-RO"/>
              </w:rPr>
              <w:t>În cadrul fazei I a proiectului vor fi efectuate investiții în construcția magistralei Chișinău</w:t>
            </w:r>
            <w:r w:rsidR="00755AB3" w:rsidRPr="006B2C8F">
              <w:rPr>
                <w:rFonts w:ascii="Times New Roman" w:hAnsi="Times New Roman"/>
                <w:sz w:val="27"/>
                <w:szCs w:val="27"/>
                <w:lang w:val="ro-RO"/>
              </w:rPr>
              <w:t xml:space="preserve"> – Strășeni – </w:t>
            </w:r>
            <w:r w:rsidRPr="006B2C8F">
              <w:rPr>
                <w:rFonts w:ascii="Times New Roman" w:hAnsi="Times New Roman"/>
                <w:sz w:val="27"/>
                <w:szCs w:val="27"/>
                <w:lang w:val="ro-RO"/>
              </w:rPr>
              <w:t>Călărași</w:t>
            </w:r>
            <w:r w:rsidR="00755AB3" w:rsidRPr="006B2C8F">
              <w:rPr>
                <w:rFonts w:ascii="Times New Roman" w:hAnsi="Times New Roman"/>
                <w:sz w:val="27"/>
                <w:szCs w:val="27"/>
                <w:lang w:val="ro-RO"/>
              </w:rPr>
              <w:t xml:space="preserve"> </w:t>
            </w:r>
            <w:r w:rsidRPr="006B2C8F">
              <w:rPr>
                <w:rFonts w:ascii="Times New Roman" w:hAnsi="Times New Roman"/>
                <w:sz w:val="27"/>
                <w:szCs w:val="27"/>
                <w:lang w:val="ro-RO"/>
              </w:rPr>
              <w:t xml:space="preserve">cu conectarea orașelor Strășeni și Călărași. În faza </w:t>
            </w:r>
            <w:r w:rsidR="00755AB3" w:rsidRPr="006B2C8F">
              <w:rPr>
                <w:rFonts w:ascii="Times New Roman" w:hAnsi="Times New Roman"/>
                <w:sz w:val="27"/>
                <w:szCs w:val="27"/>
                <w:lang w:val="ro-RO"/>
              </w:rPr>
              <w:t xml:space="preserve">a </w:t>
            </w:r>
            <w:r w:rsidRPr="006B2C8F">
              <w:rPr>
                <w:rFonts w:ascii="Times New Roman" w:hAnsi="Times New Roman"/>
                <w:sz w:val="27"/>
                <w:szCs w:val="27"/>
                <w:lang w:val="ro-RO"/>
              </w:rPr>
              <w:t>II</w:t>
            </w:r>
            <w:r w:rsidR="00755AB3" w:rsidRPr="006B2C8F">
              <w:rPr>
                <w:rFonts w:ascii="Times New Roman" w:hAnsi="Times New Roman"/>
                <w:sz w:val="27"/>
                <w:szCs w:val="27"/>
                <w:lang w:val="ro-RO"/>
              </w:rPr>
              <w:t>-</w:t>
            </w:r>
            <w:r w:rsidRPr="006B2C8F">
              <w:rPr>
                <w:rFonts w:ascii="Times New Roman" w:hAnsi="Times New Roman"/>
                <w:sz w:val="27"/>
                <w:szCs w:val="27"/>
                <w:lang w:val="ro-RO"/>
              </w:rPr>
              <w:t xml:space="preserve">a proiectului sunt prevăzute investiții în infrastructura satelor selectate, inclusiv și aducțiunile secundare de alimentare cu apă ce vor asigura conectarea localităților din ambele raioane către noua sursă de apă. </w:t>
            </w:r>
          </w:p>
          <w:p w14:paraId="7FB2E468" w14:textId="77777777" w:rsidR="00BD2DE4" w:rsidRPr="00755AB3" w:rsidRDefault="007C3A6A" w:rsidP="00EA1AC1">
            <w:pPr>
              <w:pStyle w:val="a6"/>
              <w:numPr>
                <w:ilvl w:val="0"/>
                <w:numId w:val="6"/>
              </w:numPr>
              <w:tabs>
                <w:tab w:val="left" w:pos="315"/>
              </w:tabs>
              <w:spacing w:after="0"/>
              <w:ind w:left="0" w:firstLine="0"/>
              <w:jc w:val="both"/>
              <w:rPr>
                <w:rFonts w:ascii="Times New Roman" w:hAnsi="Times New Roman"/>
                <w:sz w:val="27"/>
                <w:szCs w:val="27"/>
                <w:lang w:val="ro-RO"/>
              </w:rPr>
            </w:pPr>
            <w:r w:rsidRPr="00755AB3">
              <w:rPr>
                <w:rFonts w:ascii="Times New Roman" w:hAnsi="Times New Roman"/>
                <w:sz w:val="27"/>
                <w:szCs w:val="27"/>
                <w:lang w:val="ro-RO"/>
              </w:rPr>
              <w:t>Reabilitarea și extinderea rețelelor urbane de aprovizionare cu apă la Strășeni și Călărași.</w:t>
            </w:r>
          </w:p>
          <w:p w14:paraId="673DD04C" w14:textId="3C9F33F9" w:rsidR="00BA2B04" w:rsidRPr="00755AB3" w:rsidRDefault="007C3A6A" w:rsidP="00EA1AC1">
            <w:pPr>
              <w:pStyle w:val="a6"/>
              <w:numPr>
                <w:ilvl w:val="0"/>
                <w:numId w:val="6"/>
              </w:numPr>
              <w:tabs>
                <w:tab w:val="left" w:pos="315"/>
              </w:tabs>
              <w:spacing w:after="0"/>
              <w:ind w:left="0" w:firstLine="0"/>
              <w:jc w:val="both"/>
              <w:rPr>
                <w:rFonts w:ascii="Times New Roman" w:hAnsi="Times New Roman"/>
                <w:sz w:val="27"/>
                <w:szCs w:val="27"/>
                <w:lang w:val="ro-RO"/>
              </w:rPr>
            </w:pPr>
            <w:r w:rsidRPr="00755AB3">
              <w:rPr>
                <w:rFonts w:ascii="Times New Roman" w:hAnsi="Times New Roman"/>
                <w:sz w:val="27"/>
                <w:szCs w:val="27"/>
                <w:lang w:val="ro-RO"/>
              </w:rPr>
              <w:t>Pe lângă investiții, Grantul acoperă și costul serviciil</w:t>
            </w:r>
            <w:r w:rsidR="00755AB3" w:rsidRPr="00755AB3">
              <w:rPr>
                <w:rFonts w:ascii="Times New Roman" w:hAnsi="Times New Roman"/>
                <w:sz w:val="27"/>
                <w:szCs w:val="27"/>
                <w:lang w:val="ro-RO"/>
              </w:rPr>
              <w:t>or unui Consultant în i</w:t>
            </w:r>
            <w:r w:rsidRPr="00755AB3">
              <w:rPr>
                <w:rFonts w:ascii="Times New Roman" w:hAnsi="Times New Roman"/>
                <w:sz w:val="27"/>
                <w:szCs w:val="27"/>
                <w:lang w:val="ro-RO"/>
              </w:rPr>
              <w:t>mplementare. Investițiile finanțate din Grant vor fi completate de măsuri care vor fi acoperite din contribuția partenerului.</w:t>
            </w:r>
          </w:p>
        </w:tc>
      </w:tr>
      <w:tr w:rsidR="00BA2B04" w:rsidRPr="00755AB3" w14:paraId="650CFF9D" w14:textId="77777777" w:rsidTr="00AD4322">
        <w:tc>
          <w:tcPr>
            <w:tcW w:w="5000" w:type="pct"/>
          </w:tcPr>
          <w:p w14:paraId="70E6E5DB" w14:textId="77777777" w:rsidR="00BA2B04" w:rsidRPr="00755AB3" w:rsidRDefault="00BA2B04" w:rsidP="00EA1AC1">
            <w:pPr>
              <w:tabs>
                <w:tab w:val="left" w:pos="884"/>
                <w:tab w:val="left" w:pos="1196"/>
              </w:tabs>
              <w:spacing w:after="0"/>
              <w:contextualSpacing/>
              <w:jc w:val="both"/>
              <w:rPr>
                <w:rFonts w:ascii="Times New Roman" w:hAnsi="Times New Roman"/>
                <w:b/>
                <w:sz w:val="27"/>
                <w:szCs w:val="27"/>
                <w:lang w:val="ro-RO"/>
              </w:rPr>
            </w:pPr>
            <w:r w:rsidRPr="00755AB3">
              <w:rPr>
                <w:rFonts w:ascii="Times New Roman" w:hAnsi="Times New Roman"/>
                <w:b/>
                <w:sz w:val="27"/>
                <w:szCs w:val="27"/>
                <w:lang w:val="ro-RO"/>
              </w:rPr>
              <w:lastRenderedPageBreak/>
              <w:t>5. Fundamentarea economico-financiară</w:t>
            </w:r>
          </w:p>
        </w:tc>
      </w:tr>
      <w:tr w:rsidR="00BA2B04" w:rsidRPr="001D5093" w14:paraId="0F082F72" w14:textId="77777777" w:rsidTr="00AD4322">
        <w:tc>
          <w:tcPr>
            <w:tcW w:w="5000" w:type="pct"/>
          </w:tcPr>
          <w:p w14:paraId="3EB70A05" w14:textId="3F805C16" w:rsidR="00BA2B04" w:rsidRPr="00755AB3" w:rsidRDefault="00BD2DE4" w:rsidP="0016337C">
            <w:pPr>
              <w:spacing w:before="120" w:after="0"/>
              <w:jc w:val="both"/>
              <w:rPr>
                <w:rFonts w:ascii="Times New Roman" w:hAnsi="Times New Roman"/>
                <w:sz w:val="27"/>
                <w:szCs w:val="27"/>
                <w:lang w:val="ro-RO"/>
              </w:rPr>
            </w:pPr>
            <w:r w:rsidRPr="00755AB3">
              <w:rPr>
                <w:rFonts w:ascii="Times New Roman" w:eastAsia="MS Gothic" w:hAnsi="Times New Roman"/>
                <w:color w:val="000000"/>
                <w:sz w:val="27"/>
                <w:szCs w:val="27"/>
                <w:lang w:val="lt-LT" w:eastAsia="en-GB"/>
              </w:rPr>
              <w:t>Proiectul are acoperirere financiară din partea Guvenului Federal German prin intermediul KfW sub formă de grant în valoare de 25 000 000 euro. Contribuția Guvernului Republicii Moldova este de</w:t>
            </w:r>
            <w:r w:rsidRPr="0016337C">
              <w:rPr>
                <w:rFonts w:ascii="Times New Roman" w:eastAsia="MS Gothic" w:hAnsi="Times New Roman"/>
                <w:sz w:val="27"/>
                <w:szCs w:val="27"/>
                <w:lang w:val="lt-LT" w:eastAsia="en-GB"/>
              </w:rPr>
              <w:t xml:space="preserve"> </w:t>
            </w:r>
            <w:r w:rsidR="0016337C" w:rsidRPr="0016337C">
              <w:rPr>
                <w:rFonts w:ascii="Times New Roman" w:eastAsia="MS Gothic" w:hAnsi="Times New Roman"/>
                <w:sz w:val="27"/>
                <w:szCs w:val="27"/>
                <w:lang w:val="lt-LT" w:eastAsia="en-GB"/>
              </w:rPr>
              <w:t>3 050 000</w:t>
            </w:r>
            <w:r w:rsidRPr="0016337C">
              <w:rPr>
                <w:rFonts w:ascii="Times New Roman" w:eastAsia="MS Gothic" w:hAnsi="Times New Roman"/>
                <w:sz w:val="27"/>
                <w:szCs w:val="27"/>
                <w:lang w:val="lt-LT" w:eastAsia="en-GB"/>
              </w:rPr>
              <w:t xml:space="preserve"> </w:t>
            </w:r>
            <w:r w:rsidRPr="00755AB3">
              <w:rPr>
                <w:rFonts w:ascii="Times New Roman" w:eastAsia="MS Gothic" w:hAnsi="Times New Roman"/>
                <w:color w:val="000000"/>
                <w:sz w:val="27"/>
                <w:szCs w:val="27"/>
                <w:lang w:val="lt-LT" w:eastAsia="en-GB"/>
              </w:rPr>
              <w:t>euro.</w:t>
            </w:r>
            <w:r w:rsidR="006B2D37">
              <w:rPr>
                <w:rFonts w:ascii="Times New Roman" w:eastAsia="MS Gothic" w:hAnsi="Times New Roman"/>
                <w:color w:val="000000"/>
                <w:sz w:val="27"/>
                <w:szCs w:val="27"/>
                <w:lang w:val="lt-LT" w:eastAsia="en-GB"/>
              </w:rPr>
              <w:t xml:space="preserve"> Mijloacele financiare necesare pentru contribuția Guvernului, au fost planificate în cadrul exercițiului de planificare bugetară, Cadrul Bugetar pe Termen Mediu (CBTM)</w:t>
            </w:r>
            <w:r w:rsidR="00CE4944">
              <w:rPr>
                <w:rFonts w:ascii="Times New Roman" w:eastAsia="MS Gothic" w:hAnsi="Times New Roman"/>
                <w:color w:val="000000"/>
                <w:sz w:val="27"/>
                <w:szCs w:val="27"/>
                <w:lang w:val="lt-LT" w:eastAsia="en-GB"/>
              </w:rPr>
              <w:t>, prin intermediul Fondului Național pentru Dezvoltare Regională</w:t>
            </w:r>
            <w:r w:rsidR="006B2D37">
              <w:rPr>
                <w:rFonts w:ascii="Times New Roman" w:eastAsia="MS Gothic" w:hAnsi="Times New Roman"/>
                <w:color w:val="000000"/>
                <w:sz w:val="27"/>
                <w:szCs w:val="27"/>
                <w:lang w:val="lt-LT" w:eastAsia="en-GB"/>
              </w:rPr>
              <w:t>.</w:t>
            </w:r>
          </w:p>
        </w:tc>
      </w:tr>
      <w:tr w:rsidR="00BA2B04" w:rsidRPr="001D5093" w14:paraId="4AD8FF9A" w14:textId="77777777" w:rsidTr="00AD4322">
        <w:trPr>
          <w:trHeight w:val="458"/>
        </w:trPr>
        <w:tc>
          <w:tcPr>
            <w:tcW w:w="5000" w:type="pct"/>
          </w:tcPr>
          <w:p w14:paraId="4810E2C8" w14:textId="77777777" w:rsidR="00BA2B04" w:rsidRPr="00755AB3" w:rsidRDefault="00BA2B04" w:rsidP="00EA1AC1">
            <w:pPr>
              <w:tabs>
                <w:tab w:val="left" w:pos="884"/>
                <w:tab w:val="left" w:pos="1196"/>
              </w:tabs>
              <w:spacing w:after="0"/>
              <w:contextualSpacing/>
              <w:jc w:val="both"/>
              <w:rPr>
                <w:rFonts w:ascii="Times New Roman" w:hAnsi="Times New Roman"/>
                <w:b/>
                <w:sz w:val="27"/>
                <w:szCs w:val="27"/>
                <w:lang w:val="ro-RO"/>
              </w:rPr>
            </w:pPr>
            <w:r w:rsidRPr="00755AB3">
              <w:rPr>
                <w:rFonts w:ascii="Times New Roman" w:hAnsi="Times New Roman"/>
                <w:b/>
                <w:sz w:val="27"/>
                <w:szCs w:val="27"/>
                <w:lang w:val="ro-RO"/>
              </w:rPr>
              <w:t>6. Modul de încorporare a actului în cadrul normativ în vigoare</w:t>
            </w:r>
          </w:p>
        </w:tc>
      </w:tr>
      <w:tr w:rsidR="00BA2B04" w:rsidRPr="001D5093" w14:paraId="06A479B6" w14:textId="77777777" w:rsidTr="00AD4322">
        <w:tc>
          <w:tcPr>
            <w:tcW w:w="5000" w:type="pct"/>
          </w:tcPr>
          <w:p w14:paraId="01D294D6" w14:textId="59F17AAC" w:rsidR="00BA2B04" w:rsidRPr="00755AB3" w:rsidRDefault="00EA1AC1" w:rsidP="00EA1AC1">
            <w:pPr>
              <w:pStyle w:val="Bullet"/>
              <w:numPr>
                <w:ilvl w:val="0"/>
                <w:numId w:val="0"/>
              </w:numPr>
              <w:spacing w:line="276" w:lineRule="auto"/>
              <w:ind w:left="-15"/>
              <w:rPr>
                <w:rFonts w:ascii="Times New Roman" w:hAnsi="Times New Roman" w:cs="Times New Roman"/>
                <w:color w:val="auto"/>
                <w:sz w:val="27"/>
                <w:szCs w:val="27"/>
              </w:rPr>
            </w:pPr>
            <w:r w:rsidRPr="00755AB3">
              <w:rPr>
                <w:rFonts w:ascii="Times New Roman" w:hAnsi="Times New Roman" w:cs="Times New Roman"/>
                <w:color w:val="auto"/>
                <w:sz w:val="27"/>
                <w:szCs w:val="27"/>
              </w:rPr>
              <w:t>Proiectul de hotărâre a Guvernului se încadrează în cadrul normativ în vigoare și</w:t>
            </w:r>
            <w:r w:rsidR="00BA2B04" w:rsidRPr="00755AB3">
              <w:rPr>
                <w:rFonts w:ascii="Times New Roman" w:hAnsi="Times New Roman" w:cs="Times New Roman"/>
                <w:sz w:val="27"/>
                <w:szCs w:val="27"/>
              </w:rPr>
              <w:t xml:space="preserve"> nu presupune adoptarea sau modificarea altor acte normative.</w:t>
            </w:r>
          </w:p>
        </w:tc>
      </w:tr>
      <w:tr w:rsidR="00BA2B04" w:rsidRPr="001D5093" w14:paraId="542B1978" w14:textId="77777777" w:rsidTr="00AD4322">
        <w:tc>
          <w:tcPr>
            <w:tcW w:w="5000" w:type="pct"/>
          </w:tcPr>
          <w:p w14:paraId="6EDDF5C9" w14:textId="77777777" w:rsidR="00BA2B04" w:rsidRPr="00755AB3" w:rsidRDefault="00BA2B04" w:rsidP="00EA1AC1">
            <w:pPr>
              <w:tabs>
                <w:tab w:val="left" w:pos="884"/>
                <w:tab w:val="left" w:pos="1196"/>
              </w:tabs>
              <w:spacing w:after="0"/>
              <w:contextualSpacing/>
              <w:jc w:val="both"/>
              <w:rPr>
                <w:rFonts w:ascii="Times New Roman" w:hAnsi="Times New Roman"/>
                <w:b/>
                <w:color w:val="000000"/>
                <w:sz w:val="27"/>
                <w:szCs w:val="27"/>
                <w:lang w:val="ro-RO"/>
              </w:rPr>
            </w:pPr>
            <w:r w:rsidRPr="00755AB3">
              <w:rPr>
                <w:rFonts w:ascii="Times New Roman" w:hAnsi="Times New Roman"/>
                <w:b/>
                <w:color w:val="000000"/>
                <w:sz w:val="27"/>
                <w:szCs w:val="27"/>
                <w:lang w:val="ro-RO"/>
              </w:rPr>
              <w:t>7. Avizarea şi consultarea publică a proiectului</w:t>
            </w:r>
          </w:p>
        </w:tc>
      </w:tr>
      <w:tr w:rsidR="00BA2B04" w:rsidRPr="001D5093" w14:paraId="1779B327" w14:textId="77777777" w:rsidTr="00AD4322">
        <w:tc>
          <w:tcPr>
            <w:tcW w:w="5000" w:type="pct"/>
          </w:tcPr>
          <w:p w14:paraId="72E0287A" w14:textId="4C1B6FF2" w:rsidR="00EA1AC1" w:rsidRPr="00755AB3" w:rsidRDefault="001D5093" w:rsidP="00EA1AC1">
            <w:pPr>
              <w:tabs>
                <w:tab w:val="left" w:pos="884"/>
                <w:tab w:val="left" w:pos="1196"/>
              </w:tabs>
              <w:spacing w:after="0"/>
              <w:contextualSpacing/>
              <w:jc w:val="both"/>
              <w:rPr>
                <w:rFonts w:ascii="Times New Roman" w:hAnsi="Times New Roman"/>
                <w:sz w:val="27"/>
                <w:szCs w:val="27"/>
                <w:lang w:val="ro-RO"/>
              </w:rPr>
            </w:pPr>
            <w:r>
              <w:rPr>
                <w:rFonts w:ascii="Times New Roman" w:hAnsi="Times New Roman"/>
                <w:sz w:val="27"/>
                <w:szCs w:val="27"/>
                <w:lang w:val="en-US"/>
              </w:rPr>
              <w:t>P</w:t>
            </w:r>
            <w:bookmarkStart w:id="0" w:name="_GoBack"/>
            <w:bookmarkEnd w:id="0"/>
            <w:r w:rsidR="00EA1AC1" w:rsidRPr="00755AB3">
              <w:rPr>
                <w:rFonts w:ascii="Times New Roman" w:hAnsi="Times New Roman"/>
                <w:sz w:val="27"/>
                <w:szCs w:val="27"/>
                <w:lang w:val="ro-RO"/>
              </w:rPr>
              <w:t xml:space="preserve">roiectul va fi publicat pe pagina web a Ministerului la compartimentul Transparență decizională, precum și la adresa </w:t>
            </w:r>
            <w:hyperlink r:id="rId8" w:history="1">
              <w:r w:rsidR="00EA1AC1" w:rsidRPr="00755AB3">
                <w:rPr>
                  <w:rStyle w:val="ae"/>
                  <w:rFonts w:ascii="Times New Roman" w:hAnsi="Times New Roman"/>
                  <w:sz w:val="27"/>
                  <w:szCs w:val="27"/>
                  <w:lang w:val="ro-RO"/>
                </w:rPr>
                <w:t>www.particip.gov.md</w:t>
              </w:r>
            </w:hyperlink>
            <w:r w:rsidR="00EA1AC1" w:rsidRPr="00755AB3">
              <w:rPr>
                <w:rFonts w:ascii="Times New Roman" w:hAnsi="Times New Roman"/>
                <w:sz w:val="27"/>
                <w:szCs w:val="27"/>
                <w:lang w:val="ro-RO"/>
              </w:rPr>
              <w:t>.</w:t>
            </w:r>
          </w:p>
          <w:p w14:paraId="147CEC16" w14:textId="1C7DCF1A" w:rsidR="00BA2B04" w:rsidRPr="00755AB3" w:rsidRDefault="00EA1AC1" w:rsidP="00EA1AC1">
            <w:pPr>
              <w:tabs>
                <w:tab w:val="left" w:pos="884"/>
                <w:tab w:val="left" w:pos="1196"/>
              </w:tabs>
              <w:spacing w:after="0"/>
              <w:contextualSpacing/>
              <w:jc w:val="both"/>
              <w:rPr>
                <w:rFonts w:ascii="Times New Roman" w:hAnsi="Times New Roman"/>
                <w:color w:val="FF0000"/>
                <w:sz w:val="27"/>
                <w:szCs w:val="27"/>
                <w:highlight w:val="yellow"/>
                <w:lang w:val="en-US"/>
              </w:rPr>
            </w:pPr>
            <w:r w:rsidRPr="00755AB3">
              <w:rPr>
                <w:rFonts w:ascii="Times New Roman" w:hAnsi="Times New Roman"/>
                <w:sz w:val="27"/>
                <w:szCs w:val="27"/>
                <w:lang w:val="ro-RO"/>
              </w:rPr>
              <w:t>După aprobarea proiectului în cadrul ședinței secretarilor generali, proiectul va fi remis spre avizare instituțiilor de resort.</w:t>
            </w:r>
          </w:p>
        </w:tc>
      </w:tr>
      <w:tr w:rsidR="00BA2B04" w:rsidRPr="00755AB3" w14:paraId="09D06C3C" w14:textId="77777777" w:rsidTr="00AD4322">
        <w:tc>
          <w:tcPr>
            <w:tcW w:w="5000" w:type="pct"/>
          </w:tcPr>
          <w:p w14:paraId="32DAAA9F" w14:textId="77777777" w:rsidR="00BA2B04" w:rsidRPr="00755AB3" w:rsidRDefault="00BA2B04" w:rsidP="00EA1AC1">
            <w:pPr>
              <w:tabs>
                <w:tab w:val="left" w:pos="884"/>
                <w:tab w:val="left" w:pos="1196"/>
              </w:tabs>
              <w:spacing w:after="0"/>
              <w:contextualSpacing/>
              <w:jc w:val="both"/>
              <w:rPr>
                <w:rFonts w:ascii="Times New Roman" w:hAnsi="Times New Roman"/>
                <w:b/>
                <w:sz w:val="27"/>
                <w:szCs w:val="27"/>
                <w:lang w:val="ro-RO"/>
              </w:rPr>
            </w:pPr>
            <w:r w:rsidRPr="00755AB3">
              <w:rPr>
                <w:rFonts w:ascii="Times New Roman" w:hAnsi="Times New Roman"/>
                <w:b/>
                <w:sz w:val="27"/>
                <w:szCs w:val="27"/>
                <w:lang w:val="ro-RO"/>
              </w:rPr>
              <w:t>8. Constatările expertizei anticorupție</w:t>
            </w:r>
          </w:p>
        </w:tc>
      </w:tr>
      <w:tr w:rsidR="00BA2B04" w:rsidRPr="001D5093" w14:paraId="506641B5" w14:textId="77777777" w:rsidTr="00AD4322">
        <w:tc>
          <w:tcPr>
            <w:tcW w:w="5000" w:type="pct"/>
          </w:tcPr>
          <w:p w14:paraId="1BD4DE70" w14:textId="4265388A" w:rsidR="00BA2B04" w:rsidRPr="00755AB3" w:rsidRDefault="00EA1AC1" w:rsidP="00EA1AC1">
            <w:pPr>
              <w:autoSpaceDE w:val="0"/>
              <w:autoSpaceDN w:val="0"/>
              <w:adjustRightInd w:val="0"/>
              <w:spacing w:after="0"/>
              <w:contextualSpacing/>
              <w:jc w:val="both"/>
              <w:rPr>
                <w:rFonts w:ascii="Times New Roman" w:hAnsi="Times New Roman"/>
                <w:b/>
                <w:strike/>
                <w:sz w:val="27"/>
                <w:szCs w:val="27"/>
                <w:lang w:val="ro-RO"/>
              </w:rPr>
            </w:pPr>
            <w:r w:rsidRPr="00755AB3">
              <w:rPr>
                <w:rFonts w:ascii="Times New Roman" w:hAnsi="Times New Roman"/>
                <w:sz w:val="27"/>
                <w:szCs w:val="27"/>
                <w:lang w:val="ro-RO"/>
              </w:rPr>
              <w:t>Constatările expertizei anticorupție vor fi încluse în sinteza obiecțiilor și propunerilor/recomandărilor la proiectul vizat, după recepționarea expertizei anticorupție.</w:t>
            </w:r>
          </w:p>
        </w:tc>
      </w:tr>
      <w:tr w:rsidR="00BA2B04" w:rsidRPr="00755AB3" w14:paraId="066085D3" w14:textId="77777777" w:rsidTr="00AD4322">
        <w:tc>
          <w:tcPr>
            <w:tcW w:w="5000" w:type="pct"/>
          </w:tcPr>
          <w:p w14:paraId="7DF3A07B" w14:textId="77777777" w:rsidR="00BA2B04" w:rsidRPr="00755AB3" w:rsidRDefault="00BA2B04" w:rsidP="00EA1AC1">
            <w:pPr>
              <w:tabs>
                <w:tab w:val="left" w:pos="884"/>
                <w:tab w:val="left" w:pos="1196"/>
              </w:tabs>
              <w:spacing w:after="0"/>
              <w:contextualSpacing/>
              <w:jc w:val="both"/>
              <w:rPr>
                <w:rFonts w:ascii="Times New Roman" w:hAnsi="Times New Roman"/>
                <w:b/>
                <w:sz w:val="27"/>
                <w:szCs w:val="27"/>
                <w:lang w:val="ro-RO"/>
              </w:rPr>
            </w:pPr>
            <w:r w:rsidRPr="00755AB3">
              <w:rPr>
                <w:rFonts w:ascii="Times New Roman" w:hAnsi="Times New Roman"/>
                <w:b/>
                <w:sz w:val="27"/>
                <w:szCs w:val="27"/>
                <w:lang w:val="ro-RO"/>
              </w:rPr>
              <w:t>9. Constatările expertizei juridice</w:t>
            </w:r>
          </w:p>
        </w:tc>
      </w:tr>
      <w:tr w:rsidR="00BA2B04" w:rsidRPr="001D5093" w14:paraId="0C3D0714" w14:textId="77777777" w:rsidTr="00AD4322">
        <w:tc>
          <w:tcPr>
            <w:tcW w:w="5000" w:type="pct"/>
          </w:tcPr>
          <w:p w14:paraId="3FFA9BEF" w14:textId="03973F0B" w:rsidR="00BA2B04" w:rsidRPr="00755AB3" w:rsidRDefault="00EA1AC1" w:rsidP="00EA1AC1">
            <w:pPr>
              <w:tabs>
                <w:tab w:val="left" w:pos="884"/>
                <w:tab w:val="left" w:pos="1196"/>
              </w:tabs>
              <w:spacing w:after="0"/>
              <w:contextualSpacing/>
              <w:jc w:val="both"/>
              <w:rPr>
                <w:rFonts w:ascii="Times New Roman" w:hAnsi="Times New Roman"/>
                <w:sz w:val="27"/>
                <w:szCs w:val="27"/>
                <w:lang w:val="ro-RO"/>
              </w:rPr>
            </w:pPr>
            <w:r w:rsidRPr="00755AB3">
              <w:rPr>
                <w:rFonts w:ascii="Times New Roman" w:hAnsi="Times New Roman"/>
                <w:sz w:val="27"/>
                <w:szCs w:val="27"/>
                <w:lang w:val="ro-RO"/>
              </w:rPr>
              <w:t>Constatările expertizei juridice, precum și respectarea normelor de tehnică legislativă vor fi incluse în sinteza obiecțiilor și propunerilor/recomandărilor la proiectul vizat, după recepționarea expertizei juridice.</w:t>
            </w:r>
          </w:p>
        </w:tc>
      </w:tr>
    </w:tbl>
    <w:p w14:paraId="1C454948" w14:textId="77777777" w:rsidR="00BA2B04" w:rsidRPr="00755AB3" w:rsidRDefault="00BA2B04" w:rsidP="00EA1AC1">
      <w:pPr>
        <w:tabs>
          <w:tab w:val="left" w:pos="884"/>
          <w:tab w:val="left" w:pos="1196"/>
        </w:tabs>
        <w:spacing w:before="120" w:after="120"/>
        <w:jc w:val="both"/>
        <w:rPr>
          <w:rFonts w:ascii="Times New Roman" w:hAnsi="Times New Roman"/>
          <w:b/>
          <w:bCs/>
          <w:sz w:val="27"/>
          <w:szCs w:val="27"/>
          <w:lang w:val="ro-RO"/>
        </w:rPr>
      </w:pPr>
      <w:r w:rsidRPr="00755AB3">
        <w:rPr>
          <w:rFonts w:ascii="Times New Roman" w:hAnsi="Times New Roman"/>
          <w:b/>
          <w:bCs/>
          <w:sz w:val="27"/>
          <w:szCs w:val="27"/>
          <w:lang w:val="ro-RO"/>
        </w:rPr>
        <w:tab/>
      </w:r>
    </w:p>
    <w:p w14:paraId="43461F8A" w14:textId="6F62C2AC" w:rsidR="00007360" w:rsidRPr="006B2D37" w:rsidRDefault="00EA1AC1" w:rsidP="006B2D37">
      <w:pPr>
        <w:tabs>
          <w:tab w:val="left" w:pos="884"/>
          <w:tab w:val="left" w:pos="1196"/>
        </w:tabs>
        <w:spacing w:before="120" w:after="120"/>
        <w:jc w:val="both"/>
        <w:rPr>
          <w:rFonts w:ascii="Times New Roman" w:hAnsi="Times New Roman"/>
          <w:b/>
          <w:bCs/>
          <w:sz w:val="27"/>
          <w:szCs w:val="27"/>
          <w:lang w:val="ro-RO"/>
        </w:rPr>
      </w:pPr>
      <w:r w:rsidRPr="00755AB3">
        <w:rPr>
          <w:rFonts w:ascii="Times New Roman" w:hAnsi="Times New Roman"/>
          <w:b/>
          <w:bCs/>
          <w:sz w:val="27"/>
          <w:szCs w:val="27"/>
          <w:lang w:val="ro-RO"/>
        </w:rPr>
        <w:tab/>
        <w:t>Viceprim-ministru, ministru</w:t>
      </w:r>
      <w:r w:rsidRPr="00755AB3">
        <w:rPr>
          <w:rFonts w:ascii="Times New Roman" w:hAnsi="Times New Roman"/>
          <w:b/>
          <w:bCs/>
          <w:sz w:val="27"/>
          <w:szCs w:val="27"/>
          <w:lang w:val="ro-RO"/>
        </w:rPr>
        <w:tab/>
      </w:r>
      <w:r w:rsidRPr="00755AB3">
        <w:rPr>
          <w:rFonts w:ascii="Times New Roman" w:hAnsi="Times New Roman"/>
          <w:b/>
          <w:bCs/>
          <w:sz w:val="27"/>
          <w:szCs w:val="27"/>
          <w:lang w:val="ro-RO"/>
        </w:rPr>
        <w:tab/>
      </w:r>
      <w:r w:rsidRPr="00755AB3">
        <w:rPr>
          <w:rFonts w:ascii="Times New Roman" w:hAnsi="Times New Roman"/>
          <w:b/>
          <w:bCs/>
          <w:sz w:val="27"/>
          <w:szCs w:val="27"/>
          <w:lang w:val="ro-RO"/>
        </w:rPr>
        <w:tab/>
      </w:r>
      <w:r w:rsidRPr="00755AB3">
        <w:rPr>
          <w:rFonts w:ascii="Times New Roman" w:hAnsi="Times New Roman"/>
          <w:b/>
          <w:bCs/>
          <w:sz w:val="27"/>
          <w:szCs w:val="27"/>
          <w:lang w:val="ro-RO"/>
        </w:rPr>
        <w:tab/>
      </w:r>
      <w:r w:rsidRPr="00755AB3">
        <w:rPr>
          <w:rFonts w:ascii="Times New Roman" w:hAnsi="Times New Roman"/>
          <w:b/>
          <w:bCs/>
          <w:sz w:val="27"/>
          <w:szCs w:val="27"/>
          <w:lang w:val="ro-RO"/>
        </w:rPr>
        <w:tab/>
        <w:t>Andrei SPÎNU</w:t>
      </w:r>
    </w:p>
    <w:sectPr w:rsidR="00007360" w:rsidRPr="006B2D37" w:rsidSect="00966856">
      <w:footerReference w:type="even" r:id="rId9"/>
      <w:pgSz w:w="11906" w:h="16838"/>
      <w:pgMar w:top="540" w:right="567" w:bottom="990" w:left="117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1CFC2" w14:textId="77777777" w:rsidR="00725B52" w:rsidRDefault="00725B52">
      <w:pPr>
        <w:spacing w:after="0" w:line="240" w:lineRule="auto"/>
      </w:pPr>
      <w:r>
        <w:separator/>
      </w:r>
    </w:p>
  </w:endnote>
  <w:endnote w:type="continuationSeparator" w:id="0">
    <w:p w14:paraId="47269FDC" w14:textId="77777777" w:rsidR="00725B52" w:rsidRDefault="00725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9BCF0" w14:textId="77777777" w:rsidR="00711704" w:rsidRDefault="003270EE" w:rsidP="00711704">
    <w:pPr>
      <w:pStyle w:val="a3"/>
      <w:framePr w:wrap="around" w:vAnchor="text" w:hAnchor="margin" w:xAlign="right" w:y="1"/>
      <w:rPr>
        <w:rStyle w:val="a5"/>
        <w:rFonts w:eastAsia="MS Gothic"/>
      </w:rPr>
    </w:pPr>
    <w:r>
      <w:rPr>
        <w:rStyle w:val="a5"/>
        <w:rFonts w:eastAsia="MS Gothic"/>
      </w:rPr>
      <w:fldChar w:fldCharType="begin"/>
    </w:r>
    <w:r>
      <w:rPr>
        <w:rStyle w:val="a5"/>
        <w:rFonts w:eastAsia="MS Gothic"/>
      </w:rPr>
      <w:instrText xml:space="preserve">PAGE  </w:instrText>
    </w:r>
    <w:r>
      <w:rPr>
        <w:rStyle w:val="a5"/>
        <w:rFonts w:eastAsia="MS Gothic"/>
      </w:rPr>
      <w:fldChar w:fldCharType="end"/>
    </w:r>
  </w:p>
  <w:p w14:paraId="02423E26" w14:textId="77777777" w:rsidR="00711704" w:rsidRDefault="00725B52" w:rsidP="00711704">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4DBDD" w14:textId="77777777" w:rsidR="00725B52" w:rsidRDefault="00725B52">
      <w:pPr>
        <w:spacing w:after="0" w:line="240" w:lineRule="auto"/>
      </w:pPr>
      <w:r>
        <w:separator/>
      </w:r>
    </w:p>
  </w:footnote>
  <w:footnote w:type="continuationSeparator" w:id="0">
    <w:p w14:paraId="666FF0C6" w14:textId="77777777" w:rsidR="00725B52" w:rsidRDefault="00725B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B40B8"/>
    <w:multiLevelType w:val="hybridMultilevel"/>
    <w:tmpl w:val="2DBAB7AC"/>
    <w:lvl w:ilvl="0" w:tplc="53C2B9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310FE"/>
    <w:multiLevelType w:val="hybridMultilevel"/>
    <w:tmpl w:val="E36C455E"/>
    <w:lvl w:ilvl="0" w:tplc="C082BB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BF34899"/>
    <w:multiLevelType w:val="hybridMultilevel"/>
    <w:tmpl w:val="08AABA1C"/>
    <w:lvl w:ilvl="0" w:tplc="357C20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D15786"/>
    <w:multiLevelType w:val="multilevel"/>
    <w:tmpl w:val="BB961E52"/>
    <w:lvl w:ilvl="0">
      <w:start w:val="1"/>
      <w:numFmt w:val="bullet"/>
      <w:pStyle w:val="Bullet"/>
      <w:lvlText w:val=""/>
      <w:lvlJc w:val="left"/>
      <w:pPr>
        <w:ind w:left="720" w:hanging="360"/>
      </w:pPr>
      <w:rPr>
        <w:rFonts w:ascii="Symbol" w:hAnsi="Symbol" w:hint="default"/>
        <w:color w:val="000000"/>
        <w:sz w:val="22"/>
      </w:rPr>
    </w:lvl>
    <w:lvl w:ilvl="1">
      <w:start w:val="1"/>
      <w:numFmt w:val="bullet"/>
      <w:lvlText w:val="‒"/>
      <w:lvlJc w:val="left"/>
      <w:pPr>
        <w:ind w:left="1418" w:hanging="338"/>
      </w:pPr>
      <w:rPr>
        <w:rFonts w:ascii="Times New Roman" w:hAnsi="Times New Roman" w:cs="Times New Roman" w:hint="default"/>
        <w:color w:val="1F497D"/>
      </w:rPr>
    </w:lvl>
    <w:lvl w:ilvl="2">
      <w:start w:val="1"/>
      <w:numFmt w:val="bullet"/>
      <w:lvlText w:val="‒"/>
      <w:lvlJc w:val="left"/>
      <w:pPr>
        <w:ind w:left="2155" w:hanging="355"/>
      </w:pPr>
      <w:rPr>
        <w:rFonts w:ascii="Times New Roman" w:hAnsi="Times New Roman" w:cs="Times New Roman" w:hint="default"/>
        <w:color w:val="1F497D"/>
      </w:rPr>
    </w:lvl>
    <w:lvl w:ilvl="3">
      <w:start w:val="1"/>
      <w:numFmt w:val="bullet"/>
      <w:lvlText w:val="‒"/>
      <w:lvlJc w:val="left"/>
      <w:pPr>
        <w:ind w:left="2835" w:hanging="315"/>
      </w:pPr>
      <w:rPr>
        <w:rFonts w:ascii="Times New Roman" w:hAnsi="Times New Roman" w:cs="Times New Roman" w:hint="default"/>
        <w:color w:val="1F497D"/>
      </w:rPr>
    </w:lvl>
    <w:lvl w:ilvl="4">
      <w:start w:val="1"/>
      <w:numFmt w:val="bullet"/>
      <w:lvlText w:val="‒"/>
      <w:lvlJc w:val="left"/>
      <w:pPr>
        <w:ind w:left="3856" w:hanging="616"/>
      </w:pPr>
      <w:rPr>
        <w:rFonts w:ascii="Times New Roman" w:hAnsi="Times New Roman" w:cs="Times New Roman" w:hint="default"/>
        <w:color w:val="1F497D"/>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15:restartNumberingAfterBreak="0">
    <w:nsid w:val="6A005955"/>
    <w:multiLevelType w:val="hybridMultilevel"/>
    <w:tmpl w:val="4FE6B230"/>
    <w:lvl w:ilvl="0" w:tplc="73120A4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B04"/>
    <w:rsid w:val="00007360"/>
    <w:rsid w:val="0001557E"/>
    <w:rsid w:val="00034F72"/>
    <w:rsid w:val="000C1CC2"/>
    <w:rsid w:val="00155D7C"/>
    <w:rsid w:val="0016337C"/>
    <w:rsid w:val="00176F10"/>
    <w:rsid w:val="001D5093"/>
    <w:rsid w:val="00292BD6"/>
    <w:rsid w:val="002A422A"/>
    <w:rsid w:val="003270EE"/>
    <w:rsid w:val="00344CF2"/>
    <w:rsid w:val="003C2D83"/>
    <w:rsid w:val="00430626"/>
    <w:rsid w:val="00590ABB"/>
    <w:rsid w:val="005A407D"/>
    <w:rsid w:val="005A5438"/>
    <w:rsid w:val="006B2C8F"/>
    <w:rsid w:val="006B2D37"/>
    <w:rsid w:val="00725B52"/>
    <w:rsid w:val="00755AB3"/>
    <w:rsid w:val="007B4305"/>
    <w:rsid w:val="007C3A6A"/>
    <w:rsid w:val="008E56FD"/>
    <w:rsid w:val="00907AE9"/>
    <w:rsid w:val="0093390F"/>
    <w:rsid w:val="00AD0FB6"/>
    <w:rsid w:val="00BA2B04"/>
    <w:rsid w:val="00BD2DE4"/>
    <w:rsid w:val="00CA4544"/>
    <w:rsid w:val="00CD0DBB"/>
    <w:rsid w:val="00CE4944"/>
    <w:rsid w:val="00EA1AC1"/>
    <w:rsid w:val="00F141A9"/>
    <w:rsid w:val="00F417DD"/>
    <w:rsid w:val="00FE61B6"/>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223CE"/>
  <w15:chartTrackingRefBased/>
  <w15:docId w15:val="{241A0B5C-5098-4315-AF59-4B89D0018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B04"/>
    <w:pPr>
      <w:spacing w:after="200" w:line="276" w:lineRule="auto"/>
    </w:pPr>
    <w:rPr>
      <w:rFonts w:ascii="Calibri" w:eastAsia="Calibri"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A2B04"/>
    <w:pPr>
      <w:tabs>
        <w:tab w:val="center" w:pos="4677"/>
        <w:tab w:val="right" w:pos="9355"/>
      </w:tabs>
    </w:pPr>
    <w:rPr>
      <w:rFonts w:eastAsia="Times New Roman"/>
    </w:rPr>
  </w:style>
  <w:style w:type="character" w:customStyle="1" w:styleId="a4">
    <w:name w:val="Нижний колонтитул Знак"/>
    <w:basedOn w:val="a0"/>
    <w:link w:val="a3"/>
    <w:rsid w:val="00BA2B04"/>
    <w:rPr>
      <w:rFonts w:ascii="Calibri" w:eastAsia="Times New Roman" w:hAnsi="Calibri" w:cs="Times New Roman"/>
      <w:lang w:val="ru-RU" w:eastAsia="ru-RU"/>
    </w:rPr>
  </w:style>
  <w:style w:type="character" w:styleId="a5">
    <w:name w:val="page number"/>
    <w:rsid w:val="00BA2B04"/>
    <w:rPr>
      <w:rFonts w:cs="Times New Roman"/>
    </w:rPr>
  </w:style>
  <w:style w:type="paragraph" w:customStyle="1" w:styleId="Bullet">
    <w:name w:val="Bullet"/>
    <w:basedOn w:val="a6"/>
    <w:link w:val="BulletChar"/>
    <w:qFormat/>
    <w:rsid w:val="00BA2B04"/>
    <w:pPr>
      <w:numPr>
        <w:numId w:val="2"/>
      </w:numPr>
      <w:spacing w:after="60" w:line="240" w:lineRule="auto"/>
      <w:jc w:val="both"/>
    </w:pPr>
    <w:rPr>
      <w:rFonts w:eastAsia="MS Gothic" w:cs="Cambria"/>
      <w:color w:val="000000"/>
      <w:lang w:val="lt-LT" w:eastAsia="en-GB"/>
    </w:rPr>
  </w:style>
  <w:style w:type="character" w:customStyle="1" w:styleId="BulletChar">
    <w:name w:val="Bullet Char"/>
    <w:link w:val="Bullet"/>
    <w:rsid w:val="00BA2B04"/>
    <w:rPr>
      <w:rFonts w:ascii="Calibri" w:eastAsia="MS Gothic" w:hAnsi="Calibri" w:cs="Cambria"/>
      <w:color w:val="000000"/>
      <w:lang w:val="lt-LT" w:eastAsia="en-GB"/>
    </w:rPr>
  </w:style>
  <w:style w:type="paragraph" w:styleId="a6">
    <w:name w:val="List Paragraph"/>
    <w:aliases w:val="Listenabsatz1"/>
    <w:basedOn w:val="a"/>
    <w:uiPriority w:val="34"/>
    <w:qFormat/>
    <w:rsid w:val="00BA2B04"/>
    <w:pPr>
      <w:ind w:left="708"/>
    </w:pPr>
  </w:style>
  <w:style w:type="character" w:styleId="a7">
    <w:name w:val="annotation reference"/>
    <w:basedOn w:val="a0"/>
    <w:uiPriority w:val="99"/>
    <w:semiHidden/>
    <w:unhideWhenUsed/>
    <w:rsid w:val="0001557E"/>
    <w:rPr>
      <w:sz w:val="16"/>
      <w:szCs w:val="16"/>
    </w:rPr>
  </w:style>
  <w:style w:type="paragraph" w:styleId="a8">
    <w:name w:val="annotation text"/>
    <w:basedOn w:val="a"/>
    <w:link w:val="a9"/>
    <w:uiPriority w:val="99"/>
    <w:semiHidden/>
    <w:unhideWhenUsed/>
    <w:rsid w:val="0001557E"/>
    <w:pPr>
      <w:spacing w:line="240" w:lineRule="auto"/>
    </w:pPr>
    <w:rPr>
      <w:sz w:val="20"/>
      <w:szCs w:val="20"/>
    </w:rPr>
  </w:style>
  <w:style w:type="character" w:customStyle="1" w:styleId="a9">
    <w:name w:val="Текст примечания Знак"/>
    <w:basedOn w:val="a0"/>
    <w:link w:val="a8"/>
    <w:uiPriority w:val="99"/>
    <w:semiHidden/>
    <w:rsid w:val="0001557E"/>
    <w:rPr>
      <w:rFonts w:ascii="Calibri" w:eastAsia="Calibri" w:hAnsi="Calibri" w:cs="Times New Roman"/>
      <w:sz w:val="20"/>
      <w:szCs w:val="20"/>
      <w:lang w:val="ru-RU" w:eastAsia="ru-RU"/>
    </w:rPr>
  </w:style>
  <w:style w:type="paragraph" w:styleId="aa">
    <w:name w:val="annotation subject"/>
    <w:basedOn w:val="a8"/>
    <w:next w:val="a8"/>
    <w:link w:val="ab"/>
    <w:uiPriority w:val="99"/>
    <w:semiHidden/>
    <w:unhideWhenUsed/>
    <w:rsid w:val="0001557E"/>
    <w:rPr>
      <w:b/>
      <w:bCs/>
    </w:rPr>
  </w:style>
  <w:style w:type="character" w:customStyle="1" w:styleId="ab">
    <w:name w:val="Тема примечания Знак"/>
    <w:basedOn w:val="a9"/>
    <w:link w:val="aa"/>
    <w:uiPriority w:val="99"/>
    <w:semiHidden/>
    <w:rsid w:val="0001557E"/>
    <w:rPr>
      <w:rFonts w:ascii="Calibri" w:eastAsia="Calibri" w:hAnsi="Calibri" w:cs="Times New Roman"/>
      <w:b/>
      <w:bCs/>
      <w:sz w:val="20"/>
      <w:szCs w:val="20"/>
      <w:lang w:val="ru-RU" w:eastAsia="ru-RU"/>
    </w:rPr>
  </w:style>
  <w:style w:type="paragraph" w:styleId="ac">
    <w:name w:val="Balloon Text"/>
    <w:basedOn w:val="a"/>
    <w:link w:val="ad"/>
    <w:uiPriority w:val="99"/>
    <w:semiHidden/>
    <w:unhideWhenUsed/>
    <w:rsid w:val="0001557E"/>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1557E"/>
    <w:rPr>
      <w:rFonts w:ascii="Segoe UI" w:eastAsia="Calibri" w:hAnsi="Segoe UI" w:cs="Segoe UI"/>
      <w:sz w:val="18"/>
      <w:szCs w:val="18"/>
      <w:lang w:val="ru-RU" w:eastAsia="ru-RU"/>
    </w:rPr>
  </w:style>
  <w:style w:type="character" w:styleId="ae">
    <w:name w:val="Hyperlink"/>
    <w:basedOn w:val="a0"/>
    <w:uiPriority w:val="99"/>
    <w:unhideWhenUsed/>
    <w:rsid w:val="00EA1A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90D8F-1D39-4F05-A47E-9BFDEB831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1345</Words>
  <Characters>7668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Ion Pînzari</cp:lastModifiedBy>
  <cp:revision>13</cp:revision>
  <dcterms:created xsi:type="dcterms:W3CDTF">2021-11-09T06:26:00Z</dcterms:created>
  <dcterms:modified xsi:type="dcterms:W3CDTF">2021-11-29T13:58:00Z</dcterms:modified>
</cp:coreProperties>
</file>