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77" w:rsidRPr="00F16D23" w:rsidRDefault="005A6977" w:rsidP="009936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NOTĂ INFORMATIVĂ</w:t>
      </w:r>
    </w:p>
    <w:p w:rsidR="005A6977" w:rsidRPr="00F16D23" w:rsidRDefault="005A6977" w:rsidP="005A69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16D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</w:t>
      </w:r>
      <w:r w:rsidR="00FD19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proiectul Hotărâ</w:t>
      </w:r>
      <w:r w:rsidR="001622D3" w:rsidRPr="00F16D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rii Guvernului </w:t>
      </w:r>
    </w:p>
    <w:p w:rsidR="005A6977" w:rsidRPr="00F16D23" w:rsidRDefault="00B47CF3" w:rsidP="00B47CF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16D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</w:t>
      </w:r>
      <w:r w:rsidR="00F16D23" w:rsidRPr="00F16D23">
        <w:rPr>
          <w:rFonts w:ascii="Times New Roman" w:hAnsi="Times New Roman" w:cs="Times New Roman"/>
          <w:sz w:val="24"/>
          <w:lang w:val="ro-RO"/>
        </w:rPr>
        <w:t>la transmiterea unor bunuri</w:t>
      </w:r>
      <w:r w:rsidR="00D341B6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5A6977" w:rsidRPr="00F16D23" w:rsidRDefault="005A6977" w:rsidP="005A697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25894" w:rsidRPr="00F16D23" w:rsidTr="0083656E">
        <w:trPr>
          <w:trHeight w:val="620"/>
        </w:trPr>
        <w:tc>
          <w:tcPr>
            <w:tcW w:w="9493" w:type="dxa"/>
            <w:shd w:val="clear" w:color="auto" w:fill="DBDBDB" w:themeFill="accent3" w:themeFillTint="66"/>
          </w:tcPr>
          <w:p w:rsidR="005A6977" w:rsidRPr="00F16D23" w:rsidRDefault="005A6977" w:rsidP="00D62CE7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autorului și, după caz, a participanților la elaborarea proiectului</w:t>
            </w:r>
          </w:p>
        </w:tc>
      </w:tr>
      <w:tr w:rsidR="00025894" w:rsidRPr="00F16D23" w:rsidTr="0083656E">
        <w:tc>
          <w:tcPr>
            <w:tcW w:w="9493" w:type="dxa"/>
          </w:tcPr>
          <w:p w:rsidR="008D75E6" w:rsidRPr="00F16D23" w:rsidRDefault="001622D3" w:rsidP="0097576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Proiectul Hotăr</w:t>
            </w:r>
            <w:r w:rsidR="00FD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â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rii Guvernului </w:t>
            </w:r>
            <w:r w:rsidR="00866FAE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 privire </w:t>
            </w:r>
            <w:r w:rsidR="00866FAE" w:rsidRPr="00F16D23">
              <w:rPr>
                <w:rFonts w:ascii="Times New Roman" w:hAnsi="Times New Roman" w:cs="Times New Roman"/>
                <w:sz w:val="24"/>
                <w:lang w:val="ro-RO"/>
              </w:rPr>
              <w:t xml:space="preserve">la </w:t>
            </w:r>
            <w:r w:rsidR="00601A4C" w:rsidRPr="00F16D23">
              <w:rPr>
                <w:rFonts w:ascii="Times New Roman" w:hAnsi="Times New Roman" w:cs="Times New Roman"/>
                <w:sz w:val="24"/>
                <w:lang w:val="ro-RO"/>
              </w:rPr>
              <w:t xml:space="preserve">transmiterea unor bunuri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este elaborat de către Ministerul Ed</w:t>
            </w:r>
            <w:r w:rsidR="00E42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ucației </w:t>
            </w:r>
            <w:r w:rsidR="00866FAE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și Cercetării </w:t>
            </w:r>
            <w:r w:rsidR="00601A4C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 prevede dotarea instituțiilor de învățământ general</w:t>
            </w:r>
            <w:r w:rsidR="00D34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</w:t>
            </w:r>
            <w:r w:rsidR="00A76A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757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computere și camere Web donate de Republica Coreea, UNICEF și MAEIE.</w:t>
            </w:r>
          </w:p>
        </w:tc>
      </w:tr>
      <w:tr w:rsidR="00025894" w:rsidRPr="00F16D23" w:rsidTr="0083656E">
        <w:trPr>
          <w:trHeight w:val="591"/>
        </w:trPr>
        <w:tc>
          <w:tcPr>
            <w:tcW w:w="9493" w:type="dxa"/>
            <w:shd w:val="clear" w:color="auto" w:fill="DBDBDB" w:themeFill="accent3" w:themeFillTint="66"/>
          </w:tcPr>
          <w:p w:rsidR="005A6977" w:rsidRPr="00F16D23" w:rsidRDefault="005A6977" w:rsidP="00D62CE7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Condițiile ce au impus elaborarea proiectului de act normativ și finalitățile urmărite</w:t>
            </w:r>
          </w:p>
        </w:tc>
      </w:tr>
      <w:tr w:rsidR="00025894" w:rsidRPr="00F16D23" w:rsidTr="0083656E">
        <w:tc>
          <w:tcPr>
            <w:tcW w:w="9493" w:type="dxa"/>
          </w:tcPr>
          <w:p w:rsidR="006C3649" w:rsidRDefault="00B37034" w:rsidP="006C3649">
            <w:pPr>
              <w:spacing w:before="120"/>
              <w:ind w:firstLine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</w:t>
            </w:r>
            <w:r w:rsidR="006C3649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roiectul H</w:t>
            </w:r>
            <w:r w:rsidR="006C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otărâ</w:t>
            </w:r>
            <w:r w:rsidR="006C3649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rii Guvernului cu privire la transmiterea unor bunuri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6C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prevede repartizarea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donațiilor de tehnică (tablete, computere, camere web) recepți</w:t>
            </w:r>
            <w:r w:rsidR="006C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 de la partenerii din Republica Coreea, MAEIE și UNICEF.  Donațiile se transmit </w:t>
            </w:r>
            <w:r w:rsidR="006C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instituțiilor de învățământ din țară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cu titlu gratuit</w:t>
            </w:r>
            <w:r w:rsidR="006C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="006C3649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4072BD" w:rsidRDefault="004072BD" w:rsidP="008A18BA">
            <w:pPr>
              <w:spacing w:before="12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conformitate cu Memorandumul de înțelegere privind cooperarea în domeniul Tehnologiilor Informaționale și Comunicaționale între Ministerul Educației și Cercetării și Oficiul Specia</w:t>
            </w:r>
            <w:r w:rsidR="00184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 Guvernamental pentru Educație</w:t>
            </w:r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 Provinciei </w:t>
            </w:r>
            <w:proofErr w:type="spellStart"/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Jeju</w:t>
            </w:r>
            <w:proofErr w:type="spellEnd"/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Republica Coreea, semnat la 28 martie 2018 la Chișinău, </w:t>
            </w:r>
            <w:r w:rsid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Ministerul Educației și Cercetării a recepționat </w:t>
            </w:r>
            <w:r w:rsidR="000F1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perioada anilor 2020-2021 mai multe donații pentru instituțiile de învățământ</w:t>
            </w:r>
            <w:r w:rsidR="00C77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printre care</w:t>
            </w:r>
            <w:r w:rsid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:rsidR="0015747A" w:rsidRDefault="001D7A0C" w:rsidP="005F247B">
            <w:pPr>
              <w:pStyle w:val="a4"/>
              <w:numPr>
                <w:ilvl w:val="0"/>
                <w:numId w:val="5"/>
              </w:numPr>
              <w:ind w:left="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57D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66 seturi K-</w:t>
            </w:r>
            <w:proofErr w:type="spellStart"/>
            <w:r w:rsidRPr="00B57D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edu</w:t>
            </w:r>
            <w:proofErr w:type="spellEnd"/>
            <w:r w:rsidRPr="00B57D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57D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Packages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(tabletă PC, tastatură și căști fără fir);</w:t>
            </w:r>
          </w:p>
          <w:p w:rsidR="001D7A0C" w:rsidRDefault="002A762F" w:rsidP="005F247B">
            <w:pPr>
              <w:pStyle w:val="a4"/>
              <w:numPr>
                <w:ilvl w:val="0"/>
                <w:numId w:val="5"/>
              </w:numPr>
              <w:ind w:left="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57D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150 computere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:rsidR="006C3649" w:rsidRDefault="006C3649" w:rsidP="006C3649">
            <w:pPr>
              <w:spacing w:before="12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În cadrul Campaniei ”Donează un computer” lansate în vara anului 2020, Ministerul Afacerilor Externe și Integrării Europene (MAEIE) a donat pentru instituțiile de învățământ </w:t>
            </w:r>
            <w:r w:rsidRPr="00B57D21">
              <w:rPr>
                <w:rFonts w:ascii="Times New Roman" w:hAnsi="Times New Roman" w:cs="Times New Roman"/>
                <w:b/>
                <w:sz w:val="24"/>
                <w:lang w:val="ro-MD"/>
              </w:rPr>
              <w:t>75 de computere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 (în fost uz).</w:t>
            </w:r>
          </w:p>
          <w:p w:rsidR="006C3649" w:rsidRDefault="006C3649" w:rsidP="006C3649">
            <w:pPr>
              <w:spacing w:before="120"/>
              <w:ind w:firstLine="284"/>
              <w:jc w:val="both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De asemenea, exprimându-și solidaritatea în contextul pandemiei, F</w:t>
            </w:r>
            <w:r w:rsidRPr="007A1A4E">
              <w:rPr>
                <w:rFonts w:ascii="Times New Roman" w:hAnsi="Times New Roman" w:cs="Times New Roman"/>
                <w:sz w:val="24"/>
                <w:lang w:val="ro-MD"/>
              </w:rPr>
              <w:t xml:space="preserve">ondul Națiunilor Unite pentru Copii (UNICEF) în Moldova 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a donat Ministerului Educației și Cercetării pentru instituțiile de învățământ </w:t>
            </w:r>
            <w:r w:rsidRPr="00B57D21">
              <w:rPr>
                <w:rFonts w:ascii="Times New Roman" w:hAnsi="Times New Roman" w:cs="Times New Roman"/>
                <w:b/>
                <w:sz w:val="24"/>
                <w:lang w:val="ro-MD"/>
              </w:rPr>
              <w:t>295 camere web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 </w:t>
            </w:r>
            <w:r w:rsidRPr="007A1A4E">
              <w:rPr>
                <w:rFonts w:ascii="Times New Roman" w:hAnsi="Times New Roman" w:cs="Times New Roman"/>
                <w:sz w:val="24"/>
                <w:lang w:val="ro-MD"/>
              </w:rPr>
              <w:t xml:space="preserve">pentru a 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oferi acces elevilor </w:t>
            </w:r>
            <w:r w:rsidRPr="007A1A4E">
              <w:rPr>
                <w:rFonts w:ascii="Times New Roman" w:hAnsi="Times New Roman" w:cs="Times New Roman"/>
                <w:sz w:val="24"/>
                <w:lang w:val="ro-MD"/>
              </w:rPr>
              <w:t xml:space="preserve">la 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un </w:t>
            </w:r>
            <w:r w:rsidRPr="007A1A4E">
              <w:rPr>
                <w:rFonts w:ascii="Times New Roman" w:hAnsi="Times New Roman" w:cs="Times New Roman"/>
                <w:sz w:val="24"/>
                <w:lang w:val="ro-MD"/>
              </w:rPr>
              <w:t xml:space="preserve">procesul 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>educaț</w:t>
            </w:r>
            <w:r w:rsidRPr="007A1A4E">
              <w:rPr>
                <w:rFonts w:ascii="Times New Roman" w:hAnsi="Times New Roman" w:cs="Times New Roman"/>
                <w:sz w:val="24"/>
                <w:lang w:val="ro-MD"/>
              </w:rPr>
              <w:t xml:space="preserve">ional 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sigur și de calitate </w:t>
            </w:r>
            <w:r w:rsidRPr="007A1A4E">
              <w:rPr>
                <w:rFonts w:ascii="Times New Roman" w:hAnsi="Times New Roman" w:cs="Times New Roman"/>
                <w:sz w:val="24"/>
                <w:lang w:val="ro-MD"/>
              </w:rPr>
              <w:t>în condiții de pandemie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. </w:t>
            </w:r>
            <w:r w:rsidRPr="007A1A4E">
              <w:rPr>
                <w:rFonts w:ascii="Times New Roman" w:hAnsi="Times New Roman" w:cs="Times New Roman"/>
                <w:sz w:val="24"/>
                <w:lang w:val="ro-MD"/>
              </w:rPr>
              <w:t>pentru susținerea constantă în promovarea politicilor educaționale din Republica Moldova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>.</w:t>
            </w:r>
          </w:p>
          <w:p w:rsidR="006C3649" w:rsidRDefault="006C3649" w:rsidP="006C3649">
            <w:pPr>
              <w:spacing w:before="120"/>
              <w:ind w:firstLine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scopul repartizării donațiilor menționate a fost constituită o Comisie de repartizare a tehnicii de calcul (Ordinul nr. 926/2020).</w:t>
            </w:r>
          </w:p>
          <w:p w:rsidR="006B38B2" w:rsidRDefault="006B38B2" w:rsidP="006B38B2">
            <w:pPr>
              <w:spacing w:before="120"/>
              <w:ind w:firstLine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Donați</w:t>
            </w:r>
            <w:r w:rsidR="006C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computer</w:t>
            </w:r>
            <w:r w:rsidR="006C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oferite 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Oficiul Special Guvernamental pentru Educație al Provinciei </w:t>
            </w:r>
            <w:proofErr w:type="spellStart"/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Jeju</w:t>
            </w:r>
            <w:proofErr w:type="spellEnd"/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Republica Coreea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(150 computere) ș</w:t>
            </w:r>
            <w:r w:rsidR="006C3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MAEIE </w:t>
            </w:r>
            <w:r w:rsidRPr="004E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(75 computere în fost uz) </w:t>
            </w:r>
            <w:r w:rsidRPr="004E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 fost repartizate instituțiilor de învățământ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</w:t>
            </w:r>
            <w:r w:rsidRPr="004E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nu corespund standardelor minime de dotare cu tehnică de calcul</w:t>
            </w:r>
            <w:r w:rsidR="00ED7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aprobate de MEC prin Ordinul nr. 489 din 07.05.2019</w:t>
            </w:r>
            <w:r w:rsidRPr="004E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în baza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unui punctaj</w:t>
            </w:r>
            <w:r w:rsidRPr="004E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stabilit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în cadrul primei </w:t>
            </w:r>
            <w:r w:rsidRPr="004E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edințe</w:t>
            </w:r>
            <w:r w:rsidRPr="004E5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lucru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Comisiei de repartizare a tehnicii de calcul</w:t>
            </w:r>
            <w:r w:rsidR="00ED7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constituite prin Ordinul MEC nr. 926/2020.</w:t>
            </w:r>
          </w:p>
          <w:p w:rsidR="009256A6" w:rsidRDefault="009256A6" w:rsidP="009256A6">
            <w:pPr>
              <w:spacing w:before="120"/>
              <w:ind w:firstLine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Seturile K-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Packages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(constituite din tabletă PC, tastatură și cășt</w:t>
            </w:r>
            <w:r w:rsidR="002D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 fără fir) au fost oferite 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Oficiul Specia</w:t>
            </w:r>
            <w:r w:rsidR="003B4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 Guvernamental pentru Educație</w:t>
            </w:r>
            <w:bookmarkStart w:id="0" w:name="_GoBack"/>
            <w:bookmarkEnd w:id="0"/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 Provinciei </w:t>
            </w:r>
            <w:proofErr w:type="spellStart"/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Jeju</w:t>
            </w:r>
            <w:proofErr w:type="spellEnd"/>
            <w:r w:rsidRPr="001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Republica Coreea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pentru 66 cadre didactice care au parcurs cu succes cursurile de formare organizate online de colegii din Coreea, în perioada septembrie-noiembrie 2020.</w:t>
            </w:r>
            <w:r w:rsidR="00776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Seturile K-</w:t>
            </w:r>
            <w:proofErr w:type="spellStart"/>
            <w:r w:rsidR="00776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edu</w:t>
            </w:r>
            <w:proofErr w:type="spellEnd"/>
            <w:r w:rsidR="00776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76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Packages</w:t>
            </w:r>
            <w:proofErr w:type="spellEnd"/>
            <w:r w:rsidR="00776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sunt transmise instituțiilor de învățământ în care activează cadrele didactice respective. </w:t>
            </w:r>
            <w:r w:rsidR="00C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În cazul în care cadrul didactic va pleca din instituția dată, bunul va rămâne în instituție. </w:t>
            </w:r>
          </w:p>
          <w:p w:rsidR="004056C5" w:rsidRPr="004056C5" w:rsidRDefault="004056C5" w:rsidP="008A18BA">
            <w:pPr>
              <w:spacing w:before="120"/>
              <w:ind w:firstLine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</w:t>
            </w:r>
            <w:r w:rsidR="00F36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baza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repartiz</w:t>
            </w:r>
            <w:r w:rsidR="00F36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ării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295 camere web donate de UNICEF</w:t>
            </w:r>
            <w:r w:rsidR="00F36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fost utilizată</w:t>
            </w:r>
            <w:r w:rsidRPr="00C555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formulă de calcul – raportul dintre numărul de instituții din raion/municipiu și numărul de instituții d</w:t>
            </w:r>
            <w:r w:rsidR="00F36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C555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țară</w:t>
            </w:r>
            <w:r w:rsidR="00F36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înmulțit cu numărul total</w:t>
            </w:r>
            <w:r w:rsidRPr="00C555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camere web</w:t>
            </w:r>
            <w:r w:rsidR="00F36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repartizare</w:t>
            </w:r>
            <w:r w:rsidRPr="00C555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E878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13 camere </w:t>
            </w:r>
            <w:r w:rsidR="006E7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web au fost repartizate institu</w:t>
            </w:r>
            <w:r w:rsidR="00E878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6E7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iilor </w:t>
            </w:r>
            <w:r w:rsidR="006E7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din subordinea Mi</w:t>
            </w:r>
            <w:r w:rsidR="00E878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nisterului Educației și Cercetării, iar 3 camere web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F36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solicitarea donatorului 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UNICEF</w:t>
            </w:r>
            <w:r w:rsidR="00F36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36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transmise </w:t>
            </w:r>
            <w:r w:rsidR="00893AAF" w:rsidRPr="00893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Centrului Republican de </w:t>
            </w:r>
            <w:proofErr w:type="spellStart"/>
            <w:r w:rsidR="00893AAF" w:rsidRPr="00893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Asistenţă</w:t>
            </w:r>
            <w:proofErr w:type="spellEnd"/>
            <w:r w:rsidR="00893AAF" w:rsidRPr="00893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Psihopedagogică.</w:t>
            </w:r>
            <w:r w:rsidR="00893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CRAP</w:t>
            </w:r>
            <w:r w:rsidR="00893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3656E" w:rsidRPr="0097576A" w:rsidRDefault="00A0637F" w:rsidP="0097576A">
            <w:pPr>
              <w:spacing w:before="120" w:after="120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Propunerea de r</w:t>
            </w:r>
            <w:r w:rsidR="00580777" w:rsidRPr="00580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epartizare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80777" w:rsidRPr="00580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 </w:t>
            </w:r>
            <w:r w:rsidR="008A1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tehnicii de calcul și camerelor web donate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avut la bază respectarea principiului echitabilității și a corectitudinii, astfel încât să se asigure minimul necesar de tehnică pentru cont</w:t>
            </w:r>
            <w:r w:rsidR="008A1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inuarea procesului educațional.</w:t>
            </w:r>
          </w:p>
        </w:tc>
      </w:tr>
      <w:tr w:rsidR="00025894" w:rsidRPr="00F16D23" w:rsidTr="0083656E">
        <w:tc>
          <w:tcPr>
            <w:tcW w:w="9493" w:type="dxa"/>
            <w:shd w:val="clear" w:color="auto" w:fill="DBDBDB" w:themeFill="accent3" w:themeFillTint="66"/>
          </w:tcPr>
          <w:p w:rsidR="005A6977" w:rsidRPr="00F22B34" w:rsidRDefault="005A6977" w:rsidP="00D62CE7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22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Principalele prevederi ale proiectului și evidențierea elementelor noi</w:t>
            </w:r>
          </w:p>
        </w:tc>
      </w:tr>
      <w:tr w:rsidR="00025894" w:rsidRPr="00F16D23" w:rsidTr="0083656E">
        <w:tc>
          <w:tcPr>
            <w:tcW w:w="9493" w:type="dxa"/>
          </w:tcPr>
          <w:p w:rsidR="000E7F0D" w:rsidRDefault="008B2D82" w:rsidP="00EA10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972644" w:rsidRP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Potrivit proiectului</w:t>
            </w:r>
            <w:r w:rsidR="00A878E3" w:rsidRP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12841" w:rsidRP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 propune 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</w:t>
            </w:r>
            <w:r w:rsidR="00312841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erea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 acordul consiliilor locale,</w:t>
            </w:r>
            <w:r w:rsidR="00312841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bunurilor</w:t>
            </w:r>
            <w:r w:rsidR="00AC1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materiale</w:t>
            </w:r>
            <w:r w:rsidR="00AC1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circulante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proprietatea</w:t>
            </w:r>
            <w:r w:rsidR="00312841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statului, 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administrarea </w:t>
            </w:r>
            <w:r w:rsidR="005478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Ministerului Educației</w:t>
            </w:r>
            <w:r w:rsidR="001232D9" w:rsidRPr="00F22B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Cercetării, în proprietatea unităț</w:t>
            </w:r>
            <w:r w:rsidR="00AC1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administrativ-teritoriale.</w:t>
            </w:r>
          </w:p>
          <w:p w:rsidR="00760219" w:rsidRPr="00F22B34" w:rsidRDefault="00760219" w:rsidP="00EA10D9">
            <w:pPr>
              <w:spacing w:after="120"/>
              <w:ind w:firstLine="5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Reieșind din contextul pandemiei de COVID-19 și necesitatea repartizării rapide a acestor bunuri, se propune ca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otărâre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de Guvern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7602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vigoare la data publicării în Monitorul Oflcial al Republicii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025894" w:rsidRPr="00F16D23" w:rsidTr="0083656E">
        <w:trPr>
          <w:trHeight w:val="375"/>
        </w:trPr>
        <w:tc>
          <w:tcPr>
            <w:tcW w:w="9493" w:type="dxa"/>
            <w:shd w:val="clear" w:color="auto" w:fill="DBDBDB" w:themeFill="accent3" w:themeFillTint="66"/>
          </w:tcPr>
          <w:p w:rsidR="005A6977" w:rsidRPr="00F16D23" w:rsidRDefault="005A6977" w:rsidP="00AA00F2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Fundamentarea </w:t>
            </w:r>
            <w:proofErr w:type="spellStart"/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economico</w:t>
            </w:r>
            <w:proofErr w:type="spellEnd"/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-financiară</w:t>
            </w:r>
          </w:p>
        </w:tc>
      </w:tr>
      <w:tr w:rsidR="00025894" w:rsidRPr="00F16D23" w:rsidTr="0083656E">
        <w:trPr>
          <w:trHeight w:val="483"/>
        </w:trPr>
        <w:tc>
          <w:tcPr>
            <w:tcW w:w="9493" w:type="dxa"/>
          </w:tcPr>
          <w:p w:rsidR="00A2190A" w:rsidRDefault="00A2190A" w:rsidP="00455622">
            <w:pPr>
              <w:spacing w:before="120"/>
              <w:ind w:firstLine="5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Prezentul proiect </w:t>
            </w:r>
            <w:r w:rsidR="00601A4C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 necesită cheltuieli suplimentare. </w:t>
            </w:r>
          </w:p>
          <w:p w:rsidR="00D241A9" w:rsidRPr="00F16D23" w:rsidRDefault="00D241A9" w:rsidP="00455622">
            <w:pPr>
              <w:spacing w:after="120"/>
              <w:ind w:firstLine="5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24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Ministerul Educației și Cercetării a recepționat Deciziile Consiliilor Raionale/Municipale cu privire la acordul recepționării tehnicii de calcul.</w:t>
            </w:r>
          </w:p>
        </w:tc>
      </w:tr>
      <w:tr w:rsidR="00025894" w:rsidRPr="00F16D23" w:rsidTr="0083656E">
        <w:trPr>
          <w:trHeight w:val="467"/>
        </w:trPr>
        <w:tc>
          <w:tcPr>
            <w:tcW w:w="9493" w:type="dxa"/>
            <w:shd w:val="clear" w:color="auto" w:fill="DBDBDB" w:themeFill="accent3" w:themeFillTint="66"/>
          </w:tcPr>
          <w:p w:rsidR="005A6977" w:rsidRPr="00F16D23" w:rsidRDefault="005A6977" w:rsidP="00AA00F2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ind w:left="714" w:hanging="3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Modul de încorporare a actului în cadrul normativ în vigoare</w:t>
            </w:r>
          </w:p>
        </w:tc>
      </w:tr>
      <w:tr w:rsidR="00025894" w:rsidRPr="00F16D23" w:rsidTr="0083656E">
        <w:trPr>
          <w:trHeight w:val="399"/>
        </w:trPr>
        <w:tc>
          <w:tcPr>
            <w:tcW w:w="9493" w:type="dxa"/>
          </w:tcPr>
          <w:p w:rsidR="0002060C" w:rsidRPr="00F16D23" w:rsidRDefault="00CF35CE" w:rsidP="00455622">
            <w:pPr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implementarea prezentului proiect nu va fi necesară modificarea altor</w:t>
            </w:r>
            <w:r w:rsid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acte normative.</w:t>
            </w:r>
          </w:p>
        </w:tc>
      </w:tr>
      <w:tr w:rsidR="00025894" w:rsidRPr="00F16D23" w:rsidTr="0083656E">
        <w:tc>
          <w:tcPr>
            <w:tcW w:w="9493" w:type="dxa"/>
            <w:shd w:val="clear" w:color="auto" w:fill="DBDBDB" w:themeFill="accent3" w:themeFillTint="66"/>
          </w:tcPr>
          <w:p w:rsidR="005A6977" w:rsidRPr="00F16D23" w:rsidRDefault="005A6977" w:rsidP="00AA00F2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Avizarea și c</w:t>
            </w:r>
            <w:r w:rsidR="00AA0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onsultarea publică a proiectului</w:t>
            </w:r>
          </w:p>
        </w:tc>
      </w:tr>
      <w:tr w:rsidR="00025894" w:rsidRPr="00F16D23" w:rsidTr="0083656E">
        <w:tc>
          <w:tcPr>
            <w:tcW w:w="9493" w:type="dxa"/>
          </w:tcPr>
          <w:p w:rsidR="0002060C" w:rsidRPr="00F16D23" w:rsidRDefault="008B2D82" w:rsidP="005478F6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025894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scopul respect</w:t>
            </w:r>
            <w:r w:rsidR="00F8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ării prevederilor Legii nr. 239/</w:t>
            </w:r>
            <w:r w:rsidR="00025894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2008 privind </w:t>
            </w:r>
            <w:r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transparența</w:t>
            </w:r>
            <w:r w:rsidR="00025894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procesul decizional, proiectul </w:t>
            </w:r>
            <w:r w:rsidR="00547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fost</w:t>
            </w:r>
            <w:r w:rsidR="00F2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plasat pe </w:t>
            </w:r>
            <w:r w:rsidR="00025894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pagina web oficială a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Ministerului Educației</w:t>
            </w:r>
            <w:r w:rsidR="00547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și Cercetării </w:t>
            </w:r>
            <w:hyperlink r:id="rId7" w:history="1">
              <w:r w:rsidR="00F810B7" w:rsidRPr="00A84C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o-RO"/>
                </w:rPr>
                <w:t>www.mecc.gov.md</w:t>
              </w:r>
            </w:hyperlink>
            <w:r w:rsidR="00F8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5A6977" w:rsidRPr="00F16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compartimentul Transparență, directoriul Transparență decizională, secțiunea Modul de participare. </w:t>
            </w:r>
          </w:p>
        </w:tc>
      </w:tr>
    </w:tbl>
    <w:p w:rsidR="005478F6" w:rsidRDefault="008D75E6" w:rsidP="009936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br/>
      </w:r>
    </w:p>
    <w:p w:rsidR="005478F6" w:rsidRDefault="005478F6" w:rsidP="009936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B0B72" w:rsidRDefault="00025894" w:rsidP="009936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</w:t>
      </w:r>
      <w:r w:rsidR="00F44BB2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inistru </w:t>
      </w:r>
      <w:r w:rsidR="005A6977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</w:t>
      </w:r>
      <w:r w:rsidR="008A4B05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8A4B05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478F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5A6977" w:rsidRPr="00F16D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</w:t>
      </w:r>
      <w:r w:rsidR="005478F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Anatolie TOPALĂ</w:t>
      </w:r>
    </w:p>
    <w:p w:rsidR="00AC1A88" w:rsidRDefault="00AC1A88" w:rsidP="009936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E63660" w:rsidRDefault="00E63660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5478F6" w:rsidRDefault="005478F6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</w:p>
    <w:p w:rsidR="00E63660" w:rsidRPr="00E63660" w:rsidRDefault="00E63660" w:rsidP="00E6366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</w:pPr>
      <w:r w:rsidRPr="00E63660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Ex</w:t>
      </w:r>
      <w:r w:rsidR="00AC1A88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ecutant:</w:t>
      </w:r>
      <w:r w:rsidRPr="00E63660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 xml:space="preserve"> </w:t>
      </w:r>
      <w:proofErr w:type="spellStart"/>
      <w:r w:rsidR="008B6CC2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A.Prisacaru</w:t>
      </w:r>
      <w:proofErr w:type="spellEnd"/>
      <w:r w:rsidR="0099364C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, t</w:t>
      </w:r>
      <w:r w:rsidRPr="00E63660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el. 0 22 </w:t>
      </w:r>
      <w:r w:rsidR="008B6CC2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>232785</w:t>
      </w:r>
      <w:r w:rsidRPr="00E63660">
        <w:rPr>
          <w:rFonts w:ascii="Times New Roman" w:hAnsi="Times New Roman" w:cs="Times New Roman"/>
          <w:color w:val="000000" w:themeColor="text1"/>
          <w:sz w:val="16"/>
          <w:szCs w:val="24"/>
          <w:lang w:val="ro-RO"/>
        </w:rPr>
        <w:t xml:space="preserve"> </w:t>
      </w:r>
    </w:p>
    <w:sectPr w:rsidR="00E63660" w:rsidRPr="00E63660" w:rsidSect="0099364C">
      <w:footerReference w:type="default" r:id="rId8"/>
      <w:pgSz w:w="11906" w:h="16838" w:code="9"/>
      <w:pgMar w:top="851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553" w:rsidRDefault="00A54553" w:rsidP="009139A1">
      <w:pPr>
        <w:spacing w:after="0" w:line="240" w:lineRule="auto"/>
      </w:pPr>
      <w:r>
        <w:separator/>
      </w:r>
    </w:p>
  </w:endnote>
  <w:endnote w:type="continuationSeparator" w:id="0">
    <w:p w:rsidR="00A54553" w:rsidRDefault="00A54553" w:rsidP="009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9A1" w:rsidRDefault="009139A1">
    <w:pPr>
      <w:pStyle w:val="aa"/>
      <w:jc w:val="right"/>
    </w:pPr>
  </w:p>
  <w:p w:rsidR="009139A1" w:rsidRDefault="009139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553" w:rsidRDefault="00A54553" w:rsidP="009139A1">
      <w:pPr>
        <w:spacing w:after="0" w:line="240" w:lineRule="auto"/>
      </w:pPr>
      <w:r>
        <w:separator/>
      </w:r>
    </w:p>
  </w:footnote>
  <w:footnote w:type="continuationSeparator" w:id="0">
    <w:p w:rsidR="00A54553" w:rsidRDefault="00A54553" w:rsidP="0091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1">
    <w:nsid w:val="14D3201E"/>
    <w:multiLevelType w:val="hybridMultilevel"/>
    <w:tmpl w:val="A8B4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440BF"/>
    <w:multiLevelType w:val="hybridMultilevel"/>
    <w:tmpl w:val="57A2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54595"/>
    <w:multiLevelType w:val="hybridMultilevel"/>
    <w:tmpl w:val="412EF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16136"/>
    <w:multiLevelType w:val="hybridMultilevel"/>
    <w:tmpl w:val="D184427C"/>
    <w:lvl w:ilvl="0" w:tplc="002E616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7"/>
    <w:rsid w:val="0002060C"/>
    <w:rsid w:val="00021EC8"/>
    <w:rsid w:val="00025894"/>
    <w:rsid w:val="00035FAE"/>
    <w:rsid w:val="00050127"/>
    <w:rsid w:val="0007422B"/>
    <w:rsid w:val="000A3872"/>
    <w:rsid w:val="000A3F69"/>
    <w:rsid w:val="000D612E"/>
    <w:rsid w:val="000E7F0D"/>
    <w:rsid w:val="000F170D"/>
    <w:rsid w:val="001011EA"/>
    <w:rsid w:val="00110AAC"/>
    <w:rsid w:val="0011736A"/>
    <w:rsid w:val="001232D9"/>
    <w:rsid w:val="00132EEC"/>
    <w:rsid w:val="0013332C"/>
    <w:rsid w:val="00133A5A"/>
    <w:rsid w:val="00136656"/>
    <w:rsid w:val="001436A6"/>
    <w:rsid w:val="0015747A"/>
    <w:rsid w:val="001622D3"/>
    <w:rsid w:val="00184E64"/>
    <w:rsid w:val="001D2277"/>
    <w:rsid w:val="001D7A0C"/>
    <w:rsid w:val="0020403C"/>
    <w:rsid w:val="00226E3E"/>
    <w:rsid w:val="002657AF"/>
    <w:rsid w:val="002A762F"/>
    <w:rsid w:val="002D7F72"/>
    <w:rsid w:val="002E0263"/>
    <w:rsid w:val="002E6ED0"/>
    <w:rsid w:val="00312841"/>
    <w:rsid w:val="00320339"/>
    <w:rsid w:val="00333A93"/>
    <w:rsid w:val="0034421F"/>
    <w:rsid w:val="00345E5E"/>
    <w:rsid w:val="003575BD"/>
    <w:rsid w:val="00357B05"/>
    <w:rsid w:val="00366EDA"/>
    <w:rsid w:val="00380EBC"/>
    <w:rsid w:val="003914EE"/>
    <w:rsid w:val="003B4C62"/>
    <w:rsid w:val="003B77C3"/>
    <w:rsid w:val="003D34AA"/>
    <w:rsid w:val="003D38B0"/>
    <w:rsid w:val="004010CA"/>
    <w:rsid w:val="00401EE2"/>
    <w:rsid w:val="004056C5"/>
    <w:rsid w:val="004072BD"/>
    <w:rsid w:val="00411F9F"/>
    <w:rsid w:val="00414277"/>
    <w:rsid w:val="00451A97"/>
    <w:rsid w:val="004543A5"/>
    <w:rsid w:val="00455622"/>
    <w:rsid w:val="004726B7"/>
    <w:rsid w:val="004855E8"/>
    <w:rsid w:val="00490D36"/>
    <w:rsid w:val="004A0A0F"/>
    <w:rsid w:val="004B0060"/>
    <w:rsid w:val="004D1B32"/>
    <w:rsid w:val="004E5083"/>
    <w:rsid w:val="004F131E"/>
    <w:rsid w:val="00512467"/>
    <w:rsid w:val="00535966"/>
    <w:rsid w:val="005409CC"/>
    <w:rsid w:val="005478F6"/>
    <w:rsid w:val="00562191"/>
    <w:rsid w:val="0056548B"/>
    <w:rsid w:val="00580777"/>
    <w:rsid w:val="005A6977"/>
    <w:rsid w:val="005B215D"/>
    <w:rsid w:val="005C3D40"/>
    <w:rsid w:val="005F247B"/>
    <w:rsid w:val="00601A4C"/>
    <w:rsid w:val="006163DA"/>
    <w:rsid w:val="00621FC5"/>
    <w:rsid w:val="00646F55"/>
    <w:rsid w:val="00654E5E"/>
    <w:rsid w:val="0068133C"/>
    <w:rsid w:val="00687323"/>
    <w:rsid w:val="006B110B"/>
    <w:rsid w:val="006B38B2"/>
    <w:rsid w:val="006B6FD1"/>
    <w:rsid w:val="006C3649"/>
    <w:rsid w:val="006E76F4"/>
    <w:rsid w:val="00760219"/>
    <w:rsid w:val="00776C53"/>
    <w:rsid w:val="0079279F"/>
    <w:rsid w:val="007A786A"/>
    <w:rsid w:val="007D1514"/>
    <w:rsid w:val="007F32D8"/>
    <w:rsid w:val="0080665F"/>
    <w:rsid w:val="00834A40"/>
    <w:rsid w:val="0083656E"/>
    <w:rsid w:val="00855940"/>
    <w:rsid w:val="008660C1"/>
    <w:rsid w:val="00866FAE"/>
    <w:rsid w:val="00874D9B"/>
    <w:rsid w:val="00884B4C"/>
    <w:rsid w:val="00885F88"/>
    <w:rsid w:val="00892F89"/>
    <w:rsid w:val="00893AAF"/>
    <w:rsid w:val="008A18BA"/>
    <w:rsid w:val="008A4B05"/>
    <w:rsid w:val="008A5902"/>
    <w:rsid w:val="008B2A84"/>
    <w:rsid w:val="008B2D82"/>
    <w:rsid w:val="008B6CC2"/>
    <w:rsid w:val="008C1F30"/>
    <w:rsid w:val="008D75E6"/>
    <w:rsid w:val="008E56AB"/>
    <w:rsid w:val="009139A1"/>
    <w:rsid w:val="009256A6"/>
    <w:rsid w:val="00942F3C"/>
    <w:rsid w:val="00951BFD"/>
    <w:rsid w:val="009545B3"/>
    <w:rsid w:val="00956471"/>
    <w:rsid w:val="00964BA2"/>
    <w:rsid w:val="00972644"/>
    <w:rsid w:val="0097576A"/>
    <w:rsid w:val="00985306"/>
    <w:rsid w:val="0099364C"/>
    <w:rsid w:val="009B0E8F"/>
    <w:rsid w:val="009F238F"/>
    <w:rsid w:val="009F271B"/>
    <w:rsid w:val="00A0637F"/>
    <w:rsid w:val="00A06896"/>
    <w:rsid w:val="00A161C2"/>
    <w:rsid w:val="00A2190A"/>
    <w:rsid w:val="00A34618"/>
    <w:rsid w:val="00A40967"/>
    <w:rsid w:val="00A43EEC"/>
    <w:rsid w:val="00A456A3"/>
    <w:rsid w:val="00A54553"/>
    <w:rsid w:val="00A61877"/>
    <w:rsid w:val="00A66131"/>
    <w:rsid w:val="00A6677E"/>
    <w:rsid w:val="00A7202F"/>
    <w:rsid w:val="00A76AC3"/>
    <w:rsid w:val="00A83C5A"/>
    <w:rsid w:val="00A86E22"/>
    <w:rsid w:val="00A878E3"/>
    <w:rsid w:val="00A94BEB"/>
    <w:rsid w:val="00A94E35"/>
    <w:rsid w:val="00AA00F2"/>
    <w:rsid w:val="00AC1A88"/>
    <w:rsid w:val="00AE4657"/>
    <w:rsid w:val="00AF3D2F"/>
    <w:rsid w:val="00B301FA"/>
    <w:rsid w:val="00B37034"/>
    <w:rsid w:val="00B47CF3"/>
    <w:rsid w:val="00B57D21"/>
    <w:rsid w:val="00B76910"/>
    <w:rsid w:val="00B83A0C"/>
    <w:rsid w:val="00BB0B72"/>
    <w:rsid w:val="00BB0D73"/>
    <w:rsid w:val="00BC48A4"/>
    <w:rsid w:val="00BE41DB"/>
    <w:rsid w:val="00BF5302"/>
    <w:rsid w:val="00C049C4"/>
    <w:rsid w:val="00C15397"/>
    <w:rsid w:val="00C467A5"/>
    <w:rsid w:val="00C46B25"/>
    <w:rsid w:val="00C71421"/>
    <w:rsid w:val="00C770B7"/>
    <w:rsid w:val="00C77F89"/>
    <w:rsid w:val="00C816BF"/>
    <w:rsid w:val="00C828A2"/>
    <w:rsid w:val="00C8790D"/>
    <w:rsid w:val="00C911F2"/>
    <w:rsid w:val="00C954D8"/>
    <w:rsid w:val="00CC3EFF"/>
    <w:rsid w:val="00CC5248"/>
    <w:rsid w:val="00CD796F"/>
    <w:rsid w:val="00CE1AD4"/>
    <w:rsid w:val="00CE7130"/>
    <w:rsid w:val="00CF35CE"/>
    <w:rsid w:val="00D03B1C"/>
    <w:rsid w:val="00D1773E"/>
    <w:rsid w:val="00D241A9"/>
    <w:rsid w:val="00D341B6"/>
    <w:rsid w:val="00D36043"/>
    <w:rsid w:val="00D55AE7"/>
    <w:rsid w:val="00D62CE7"/>
    <w:rsid w:val="00D74085"/>
    <w:rsid w:val="00D741F3"/>
    <w:rsid w:val="00DA755E"/>
    <w:rsid w:val="00DB1872"/>
    <w:rsid w:val="00DC2107"/>
    <w:rsid w:val="00DE28B9"/>
    <w:rsid w:val="00E420E3"/>
    <w:rsid w:val="00E53469"/>
    <w:rsid w:val="00E60755"/>
    <w:rsid w:val="00E63660"/>
    <w:rsid w:val="00E87800"/>
    <w:rsid w:val="00E9642B"/>
    <w:rsid w:val="00EA10D9"/>
    <w:rsid w:val="00EB77AD"/>
    <w:rsid w:val="00EC557F"/>
    <w:rsid w:val="00EC75B5"/>
    <w:rsid w:val="00ED7B0E"/>
    <w:rsid w:val="00F0552C"/>
    <w:rsid w:val="00F16D23"/>
    <w:rsid w:val="00F22B34"/>
    <w:rsid w:val="00F27F6D"/>
    <w:rsid w:val="00F329B9"/>
    <w:rsid w:val="00F36F39"/>
    <w:rsid w:val="00F44BB2"/>
    <w:rsid w:val="00F806A4"/>
    <w:rsid w:val="00F810B7"/>
    <w:rsid w:val="00FA0274"/>
    <w:rsid w:val="00FB1690"/>
    <w:rsid w:val="00FD19FE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3B965-4D46-411A-B444-EA20E4A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77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977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 Paragraph 1,List Paragraph1,Абзац списка1,List Paragraph11,Абзац списка2"/>
    <w:basedOn w:val="a"/>
    <w:link w:val="a5"/>
    <w:uiPriority w:val="34"/>
    <w:qFormat/>
    <w:rsid w:val="005A6977"/>
    <w:pPr>
      <w:ind w:left="720"/>
      <w:contextualSpacing/>
    </w:pPr>
  </w:style>
  <w:style w:type="paragraph" w:customStyle="1" w:styleId="Default">
    <w:name w:val="Default"/>
    <w:rsid w:val="005A6977"/>
    <w:pPr>
      <w:autoSpaceDE w:val="0"/>
      <w:autoSpaceDN w:val="0"/>
      <w:adjustRightInd w:val="0"/>
      <w:spacing w:after="0" w:line="240" w:lineRule="auto"/>
      <w:jc w:val="left"/>
    </w:pPr>
    <w:rPr>
      <w:color w:val="000000"/>
      <w:lang w:val="ru-RU"/>
    </w:rPr>
  </w:style>
  <w:style w:type="character" w:customStyle="1" w:styleId="a5">
    <w:name w:val="Абзац списка Знак"/>
    <w:aliases w:val="List Paragraph 1 Знак,List Paragraph1 Знак,Абзац списка1 Знак,List Paragraph11 Знак,Абзац списка2 Знак"/>
    <w:basedOn w:val="a0"/>
    <w:link w:val="a4"/>
    <w:uiPriority w:val="34"/>
    <w:locked/>
    <w:rsid w:val="005A6977"/>
    <w:rPr>
      <w:rFonts w:asciiTheme="minorHAnsi" w:hAnsiTheme="minorHAnsi" w:cstheme="minorBidi"/>
      <w:sz w:val="22"/>
      <w:szCs w:val="22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9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11F2"/>
    <w:rPr>
      <w:rFonts w:ascii="Segoe U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paragraph" w:styleId="aa">
    <w:name w:val="footer"/>
    <w:basedOn w:val="a"/>
    <w:link w:val="ab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character" w:styleId="ac">
    <w:name w:val="Hyperlink"/>
    <w:basedOn w:val="a0"/>
    <w:uiPriority w:val="99"/>
    <w:unhideWhenUsed/>
    <w:rsid w:val="00F810B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C71421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C71421"/>
    <w:rPr>
      <w:rFonts w:eastAsia="Times New Roman" w:cstheme="minorBid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c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Prisacaru</cp:lastModifiedBy>
  <cp:revision>65</cp:revision>
  <cp:lastPrinted>2021-02-19T15:02:00Z</cp:lastPrinted>
  <dcterms:created xsi:type="dcterms:W3CDTF">2020-10-26T16:36:00Z</dcterms:created>
  <dcterms:modified xsi:type="dcterms:W3CDTF">2021-12-01T09:39:00Z</dcterms:modified>
</cp:coreProperties>
</file>