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4B8" w:rsidRDefault="00766EC6" w:rsidP="003304B8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bookmarkStart w:id="0" w:name="_GoBack"/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Nota informativă la proiectul </w:t>
      </w:r>
      <w:proofErr w:type="spellStart"/>
      <w:r>
        <w:rPr>
          <w:rFonts w:ascii="Times New Roman" w:hAnsi="Times New Roman" w:cs="Times New Roman"/>
          <w:b/>
          <w:sz w:val="26"/>
          <w:szCs w:val="26"/>
          <w:lang w:val="ro-RO"/>
        </w:rPr>
        <w:t>h</w:t>
      </w:r>
      <w:r w:rsidR="003304B8">
        <w:rPr>
          <w:rFonts w:ascii="Times New Roman" w:hAnsi="Times New Roman" w:cs="Times New Roman"/>
          <w:b/>
          <w:sz w:val="26"/>
          <w:szCs w:val="26"/>
          <w:lang w:val="ro-RO"/>
        </w:rPr>
        <w:t>otărîrii</w:t>
      </w:r>
      <w:proofErr w:type="spellEnd"/>
      <w:r w:rsidR="003304B8">
        <w:rPr>
          <w:rFonts w:ascii="Times New Roman" w:hAnsi="Times New Roman" w:cs="Times New Roman"/>
          <w:b/>
          <w:sz w:val="26"/>
          <w:szCs w:val="26"/>
          <w:lang w:val="ro-RO"/>
        </w:rPr>
        <w:t xml:space="preserve"> Guvernului pentru modificarea Hotărârii Guvernului nr. 1232/2016 cu privire la unele aspecte de introducere a produselor pe</w:t>
      </w:r>
      <w:r w:rsidR="000B5B62">
        <w:rPr>
          <w:rFonts w:ascii="Times New Roman" w:hAnsi="Times New Roman" w:cs="Times New Roman"/>
          <w:b/>
          <w:sz w:val="26"/>
          <w:szCs w:val="26"/>
          <w:lang w:val="ro-RO"/>
        </w:rPr>
        <w:t>troliere prin frontiera de est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45"/>
      </w:tblGrid>
      <w:tr w:rsidR="003304B8" w:rsidRPr="002347E7" w:rsidTr="0023650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B8" w:rsidRDefault="003304B8" w:rsidP="002365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 Denumirea autorului și, după caz, a participanților la elaborarea proiectului</w:t>
            </w:r>
          </w:p>
        </w:tc>
      </w:tr>
      <w:tr w:rsidR="003304B8" w:rsidRPr="002347E7" w:rsidTr="0023650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B8" w:rsidRDefault="003304B8" w:rsidP="00A96818">
            <w:pPr>
              <w:spacing w:line="240" w:lineRule="auto"/>
              <w:ind w:firstLine="73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Ministerul Infrastructurii</w:t>
            </w:r>
            <w:r w:rsidR="00A96818" w:rsidRPr="00A9681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A968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Dezvoltării Regionale.</w:t>
            </w:r>
          </w:p>
        </w:tc>
      </w:tr>
      <w:tr w:rsidR="003304B8" w:rsidRPr="002347E7" w:rsidTr="0023650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B8" w:rsidRDefault="003304B8" w:rsidP="002365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 Condițiile ce au impus elaborarea proiectului de act normativ și finalitățile urmărite</w:t>
            </w:r>
          </w:p>
        </w:tc>
      </w:tr>
      <w:tr w:rsidR="003304B8" w:rsidRPr="002347E7" w:rsidTr="00236500">
        <w:trPr>
          <w:trHeight w:val="510"/>
        </w:trPr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B8" w:rsidRDefault="003304B8" w:rsidP="00236500">
            <w:pPr>
              <w:spacing w:line="240" w:lineRule="auto"/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Începând cu luna august 2016, autoritățile din Ucraina au sistat importul produselor petroliere pentru regiunea transnistreană prin intermediul căilor ferate, prin punctele de trecere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Slobodca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 și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Cuciurgan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”. Astfel, traficul produselor petroliere a fost redirecționat prin punctul de trecere „Ocnița", ulterior fiind transportate la stațiile de cale ferată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Rîbnița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 și „Bender 2".</w:t>
            </w:r>
          </w:p>
          <w:p w:rsidR="003304B8" w:rsidRDefault="003304B8" w:rsidP="00236500">
            <w:pPr>
              <w:spacing w:line="240" w:lineRule="auto"/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aceste considerente, de către Biroul Politici de Reintegrare a fost promovată Hotărârea de Guvern nr. 1232/2016 „Cu privire la unele aspecte de introducere a produselor petroliere prin frontiera de est", care prevedea vămuirea la postul vamal „Bender - 2” a produselor petroliere introduse prin punctul de trecere a frontierei de stat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Novosavițkaia-Cuciurgan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 pînă la data de 31 decembrie 2016.</w:t>
            </w:r>
          </w:p>
          <w:p w:rsidR="003304B8" w:rsidRDefault="003304B8" w:rsidP="00236500">
            <w:pPr>
              <w:spacing w:line="240" w:lineRule="auto"/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Astfel a fost soluționată parțial problema introducerii produselor petroliere în regiunea transnistreană.</w:t>
            </w:r>
          </w:p>
          <w:p w:rsidR="003304B8" w:rsidRDefault="003304B8" w:rsidP="00236500">
            <w:pPr>
              <w:spacing w:line="240" w:lineRule="auto"/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30 decembrie 2016 pârțile au prelungit termenul de valabilitate a Deciziei protocolare „Privind principiile reluării plenare a circulației trenurilor marfare prin regiunea transnistreană” până la data de 31 decembrie 2017.</w:t>
            </w:r>
          </w:p>
          <w:p w:rsidR="003304B8" w:rsidRDefault="003304B8" w:rsidP="00236500">
            <w:pPr>
              <w:spacing w:line="240" w:lineRule="auto"/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Ținând cont de faptul că Hotărârea de Guvern nr. 1232/ 2016 era în vigoare până la 31 decembrie 2016, termenul a fost modificat prin hotărâre de Guvern până la data de 01 iulie 2017, iar prin hotărârea nr. 480 din 28 iunie 2017 termenul a fost prelungit până la 31 decembrie 2017.</w:t>
            </w:r>
          </w:p>
          <w:p w:rsidR="003304B8" w:rsidRDefault="003304B8" w:rsidP="00236500">
            <w:pPr>
              <w:spacing w:line="240" w:lineRule="auto"/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Aceiași procedură a</w:t>
            </w:r>
            <w:r w:rsidR="00A968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fost desfășurată și pentru anii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2018</w:t>
            </w:r>
            <w:r w:rsidR="00A968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-2021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termenul de acțiune a Hotărârii de Guvern nr. 1232/2016 a fost prelungit prin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Hotărîrile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Guvernului nr. </w:t>
            </w:r>
            <w:r w:rsidR="00A968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99/2021,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968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până la 31 decembrie 2021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0728E7" w:rsidRPr="000B5B62" w:rsidRDefault="003304B8" w:rsidP="00A96818">
            <w:pPr>
              <w:spacing w:line="240" w:lineRule="auto"/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Ținând cont de faptul că în perioada respectivă nu a fost introdus controlul în comun la acest post vamal, s-a propus de a prelungi termenul de acțiune a Hotărârii Guvernului nr. 1232/2016 până la data de </w:t>
            </w:r>
            <w:r w:rsidR="00A968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9681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iunie 2022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fiind specificat faptul că procedurile stabilite vor fi sistate în cazul în care, la expirarea celor 6 luni, va fi instituit controlul în comun la punctul de trecere a frontierei de stat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Novosavițkaia-Cuciurgan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”. </w:t>
            </w:r>
          </w:p>
        </w:tc>
      </w:tr>
      <w:tr w:rsidR="003304B8" w:rsidTr="0023650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B8" w:rsidRDefault="003304B8" w:rsidP="002365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3. Descrierea gradului de compatibilitate pentru proiectele care au ca scop armonizarea legislației naționale cu legislația Uniunii Europene</w:t>
            </w:r>
          </w:p>
        </w:tc>
      </w:tr>
      <w:tr w:rsidR="003304B8" w:rsidRPr="002347E7" w:rsidTr="0023650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B8" w:rsidRDefault="003304B8" w:rsidP="00236500">
            <w:pPr>
              <w:spacing w:line="240" w:lineRule="auto"/>
              <w:ind w:firstLine="73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Proiectul nu transpune acquis-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comunității europene.</w:t>
            </w:r>
          </w:p>
        </w:tc>
      </w:tr>
      <w:tr w:rsidR="003304B8" w:rsidTr="0023650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B8" w:rsidRDefault="003304B8" w:rsidP="002365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4. Principalele prevederi ale proiectului şi evidențierea elementelor noi</w:t>
            </w:r>
          </w:p>
        </w:tc>
      </w:tr>
      <w:tr w:rsidR="003304B8" w:rsidTr="0023650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B8" w:rsidRDefault="003304B8" w:rsidP="00A96818">
            <w:pPr>
              <w:spacing w:line="240" w:lineRule="auto"/>
              <w:ind w:firstLine="73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Proiectul prevede substituirea sintagmei “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până la </w:t>
            </w:r>
            <w:r w:rsidR="00A96818" w:rsidRPr="00A96818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31 decembrie 2021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”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Hotărîrea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Guvernului nr. 1232/2016, cu sintagma “</w:t>
            </w:r>
            <w:r w:rsidR="00A96818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până la 30</w:t>
            </w:r>
            <w:r w:rsidR="005A43D7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="00A96818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iunie 2022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”.</w:t>
            </w:r>
          </w:p>
        </w:tc>
      </w:tr>
      <w:tr w:rsidR="003304B8" w:rsidTr="0023650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B8" w:rsidRDefault="003304B8" w:rsidP="0023650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 xml:space="preserve">5. Fundamentarea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economico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-financiară</w:t>
            </w:r>
          </w:p>
        </w:tc>
      </w:tr>
      <w:tr w:rsidR="003304B8" w:rsidRPr="002347E7" w:rsidTr="0023650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B8" w:rsidRDefault="003304B8" w:rsidP="00236500">
            <w:pPr>
              <w:spacing w:line="240" w:lineRule="auto"/>
              <w:ind w:firstLine="73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Implementarea proiectului nu are nici un impact asupra bugetului de stat și nu necesită cheltuieli suplimentare din bugetul de stat. </w:t>
            </w:r>
          </w:p>
        </w:tc>
      </w:tr>
      <w:tr w:rsidR="003304B8" w:rsidRPr="002347E7" w:rsidTr="0023650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B8" w:rsidRDefault="003304B8" w:rsidP="00236500">
            <w:pPr>
              <w:tabs>
                <w:tab w:val="left" w:pos="884"/>
                <w:tab w:val="left" w:pos="1196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6. Modul de încorporare a actului în cadrul normativ în vigoare</w:t>
            </w:r>
          </w:p>
        </w:tc>
      </w:tr>
      <w:tr w:rsidR="003304B8" w:rsidTr="0023650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B62" w:rsidRDefault="003304B8" w:rsidP="000B5B62">
            <w:pPr>
              <w:tabs>
                <w:tab w:val="left" w:pos="884"/>
                <w:tab w:val="left" w:pos="1196"/>
              </w:tabs>
              <w:spacing w:line="240" w:lineRule="auto"/>
              <w:ind w:firstLine="73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Proiectul prevede modificarea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MD"/>
              </w:rPr>
              <w:t>Hotărîrii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Guvernului nr. 1232/2016. </w:t>
            </w:r>
          </w:p>
        </w:tc>
      </w:tr>
      <w:tr w:rsidR="003304B8" w:rsidTr="0023650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B8" w:rsidRDefault="003304B8" w:rsidP="00236500">
            <w:pPr>
              <w:tabs>
                <w:tab w:val="left" w:pos="884"/>
                <w:tab w:val="left" w:pos="119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7. Avizarea şi consultarea publică a proiectului</w:t>
            </w:r>
          </w:p>
        </w:tc>
      </w:tr>
      <w:tr w:rsidR="003304B8" w:rsidRPr="002347E7" w:rsidTr="0023650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74" w:rsidRDefault="003304B8" w:rsidP="002C7674">
            <w:pPr>
              <w:tabs>
                <w:tab w:val="left" w:pos="884"/>
                <w:tab w:val="left" w:pos="1196"/>
              </w:tabs>
              <w:spacing w:line="240" w:lineRule="auto"/>
              <w:ind w:firstLine="73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Proiectul </w:t>
            </w:r>
            <w:proofErr w:type="spellStart"/>
            <w:r w:rsidR="00A96818">
              <w:rPr>
                <w:rFonts w:ascii="Times New Roman" w:hAnsi="Times New Roman"/>
                <w:sz w:val="24"/>
                <w:szCs w:val="24"/>
                <w:lang w:val="fr-FR"/>
              </w:rPr>
              <w:t>urmează</w:t>
            </w:r>
            <w:proofErr w:type="spellEnd"/>
            <w:r w:rsidR="00A9681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a fi</w:t>
            </w:r>
            <w:r w:rsidR="002C7674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avizat de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următoarele instituții:</w:t>
            </w:r>
            <w:r w:rsidR="00F3229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:rsidR="00C72CF4" w:rsidRDefault="00F32297" w:rsidP="00A96818">
            <w:pPr>
              <w:tabs>
                <w:tab w:val="left" w:pos="884"/>
                <w:tab w:val="left" w:pos="1196"/>
              </w:tabs>
              <w:spacing w:line="240" w:lineRule="auto"/>
              <w:ind w:firstLine="73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Ministerul Finanțelor</w:t>
            </w:r>
            <w:r w:rsidR="00A9681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 Afacerilor Interne, Ministerul Justiției, </w:t>
            </w:r>
            <w:r w:rsidR="003304B8">
              <w:rPr>
                <w:rFonts w:ascii="Times New Roman" w:hAnsi="Times New Roman"/>
                <w:sz w:val="24"/>
                <w:szCs w:val="24"/>
                <w:lang w:val="ro-RO"/>
              </w:rPr>
              <w:t>Î.S. “Calea Ferată din Moldova”</w:t>
            </w:r>
            <w:r w:rsidR="00C72CF4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="00A96818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Biroul Politici de Reintegrare, </w:t>
            </w:r>
            <w:r w:rsidR="002347E7" w:rsidRPr="002347E7">
              <w:rPr>
                <w:rFonts w:ascii="Times New Roman" w:hAnsi="Times New Roman"/>
                <w:sz w:val="24"/>
                <w:szCs w:val="24"/>
                <w:lang w:val="ro-RO"/>
              </w:rPr>
              <w:t>Serviciul de Informații și Securitate</w:t>
            </w:r>
            <w:r w:rsidR="002347E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Centrul Național Anticorupție.</w:t>
            </w:r>
          </w:p>
        </w:tc>
      </w:tr>
      <w:tr w:rsidR="003304B8" w:rsidRPr="002C7674" w:rsidTr="0023650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B8" w:rsidRDefault="003304B8" w:rsidP="00236500">
            <w:pPr>
              <w:tabs>
                <w:tab w:val="left" w:pos="884"/>
                <w:tab w:val="left" w:pos="119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8.</w:t>
            </w:r>
            <w:r>
              <w:rPr>
                <w:rFonts w:ascii="Times New Roman" w:hAnsi="Times New Roman"/>
                <w:bCs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  <w:t>C</w:t>
            </w: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onstatările expertizei anticorupție</w:t>
            </w:r>
          </w:p>
        </w:tc>
      </w:tr>
      <w:tr w:rsidR="003304B8" w:rsidRPr="00A96818" w:rsidTr="0023650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B8" w:rsidRDefault="00A96818" w:rsidP="00236500">
            <w:pPr>
              <w:tabs>
                <w:tab w:val="left" w:pos="884"/>
                <w:tab w:val="left" w:pos="1196"/>
              </w:tabs>
              <w:spacing w:line="240" w:lineRule="auto"/>
              <w:ind w:firstLine="73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Va fi completat urmare a expertizei anticorupție.</w:t>
            </w:r>
          </w:p>
        </w:tc>
      </w:tr>
      <w:tr w:rsidR="003304B8" w:rsidTr="0023650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B8" w:rsidRDefault="003304B8" w:rsidP="00236500">
            <w:pPr>
              <w:tabs>
                <w:tab w:val="left" w:pos="884"/>
                <w:tab w:val="left" w:pos="119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9. Constatările expertizei de compatibilitate</w:t>
            </w:r>
          </w:p>
        </w:tc>
      </w:tr>
      <w:tr w:rsidR="003304B8" w:rsidRPr="00A96818" w:rsidTr="0023650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B8" w:rsidRPr="00A96818" w:rsidRDefault="003304B8" w:rsidP="00236500">
            <w:pPr>
              <w:tabs>
                <w:tab w:val="left" w:pos="884"/>
                <w:tab w:val="left" w:pos="1196"/>
              </w:tabs>
              <w:spacing w:line="240" w:lineRule="auto"/>
              <w:ind w:firstLine="73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lastRenderedPageBreak/>
              <w:t>Proiectul nu transpune legislația Uniunii Europene și nu necesită a fi avizat de Centrul de Armonizare a Legislației.</w:t>
            </w:r>
          </w:p>
        </w:tc>
      </w:tr>
      <w:tr w:rsidR="003304B8" w:rsidTr="0023650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B8" w:rsidRDefault="003304B8" w:rsidP="00236500">
            <w:pPr>
              <w:tabs>
                <w:tab w:val="left" w:pos="884"/>
                <w:tab w:val="left" w:pos="119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10. Constatările expertizei juridice</w:t>
            </w:r>
          </w:p>
        </w:tc>
      </w:tr>
      <w:tr w:rsidR="003304B8" w:rsidRPr="002347E7" w:rsidTr="0023650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674" w:rsidRPr="002C7674" w:rsidRDefault="00A96818" w:rsidP="00236500">
            <w:pPr>
              <w:tabs>
                <w:tab w:val="left" w:pos="884"/>
                <w:tab w:val="left" w:pos="1196"/>
              </w:tabs>
              <w:spacing w:line="240" w:lineRule="auto"/>
              <w:ind w:firstLine="73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Va fi completat urmare a expertizei juridice.</w:t>
            </w:r>
          </w:p>
        </w:tc>
      </w:tr>
      <w:tr w:rsidR="003304B8" w:rsidRPr="002C7674" w:rsidTr="0023650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B8" w:rsidRDefault="003304B8" w:rsidP="00236500">
            <w:pPr>
              <w:tabs>
                <w:tab w:val="left" w:pos="884"/>
                <w:tab w:val="left" w:pos="1196"/>
              </w:tabs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11. Constatările altor expertize</w:t>
            </w:r>
          </w:p>
        </w:tc>
      </w:tr>
      <w:tr w:rsidR="003304B8" w:rsidRPr="002347E7" w:rsidTr="00236500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4B8" w:rsidRDefault="003304B8" w:rsidP="00236500">
            <w:pPr>
              <w:tabs>
                <w:tab w:val="left" w:pos="884"/>
                <w:tab w:val="left" w:pos="1196"/>
              </w:tabs>
              <w:spacing w:line="240" w:lineRule="auto"/>
              <w:ind w:firstLine="73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Proiectul nu se referă la reglementarea activității de </w:t>
            </w:r>
            <w:r w:rsidR="00766EC6">
              <w:rPr>
                <w:rFonts w:ascii="Times New Roman" w:hAnsi="Times New Roman"/>
                <w:sz w:val="24"/>
                <w:szCs w:val="24"/>
                <w:lang w:val="ro-MD"/>
              </w:rPr>
              <w:t>întreprinzător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. Astfel, acesta nu trebuie examinat de Grupul de lucru pentru reglementarea activității de întreprinzător.</w:t>
            </w:r>
          </w:p>
        </w:tc>
      </w:tr>
    </w:tbl>
    <w:p w:rsidR="00F32297" w:rsidRDefault="00F32297" w:rsidP="003304B8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F4E99" w:rsidRDefault="00FF4E99" w:rsidP="003304B8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304B8" w:rsidRDefault="00A96818" w:rsidP="003304B8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Viceprim-ministru,</w:t>
      </w:r>
    </w:p>
    <w:p w:rsidR="00A96818" w:rsidRPr="002C7674" w:rsidRDefault="00A96818" w:rsidP="003304B8">
      <w:pPr>
        <w:spacing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Ministru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  <w:t>Andrei SPÎNU</w:t>
      </w:r>
      <w:bookmarkEnd w:id="0"/>
    </w:p>
    <w:sectPr w:rsidR="00A96818" w:rsidRPr="002C7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B3E"/>
    <w:rsid w:val="000728E7"/>
    <w:rsid w:val="00086022"/>
    <w:rsid w:val="000B5B62"/>
    <w:rsid w:val="001B28EE"/>
    <w:rsid w:val="002347E7"/>
    <w:rsid w:val="002379A5"/>
    <w:rsid w:val="002C7674"/>
    <w:rsid w:val="003304B8"/>
    <w:rsid w:val="005A43D7"/>
    <w:rsid w:val="006C1252"/>
    <w:rsid w:val="00731425"/>
    <w:rsid w:val="00732B3E"/>
    <w:rsid w:val="00766EC6"/>
    <w:rsid w:val="0096399C"/>
    <w:rsid w:val="00A96818"/>
    <w:rsid w:val="00C72CF4"/>
    <w:rsid w:val="00EE5F37"/>
    <w:rsid w:val="00F32297"/>
    <w:rsid w:val="00FF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64B6E1-4E28-44A6-98B5-32D04475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4B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04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A4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10</cp:revision>
  <dcterms:created xsi:type="dcterms:W3CDTF">2021-06-07T08:12:00Z</dcterms:created>
  <dcterms:modified xsi:type="dcterms:W3CDTF">2021-11-23T08:24:00Z</dcterms:modified>
</cp:coreProperties>
</file>