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28" w:rsidRPr="00057998" w:rsidRDefault="00786928" w:rsidP="0034428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ro-RO" w:eastAsia="ru-RU"/>
        </w:rPr>
      </w:pPr>
      <w:r w:rsidRPr="00057998">
        <w:rPr>
          <w:rFonts w:ascii="Times New Roman" w:eastAsia="Calibri" w:hAnsi="Times New Roman" w:cs="Times New Roman"/>
          <w:b/>
          <w:noProof/>
          <w:sz w:val="26"/>
          <w:szCs w:val="26"/>
          <w:lang w:val="ro-RO" w:eastAsia="ru-RU"/>
        </w:rPr>
        <w:t>NOTĂ INFORMATIVĂ</w:t>
      </w:r>
    </w:p>
    <w:p w:rsidR="00FB747C" w:rsidRPr="00057998" w:rsidRDefault="00B4602B" w:rsidP="0034428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 w:eastAsia="ru-RU"/>
        </w:rPr>
      </w:pPr>
      <w:r w:rsidRPr="00057998">
        <w:rPr>
          <w:rFonts w:ascii="Times New Roman" w:eastAsia="Calibri" w:hAnsi="Times New Roman" w:cs="Times New Roman"/>
          <w:noProof/>
          <w:sz w:val="26"/>
          <w:szCs w:val="26"/>
          <w:lang w:val="ro-RO" w:eastAsia="ru-RU"/>
        </w:rPr>
        <w:t xml:space="preserve">la proiectul hotărârii Guvernului </w:t>
      </w:r>
      <w:r w:rsidR="0034428B" w:rsidRPr="00057998">
        <w:rPr>
          <w:rFonts w:ascii="Times New Roman" w:eastAsia="Calibri" w:hAnsi="Times New Roman" w:cs="Times New Roman"/>
          <w:sz w:val="26"/>
          <w:szCs w:val="26"/>
          <w:lang w:val="ro-RO" w:eastAsia="ru-RU"/>
        </w:rPr>
        <w:t xml:space="preserve">cu privire la modificarea </w:t>
      </w:r>
    </w:p>
    <w:p w:rsidR="00761345" w:rsidRPr="00057998" w:rsidRDefault="0034428B" w:rsidP="0034428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ro-RO" w:eastAsia="ru-RU"/>
        </w:rPr>
      </w:pPr>
      <w:r w:rsidRPr="00057998">
        <w:rPr>
          <w:rFonts w:ascii="Times New Roman" w:eastAsia="Calibri" w:hAnsi="Times New Roman" w:cs="Times New Roman"/>
          <w:sz w:val="26"/>
          <w:szCs w:val="26"/>
          <w:lang w:val="ro-RO" w:eastAsia="ru-RU"/>
        </w:rPr>
        <w:t>unor hotărâri ale Guvernului</w:t>
      </w:r>
      <w:r w:rsidRPr="00057998">
        <w:rPr>
          <w:rFonts w:ascii="Times New Roman" w:eastAsia="Calibri" w:hAnsi="Times New Roman" w:cs="Times New Roman"/>
          <w:noProof/>
          <w:sz w:val="26"/>
          <w:szCs w:val="26"/>
          <w:lang w:val="ro-RO" w:eastAsia="ru-RU"/>
        </w:rPr>
        <w:t xml:space="preserve"> </w:t>
      </w:r>
      <w:r w:rsidR="00DA6F29" w:rsidRPr="00057998">
        <w:rPr>
          <w:rFonts w:ascii="Times New Roman" w:eastAsia="Calibri" w:hAnsi="Times New Roman" w:cs="Times New Roman"/>
          <w:noProof/>
          <w:sz w:val="26"/>
          <w:szCs w:val="26"/>
          <w:lang w:val="ro-RO" w:eastAsia="ru-RU"/>
        </w:rPr>
        <w:t>și abrogarea unei hotărâri de Guvern</w:t>
      </w:r>
      <w:r w:rsidR="00761345" w:rsidRPr="00057998">
        <w:rPr>
          <w:rFonts w:ascii="Times New Roman" w:eastAsia="Calibri" w:hAnsi="Times New Roman" w:cs="Times New Roman"/>
          <w:noProof/>
          <w:sz w:val="26"/>
          <w:szCs w:val="26"/>
          <w:lang w:val="ro-RO" w:eastAsia="ru-RU"/>
        </w:rPr>
        <w:t xml:space="preserve"> </w:t>
      </w:r>
    </w:p>
    <w:p w:rsidR="00B4602B" w:rsidRPr="00057998" w:rsidRDefault="00761345" w:rsidP="0034428B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26"/>
          <w:szCs w:val="26"/>
          <w:lang w:val="ro-RO" w:eastAsia="ru-RU"/>
        </w:rPr>
      </w:pPr>
      <w:r w:rsidRPr="00057998">
        <w:rPr>
          <w:rFonts w:ascii="Times New Roman" w:eastAsia="Calibri" w:hAnsi="Times New Roman" w:cs="Times New Roman"/>
          <w:i/>
          <w:noProof/>
          <w:sz w:val="26"/>
          <w:szCs w:val="26"/>
          <w:lang w:val="ro-RO" w:eastAsia="ru-RU"/>
        </w:rPr>
        <w:t>(număr unic 395/MAI/2021)</w:t>
      </w:r>
    </w:p>
    <w:p w:rsidR="0034428B" w:rsidRPr="00057998" w:rsidRDefault="0034428B" w:rsidP="0034428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ro-RO" w:eastAsia="ru-RU"/>
        </w:rPr>
      </w:pPr>
    </w:p>
    <w:tbl>
      <w:tblPr>
        <w:tblW w:w="5229" w:type="pct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0"/>
      </w:tblGrid>
      <w:tr w:rsidR="00B4602B" w:rsidRPr="00D13BED" w:rsidTr="008D3D95">
        <w:trPr>
          <w:trHeight w:val="279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6D6FAE">
            <w:pPr>
              <w:numPr>
                <w:ilvl w:val="3"/>
                <w:numId w:val="1"/>
              </w:numPr>
              <w:tabs>
                <w:tab w:val="clear" w:pos="2880"/>
                <w:tab w:val="num" w:pos="0"/>
                <w:tab w:val="left" w:pos="284"/>
                <w:tab w:val="left" w:pos="1196"/>
              </w:tabs>
              <w:spacing w:after="0" w:line="240" w:lineRule="auto"/>
              <w:ind w:left="0" w:firstLine="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 xml:space="preserve"> Denumirea autorului şi, după caz, a participanților la elaborarea proiectului</w:t>
            </w:r>
          </w:p>
        </w:tc>
      </w:tr>
      <w:tr w:rsidR="00B4602B" w:rsidRPr="00D13BED" w:rsidTr="00FB747C">
        <w:trPr>
          <w:trHeight w:val="290"/>
        </w:trPr>
        <w:tc>
          <w:tcPr>
            <w:tcW w:w="5000" w:type="pct"/>
          </w:tcPr>
          <w:p w:rsidR="00B4602B" w:rsidRPr="00057998" w:rsidRDefault="00B4602B" w:rsidP="00DE5966">
            <w:pPr>
              <w:tabs>
                <w:tab w:val="left" w:pos="884"/>
                <w:tab w:val="left" w:pos="1196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Proiectul a fost elaborat de Ministerul Afacerilor Interne. </w:t>
            </w:r>
          </w:p>
        </w:tc>
      </w:tr>
      <w:tr w:rsidR="00B4602B" w:rsidRPr="00D13BED" w:rsidTr="008D3D95">
        <w:trPr>
          <w:trHeight w:val="287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99116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2. Condiţiile ce au impus elaborarea proiectului de act normativ şi finalitățile urmărite</w:t>
            </w:r>
          </w:p>
        </w:tc>
      </w:tr>
      <w:tr w:rsidR="00B4602B" w:rsidRPr="00D13BED" w:rsidTr="00DA6F29">
        <w:trPr>
          <w:trHeight w:val="4618"/>
        </w:trPr>
        <w:tc>
          <w:tcPr>
            <w:tcW w:w="5000" w:type="pct"/>
          </w:tcPr>
          <w:p w:rsidR="00436C76" w:rsidRPr="00057998" w:rsidRDefault="006962D2" w:rsidP="00DE5966">
            <w:pPr>
              <w:tabs>
                <w:tab w:val="left" w:pos="632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Proiectul hotărârii Guvernului cu privire la modificarea unor hotărâri ale Guvernului </w:t>
            </w:r>
            <w:r w:rsidR="00DA6F29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și abrogarea unei hotărâri de Guvern </w:t>
            </w:r>
            <w:r w:rsidR="004B3ED2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a fost 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elaborat în</w:t>
            </w:r>
            <w:r w:rsidR="001A1CF7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tru executarea</w:t>
            </w:r>
            <w:r w:rsidR="00C65FFD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art.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32 </w:t>
            </w:r>
            <w:r w:rsidR="001A1CF7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alin.(2) lit.</w:t>
            </w:r>
            <w:r w:rsidR="001A1556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a) din Legea nr.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104/2020 cu privire la rezervele de stat şi de mobilizare, potrivit căruia </w:t>
            </w:r>
            <w:r w:rsidR="00333EB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Guvernul</w:t>
            </w:r>
            <w:r w:rsidR="00A15B1A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, în termen de 6 luni de la data intrării în vigoare</w:t>
            </w:r>
            <w:r w:rsidR="00F9234D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a </w:t>
            </w:r>
            <w:r w:rsidR="006C4B84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prezentei legi</w:t>
            </w:r>
            <w:r w:rsidR="002A28BA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,</w:t>
            </w:r>
            <w:r w:rsidR="00A15B1A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9F170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urmează să aducă actele </w:t>
            </w:r>
            <w:r w:rsidR="009F05F9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sale în concordanță cu prevederile </w:t>
            </w:r>
            <w:r w:rsidR="00675B1D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acesteia</w:t>
            </w:r>
            <w:r w:rsidR="009F05F9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.</w:t>
            </w:r>
            <w:r w:rsidR="00C84B6B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A135F0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Totodată, </w:t>
            </w:r>
            <w:r w:rsidR="00C84B6B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elaborarea proiectului în cauză se regăsește în Planul de acțiuni</w:t>
            </w:r>
            <w:r w:rsidR="00310C3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al Guvernului pentru anii 2021</w:t>
            </w:r>
            <w:r w:rsidR="00C84B6B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–</w:t>
            </w:r>
            <w:r w:rsidR="00952AD4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2022, aprobat prin Hotărârea Guvernului nr.235/2021 (acțiunea 24.6.2). </w:t>
            </w:r>
          </w:p>
          <w:p w:rsidR="00DE5966" w:rsidRPr="00057998" w:rsidRDefault="00675B1D" w:rsidP="00DE5966">
            <w:pPr>
              <w:tabs>
                <w:tab w:val="left" w:pos="632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>Proiectul are drept scop</w:t>
            </w:r>
            <w:r w:rsidR="00952AD4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 aducerea actelor normative ale Guvernului în concordanță c</w:t>
            </w:r>
            <w:r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u prevederile Legii nr.104/2020 </w:t>
            </w:r>
            <w:r w:rsidR="00761345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>și</w:t>
            </w:r>
            <w:r w:rsidR="00F9234D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 implement</w:t>
            </w:r>
            <w:r w:rsidR="00761345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>area</w:t>
            </w:r>
            <w:r w:rsidR="00F9234D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 </w:t>
            </w:r>
            <w:r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acesteia. </w:t>
            </w:r>
          </w:p>
          <w:p w:rsidR="00DE5966" w:rsidRPr="00057998" w:rsidRDefault="00675B1D" w:rsidP="00DE5966">
            <w:pPr>
              <w:tabs>
                <w:tab w:val="left" w:pos="632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Proiectul are drept obiectiv uniformizarea prevederilor legale în domeniul rezervelor de stat și de mobilizare și crearea unui cadru normativ unitar. </w:t>
            </w:r>
          </w:p>
          <w:p w:rsidR="00AF5E4E" w:rsidRPr="00057998" w:rsidRDefault="00590E19" w:rsidP="00DE5966">
            <w:pPr>
              <w:tabs>
                <w:tab w:val="left" w:pos="632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În </w:t>
            </w:r>
            <w:r w:rsidR="00952AD4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>acest sens</w:t>
            </w:r>
            <w:r w:rsidR="00724623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>,</w:t>
            </w:r>
            <w:r w:rsidR="001D6F7E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 </w:t>
            </w:r>
            <w:r w:rsidR="005843CC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>se propune modificarea</w:t>
            </w:r>
            <w:r w:rsidR="001D6F7E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 următoarelor acte normative</w:t>
            </w:r>
            <w:r w:rsidR="00675B1D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 ale Guvernului</w:t>
            </w:r>
            <w:r w:rsidR="001D6F7E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>:</w:t>
            </w:r>
            <w:r w:rsidR="005843CC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 </w:t>
            </w:r>
            <w:r w:rsidR="00675B1D" w:rsidRPr="00057998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 w:eastAsia="ru-RU"/>
              </w:rPr>
              <w:t xml:space="preserve">a </w:t>
            </w:r>
            <w:r w:rsidR="001D6F7E" w:rsidRPr="00057998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  <w:lang w:val="ro-RO" w:eastAsia="ru-RU"/>
              </w:rPr>
              <w:t>Hotărâr</w:t>
            </w:r>
            <w:r w:rsidR="00DA6F29" w:rsidRPr="00057998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  <w:lang w:val="ro-RO" w:eastAsia="ru-RU"/>
              </w:rPr>
              <w:t>ii</w:t>
            </w:r>
            <w:r w:rsidR="005843CC" w:rsidRPr="00057998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  <w:lang w:val="ro-RO" w:eastAsia="ru-RU"/>
              </w:rPr>
              <w:t xml:space="preserve"> Guvernului </w:t>
            </w:r>
            <w:r w:rsidR="005843CC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nr.268/2009 cu privire la aprobarea Conceptului tehnic al Sistemului informațional automatizat ”Registrul rez</w:t>
            </w:r>
            <w:r w:rsidR="001D6F7E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ervelor materiale ale statului”;</w:t>
            </w:r>
            <w:r w:rsidR="00A56DD8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</w:t>
            </w:r>
            <w:r w:rsidR="001D6F7E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Hotărâr</w:t>
            </w:r>
            <w:r w:rsidR="00DA6F29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ii</w:t>
            </w:r>
            <w:r w:rsidR="00A56DD8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Guvernului nr.605/2013 cu privire la atribuțiile Prim-</w:t>
            </w:r>
            <w:r w:rsidR="00DC59F7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ministrului</w:t>
            </w:r>
            <w:r w:rsidR="00A56DD8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și ale viceprim-miniștrilor</w:t>
            </w:r>
            <w:r w:rsidR="00BC66EF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; </w:t>
            </w:r>
            <w:r w:rsidR="00171813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Hotărâr</w:t>
            </w:r>
            <w:r w:rsidR="00DA6F29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ii</w:t>
            </w:r>
            <w:r w:rsidR="00171813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Guvernului nr.693/2017 cu privire la organizarea și funcționarea Ministerului Afacerilor Interne </w:t>
            </w:r>
            <w:r w:rsidR="00171813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="00171813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a Hotărâr</w:t>
            </w:r>
            <w:r w:rsidR="00DA6F29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ii</w:t>
            </w:r>
            <w:r w:rsidR="00171813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Guvernului nr.946/2018 </w:t>
            </w:r>
            <w:r w:rsidR="003E24F0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cu privire la organizarea și funcționarea Agenției Rezerve Materiale</w:t>
            </w:r>
            <w:r w:rsidR="00DA6F29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, </w:t>
            </w:r>
            <w:r w:rsidR="00DA6F29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dar</w:t>
            </w:r>
            <w:r w:rsidR="00DA6F29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</w:t>
            </w:r>
            <w:r w:rsidR="00DA6F29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 abrogarea</w:t>
            </w:r>
            <w:r w:rsidR="00DA6F29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</w:t>
            </w:r>
            <w:r w:rsidR="00DA6F29" w:rsidRPr="00057998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  <w:lang w:val="ro-RO" w:eastAsia="ru-RU"/>
              </w:rPr>
              <w:t>Hotărârii Guvernului nr.128/2009 pentru aprobarea Regulamentului cu privire la rezervele cerealiere de stat.</w:t>
            </w:r>
          </w:p>
        </w:tc>
      </w:tr>
      <w:tr w:rsidR="00B4602B" w:rsidRPr="00D13BED" w:rsidTr="004619DA">
        <w:trPr>
          <w:trHeight w:val="387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99116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B4602B" w:rsidRPr="00D13BED" w:rsidTr="00ED28D9">
        <w:trPr>
          <w:trHeight w:val="638"/>
        </w:trPr>
        <w:tc>
          <w:tcPr>
            <w:tcW w:w="5000" w:type="pct"/>
          </w:tcPr>
          <w:p w:rsidR="00B4602B" w:rsidRPr="00057998" w:rsidRDefault="00B4602B" w:rsidP="00DE5966">
            <w:pPr>
              <w:tabs>
                <w:tab w:val="left" w:pos="884"/>
                <w:tab w:val="left" w:pos="1196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Proiectul nu are drept scop armonizarea legislaţiei naţionale cu legislaţia Uniunii Europene. </w:t>
            </w:r>
          </w:p>
        </w:tc>
      </w:tr>
      <w:tr w:rsidR="00B4602B" w:rsidRPr="00D13BED" w:rsidTr="004619DA">
        <w:trPr>
          <w:trHeight w:val="279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B4602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4. Principalele prevederi ale proiectului şi evidențierea elementelor noi</w:t>
            </w:r>
          </w:p>
        </w:tc>
      </w:tr>
      <w:tr w:rsidR="00B4602B" w:rsidRPr="00D13BED" w:rsidTr="00FB747C">
        <w:trPr>
          <w:trHeight w:val="290"/>
        </w:trPr>
        <w:tc>
          <w:tcPr>
            <w:tcW w:w="5000" w:type="pct"/>
          </w:tcPr>
          <w:p w:rsidR="00B2767B" w:rsidRPr="00057998" w:rsidRDefault="00EF4974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Legea nr.104/2020 cu privire la rezervele de stat și de mobilizare </w:t>
            </w:r>
            <w:r w:rsidR="00866C32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oferă</w:t>
            </w:r>
            <w:r w:rsidR="00FA61B4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o viziune nouă asupra domeniului rezervel</w:t>
            </w:r>
            <w:r w:rsidR="0004778E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or</w:t>
            </w:r>
            <w:r w:rsidR="00FA61B4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de stat și de mobilizare și</w:t>
            </w:r>
            <w:r w:rsidR="009B691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stabile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ște</w:t>
            </w:r>
            <w:r w:rsidR="009B691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atribuții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separate pentru toți subiecții</w:t>
            </w:r>
            <w:r w:rsidR="009B691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implicați în </w:t>
            </w:r>
            <w:r w:rsidR="00E1624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acest domeniu</w:t>
            </w:r>
            <w:r w:rsidR="009B691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. </w:t>
            </w:r>
          </w:p>
          <w:p w:rsidR="00B2767B" w:rsidRPr="00057998" w:rsidRDefault="00866C32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Prin Legea menționată</w:t>
            </w:r>
            <w:r w:rsidR="00E1624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EF4974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au fost revizuite o serie de noțiuni și termeni care nu mai sunt actuali, in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mod prioritar - </w:t>
            </w:r>
            <w:r w:rsidR="009B691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noțiunea de ”</w:t>
            </w:r>
            <w:r w:rsidR="009B691C" w:rsidRPr="00057998">
              <w:rPr>
                <w:rFonts w:ascii="Times New Roman" w:eastAsia="Calibri" w:hAnsi="Times New Roman" w:cs="Times New Roman"/>
                <w:i/>
                <w:sz w:val="26"/>
                <w:szCs w:val="26"/>
                <w:lang w:val="ro-RO" w:eastAsia="ru-RU"/>
              </w:rPr>
              <w:t>rezerve materiale ale statului</w:t>
            </w:r>
            <w:r w:rsidR="009B691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”, care încorpora totalitatea rezervelor de stat și de mobilizare</w:t>
            </w:r>
            <w:r w:rsidR="00141AC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, lăsând loc de interpretare</w:t>
            </w:r>
            <w:r w:rsidR="009B691C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,</w:t>
            </w:r>
            <w:r w:rsidR="00EF4974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141AC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fiind astfel </w:t>
            </w:r>
            <w:r w:rsidR="00746026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expusă</w:t>
            </w:r>
            <w:r w:rsidR="00141AC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în redacție nouă, prin delimitarea rezervelor de stat și a celor de mobilizare</w:t>
            </w:r>
            <w:r w:rsidR="007356ED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,</w:t>
            </w:r>
            <w:r w:rsidR="00141AC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în fun</w:t>
            </w:r>
            <w:r w:rsidR="00AD6AC9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c</w:t>
            </w:r>
            <w:r w:rsidR="00141AC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ție de scopul și destinația acestora.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</w:p>
          <w:p w:rsidR="00B2767B" w:rsidRPr="00057998" w:rsidRDefault="00866C32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Astfel</w:t>
            </w:r>
            <w:r w:rsidR="006A1289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, se </w:t>
            </w:r>
            <w:r w:rsidR="005C365B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propune</w:t>
            </w:r>
            <w:r w:rsidR="006A1289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5C365B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modificarea</w:t>
            </w:r>
            <w:r w:rsidR="003C2D2E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5C365B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următoarelor acte normative ale Guvernului:</w:t>
            </w:r>
          </w:p>
          <w:p w:rsidR="00B2767B" w:rsidRPr="00057998" w:rsidRDefault="00DA6F29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1</w:t>
            </w:r>
            <w:r w:rsidR="007A1C4B"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.</w:t>
            </w:r>
            <w:r w:rsidR="007A1C4B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7A1C4B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Hotărâr</w:t>
            </w:r>
            <w:r w:rsidR="00076CC4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ea</w:t>
            </w:r>
            <w:r w:rsidR="007A1C4B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Guvernului nr.268/2009 cu privire la aprobarea Conceptului tehnic al Sistemului informațional automatizat ”Registrul rez</w:t>
            </w:r>
            <w:r w:rsidR="004B718D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ervelor materiale ale statului”.</w:t>
            </w:r>
          </w:p>
          <w:p w:rsidR="00B2767B" w:rsidRPr="00057998" w:rsidRDefault="004B718D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Sistemul informațional automatizat </w:t>
            </w:r>
            <w:r w:rsidR="007B2CB5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menționat</w:t>
            </w: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constituie un registru electronic al rezervelor de stat și de mobilizare</w:t>
            </w:r>
            <w:r w:rsidR="00ED79CE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în care este introdusă lista bunurilor materiale din rezervele de stat și de mobil</w:t>
            </w:r>
            <w:r w:rsidR="003C68A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izare, confo</w:t>
            </w:r>
            <w:r w:rsidR="00DC59F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</w:t>
            </w:r>
            <w:r w:rsidR="003C68A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 Nomenclatoarelor, 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informațiile complementare și toate operațiunile efectuate cu acestea. Registrul este ținut de către Agenția Rezerve Materiale, </w:t>
            </w:r>
            <w:r w:rsidR="00EE3BB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accesul la acesta </w:t>
            </w:r>
            <w:r w:rsidR="00627062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fiind</w:t>
            </w:r>
            <w:r w:rsidR="00EE3BB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limitat.</w:t>
            </w:r>
            <w:r w:rsidR="00EE3BB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627062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Registrul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asigură gestionarea </w:t>
            </w:r>
            <w:r w:rsidR="00EE3BB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și </w:t>
            </w:r>
            <w:r w:rsidR="00DC59F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sistematizarea</w:t>
            </w:r>
            <w:r w:rsidR="00EE3BB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DC59F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eficientă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</w:t>
            </w:r>
            <w:r w:rsidR="00EE3BB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informațiilor referitoare la rezervele de stat și de mobilizare. </w:t>
            </w:r>
          </w:p>
          <w:p w:rsidR="00B2767B" w:rsidRPr="00057998" w:rsidRDefault="00EE3BBC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Pentru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adaptarea hotărârii date la prev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ederile Legii nr.104/2020 cu privire la rezervele de stat și de mobilizare</w:t>
            </w:r>
            <w:r w:rsidR="007A1C4B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textul acesteia a fost </w:t>
            </w:r>
            <w:r w:rsidR="006671C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revizui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tă</w:t>
            </w:r>
            <w:r w:rsidR="007A1C4B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C37BF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noțiunea de</w:t>
            </w:r>
            <w:r w:rsidR="007A1C4B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”rezerve materiale ale statului”, </w:t>
            </w:r>
            <w:r w:rsidR="006671C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iar </w:t>
            </w:r>
            <w:r w:rsidR="007A1C4B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cuvântul ”materiale”</w:t>
            </w:r>
            <w:r w:rsidR="007B2CB5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7A1C4B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când se face referire la rezervele de stat</w:t>
            </w:r>
            <w:r w:rsidR="006671C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9731F9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 fost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exclus.</w:t>
            </w:r>
            <w:r w:rsidR="0018211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031496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Totodată, noțiunile de bază </w:t>
            </w:r>
            <w:r w:rsidR="00C37BF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utilizate în cadrul sistemului sunt prezentate în redacția Legii nr.104/2020</w:t>
            </w:r>
            <w:r w:rsidR="0005759F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privire la rezervele de stat și de mobilizare, respectiv</w:t>
            </w:r>
            <w:r w:rsidR="00C37BF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se </w:t>
            </w:r>
            <w:r w:rsidR="0018211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modifică unele abreviaturi utilizate în cadrul sistemului</w:t>
            </w: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  <w:p w:rsidR="00B2767B" w:rsidRPr="00057998" w:rsidRDefault="00076CC4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Totodată, a suferit modificare și denumirea Hotărârii Guvernului, deoarece, prin</w:t>
            </w:r>
            <w:r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prisma art.7</w:t>
            </w:r>
            <w:r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o-RO"/>
              </w:rPr>
              <w:t>6</w:t>
            </w:r>
            <w:r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alin.(2) lit.a) și art.22 lit.d) din Legea nr.467/2003 cu privire la informatizare și la resur</w:t>
            </w:r>
            <w:r w:rsidR="000705BE"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sele informaționale de stat, în</w:t>
            </w:r>
            <w:r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titlul ș</w:t>
            </w:r>
            <w:r w:rsidR="002F558F"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i din conținutul acesteia,</w:t>
            </w:r>
            <w:r w:rsidR="000705BE"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din</w:t>
            </w:r>
            <w:r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textul „concept tehnic al sistemului informațional” a fost exclus cuvântul „tehnic”.</w:t>
            </w:r>
          </w:p>
          <w:p w:rsidR="00B2767B" w:rsidRPr="00057998" w:rsidRDefault="009731F9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Modificarea hotărârii date impune evaluarea și revizuirea sistemului informațional, cu elaborarea proiectului regulamentului cu privire la modalitatea de ținere a acestuia. </w:t>
            </w:r>
            <w:r w:rsidR="00F45093"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Acțiunea dată</w:t>
            </w:r>
            <w:r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va putea fi realizată doar în urma încheierii de către Agenția Rezerve Material</w:t>
            </w:r>
            <w:r w:rsidR="006638CF" w:rsidRPr="00057998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e a unui contract de mentenață, care, reieșind din caracterul specific al informației introduse ( în mare parte cu grifa „secret”), implică surse financiare considerabile, alocate de la bugetul de stat.</w:t>
            </w:r>
          </w:p>
          <w:p w:rsidR="00B2767B" w:rsidRPr="00057998" w:rsidRDefault="00DA6F29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  <w:r w:rsidR="009F170C" w:rsidRPr="0005799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. </w:t>
            </w:r>
            <w:r w:rsidR="009F170C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Hotărârea Guvernului nr.605/2013</w:t>
            </w:r>
            <w:r w:rsidR="009F170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privire la atribuțiile Prim-</w:t>
            </w:r>
            <w:r w:rsidR="00EC5114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ministrului</w:t>
            </w:r>
            <w:r w:rsidR="009F170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ale viceprim-miniștrilor se completează</w:t>
            </w:r>
            <w:r w:rsidR="007B2CB5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9F170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 conformitate cu art.</w:t>
            </w:r>
            <w:r w:rsidR="0053592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3 alin. (2) din Legea nr.104/2020 cu privire la rezervele de stat și de mobilizare, </w:t>
            </w:r>
            <w:r w:rsidR="009F170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cu </w:t>
            </w:r>
            <w:r w:rsidR="0053592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 prevedere nouă</w:t>
            </w:r>
            <w:r w:rsidR="00C37BF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care </w:t>
            </w:r>
            <w:r w:rsidR="00076CC4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stabilește </w:t>
            </w:r>
            <w:r w:rsidR="00C37BF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atribuția Prim-ministru</w:t>
            </w:r>
            <w:r w:rsidR="009741D9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lui</w:t>
            </w:r>
            <w:r w:rsidR="00C37BF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a dispune</w:t>
            </w:r>
            <w:r w:rsidR="004972A2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9F170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situați</w:t>
            </w:r>
            <w:r w:rsidR="00B64C54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</w:t>
            </w:r>
            <w:r w:rsidR="009F170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maximă urgență, provocate de anumite cazuri excepționale, eliberarea, de către Agenția Rezerve Materiale, a bunurilor din rezervele de stat și de mobilizare, cu elaborarea imediată și prezentarea spre aprobare a hotărârii de Guvern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. Acest fapt permite eliberarea rapidă a bunurilor din rezervele de stat și de mobilizare în scopul intervenției statului în protecția populației și lichidarea </w:t>
            </w:r>
            <w:r w:rsidR="00EC5114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consecinţelor</w:t>
            </w:r>
            <w:r w:rsidR="00BF36D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situațiilor de urgență/excepționale.</w:t>
            </w:r>
          </w:p>
          <w:p w:rsidR="00B2767B" w:rsidRPr="00057998" w:rsidRDefault="00DA6F29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  <w:r w:rsidR="00882D1C" w:rsidRPr="0005799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.</w:t>
            </w:r>
            <w:r w:rsidR="00882D1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5218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</w:t>
            </w:r>
            <w:r w:rsidR="00352181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Regulamentul privind organizarea și funcționarea Agenției Rezerve Materiale, aprobat prin Hotărârea Guvernului nr.946/2018,</w:t>
            </w:r>
            <w:r w:rsidR="0035218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urmează a fi modificate și completate </w:t>
            </w:r>
            <w:r w:rsidR="00DC59F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atât</w:t>
            </w:r>
            <w:r w:rsidR="0035218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funcțiile, </w:t>
            </w:r>
            <w:r w:rsidR="00DC59F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cât</w:t>
            </w:r>
            <w:r w:rsidR="0035218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atribuțiile principale și drepturile acesteia, cu aducerea în concordanță </w:t>
            </w:r>
            <w:r w:rsidR="00774F1D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</w:t>
            </w:r>
            <w:r w:rsidR="0035218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prevederile </w:t>
            </w:r>
            <w:r w:rsidR="00882D1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</w:t>
            </w:r>
            <w:r w:rsidR="0093440F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eg</w:t>
            </w:r>
            <w:r w:rsidR="000465E2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ii</w:t>
            </w:r>
            <w:r w:rsidR="0093440F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nr.104/2020 </w:t>
            </w:r>
            <w:r w:rsidR="00352181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 privire la rezervele de stat și de mobilizare, în special art.5.</w:t>
            </w:r>
          </w:p>
          <w:p w:rsidR="00B2767B" w:rsidRPr="00057998" w:rsidRDefault="00E8392C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Regulamentul a</w:t>
            </w:r>
            <w:r w:rsidR="00DA1F6F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fost completat</w:t>
            </w: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DA1F6F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cu atribuția Agenției, în calitate de autoritate responsabilă, de </w:t>
            </w:r>
            <w:r w:rsidR="00FC54E8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propune Guvernului spre aprobare, prin intermediul Ministerului Afacerilor Interne, proiectele </w:t>
            </w:r>
            <w:r w:rsidR="00DC59F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Nomenclatorului</w:t>
            </w:r>
            <w:r w:rsidR="003F6319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C54E8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bunurilor din rezervele de stat și</w:t>
            </w:r>
            <w:r w:rsidR="003F6319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Nomenclatorului bunurilor din rezervele </w:t>
            </w:r>
            <w:r w:rsidR="00FC54E8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mobilizare și de a stabili volumele maxime ale stocurilor și ale stocurilor intangibile, </w:t>
            </w:r>
            <w:r w:rsidR="00FC54E8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coordonate cu autoritățile publice centrale și de specialitate în domeniul rezervelor de stat și de mobilizare</w:t>
            </w:r>
            <w:r w:rsidR="00000BAD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 xml:space="preserve">, dar și de aplicare a prețurilor </w:t>
            </w:r>
            <w:r w:rsidR="00000BAD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la bunurile destinate eliberării din rezervele de stat și de mobilizare și la </w:t>
            </w:r>
            <w:r w:rsidR="00000BAD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bunurile confiscate</w:t>
            </w:r>
            <w:r w:rsidR="00774F1D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,</w:t>
            </w:r>
            <w:r w:rsidR="00000BAD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 xml:space="preserve"> destinate completării rezervel</w:t>
            </w:r>
            <w:r w:rsidR="00726F84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or</w:t>
            </w:r>
            <w:r w:rsidR="00000BAD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 xml:space="preserve"> de stat. Prețurile sunt stabilite de către Comisia mixtă pentru stabilirea </w:t>
            </w:r>
            <w:r w:rsidR="00DC59F7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prețurilor</w:t>
            </w:r>
            <w:r w:rsidR="00000BAD" w:rsidRPr="000579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 xml:space="preserve"> la bunurile din rezervele de stat şi de mobilizare,</w:t>
            </w:r>
            <w:r w:rsidR="00000BAD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conformitate cu Hotărârea Guvernului nr.5/2021 cu privire la modul de stabilire și aplicare a prețurilor la bunurile destinate stocării și eliberării în/din rezervele de stat și de mobilizare.</w:t>
            </w:r>
            <w:r w:rsidR="001760C8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asemenea,</w:t>
            </w:r>
            <w:r w:rsidR="000D700A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10B2D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Regulamentul a fost completat cu norme care prevăd</w:t>
            </w:r>
            <w:r w:rsidR="000D700A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că Agenția asigură efectuarea controlului rezervelor de stat și de mobilizare, în conformitate cu Regulamentul cu privire la controlul rezervel</w:t>
            </w:r>
            <w:r w:rsidR="000974BC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</w:t>
            </w:r>
            <w:r w:rsidR="000D700A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</w:t>
            </w:r>
            <w:r w:rsidR="00410B2D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stat și de mobilizare, aprobat</w:t>
            </w:r>
            <w:r w:rsidR="000D700A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prin </w:t>
            </w:r>
            <w:r w:rsidR="00DC59F7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Hotărârea</w:t>
            </w:r>
            <w:r w:rsidR="000D700A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Guvern</w:t>
            </w:r>
            <w:r w:rsidR="00410B2D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ului nr.4/2021, precum și atribuția directorului Agenției de a decide aplicarea sancțiunilor pecuniare prevăzute </w:t>
            </w:r>
            <w:r w:rsidR="00515F2B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</w:t>
            </w:r>
            <w:r w:rsidR="00410B2D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art.29 din Legea nr.104/2020 cu privire la rezervele de stat și de mobilizare.</w:t>
            </w:r>
          </w:p>
          <w:p w:rsidR="00B2767B" w:rsidRPr="00057998" w:rsidRDefault="000974BC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Totodată, r</w:t>
            </w:r>
            <w:r w:rsidR="001760C8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eieșind din considerentul că  rezervele de stat nu mai sunt specificate în Lege ca fiind „materiale”, se propune modificarea denumirilor Direcției adminis</w:t>
            </w: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trare rezerve materiale de stat</w:t>
            </w:r>
            <w:r w:rsidR="001760C8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a Centrului de gestionare a rezervelor materiale ale statului din structura </w:t>
            </w:r>
            <w:r w:rsidR="001760C8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Agenției Rezerve Materiale.</w:t>
            </w:r>
            <w:r w:rsidR="00410B2D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B2767B" w:rsidRPr="00057998" w:rsidRDefault="00410B2D" w:rsidP="00B2767B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acest context, </w:t>
            </w:r>
            <w:r w:rsidR="008B48D4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au fost operate modificări în </w:t>
            </w:r>
            <w:r w:rsidR="008B48D4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Regulamentul cu privire la organizarea și funcționarea Ministerului Afacerilor Interne, aprobat prin </w:t>
            </w:r>
            <w:r w:rsidR="00DC59F7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Hotărârea</w:t>
            </w:r>
            <w:r w:rsidR="008B48D4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Guvernului nr.</w:t>
            </w:r>
            <w:r w:rsidR="00DC59F7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693</w:t>
            </w:r>
            <w:r w:rsidR="001C63C3" w:rsidRPr="00057998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/2017, </w:t>
            </w:r>
            <w:r w:rsidR="0026554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prin excluderea cuvântului „materiale” din sintagma „rezerve</w:t>
            </w:r>
            <w:r w:rsidR="00BB3046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materiale</w:t>
            </w:r>
            <w:r w:rsidR="0026554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stat”, modificarea denumirii Serviciului politici în domeniul rezervelor materiale de stat și de mobilizare </w:t>
            </w:r>
            <w:r w:rsidR="00BB3046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din </w:t>
            </w:r>
            <w:r w:rsidR="0026554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structura aparatului central (anexa 2)</w:t>
            </w:r>
            <w:r w:rsidR="00BB3046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denumirea „Serviciul politici în domeniul rezervelor de stat și de mobilizare”, </w:t>
            </w:r>
            <w:r w:rsidR="0026554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cu reflectarea acesteia și în Organigrama aparatului central al ministerului </w:t>
            </w:r>
            <w:r w:rsidR="00BD1DAE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</w:t>
            </w:r>
            <w:r w:rsidR="00265540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anexa 3).</w:t>
            </w:r>
          </w:p>
          <w:p w:rsidR="002A2376" w:rsidRDefault="00B53903" w:rsidP="00B2767B">
            <w:pPr>
              <w:spacing w:after="0" w:line="240" w:lineRule="auto"/>
              <w:ind w:firstLine="692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Adițional, se propune abrogarea </w:t>
            </w:r>
            <w:r w:rsidR="004619DA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Hotărârii Guvernului </w:t>
            </w:r>
            <w:r w:rsidR="002A2376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nr.128/2009 pentru aprobarea Regulamentului cu privire la rezervele cerealiere de stat</w:t>
            </w:r>
            <w:r w:rsidR="00E259FE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aceasta</w:t>
            </w:r>
            <w:r w:rsidR="002A2376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fiind impusă de constatarea faptului că normele </w:t>
            </w:r>
            <w:r w:rsidR="00E259FE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Regulamentului, practic integral,</w:t>
            </w:r>
            <w:r w:rsidR="002A2376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reproduc prevederile Legii nr.104/202</w:t>
            </w:r>
            <w:r w:rsidR="00E259FE" w:rsidRPr="0005799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0. Totodată, reieșind din considerentul că produsele cerealiere sunt o categorie de bunuri din rezervele de stat asupra căreia se aplică ligislația similară celorlalte categorii de bunuri, decade necesitatea unui act normativ separat în acest sens.  </w:t>
            </w:r>
          </w:p>
          <w:p w:rsidR="00D13BED" w:rsidRPr="00D13BED" w:rsidRDefault="00D13BED" w:rsidP="00D13BED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D13BED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Prezenta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hotărâre</w:t>
            </w:r>
            <w:r w:rsidRPr="00D13BED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urmează să intre în vigoare la data publicării în Monitorul Oficial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,</w:t>
            </w:r>
            <w:r w:rsidRPr="00D13BED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reieșind din termenul restrâns în care Guvernul urma să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aducă actele sale în concordanță cu </w:t>
            </w:r>
            <w:r w:rsidRPr="00D13BED">
              <w:rPr>
                <w:rFonts w:ascii="Times New Roman" w:hAnsi="Times New Roman"/>
                <w:sz w:val="26"/>
                <w:szCs w:val="26"/>
                <w:lang w:val="ro-RO"/>
              </w:rPr>
              <w:t>în prevederile Legii nr. 104/2020 cu privire la rezervele de stat și de mobilizare.</w:t>
            </w:r>
          </w:p>
        </w:tc>
      </w:tr>
      <w:tr w:rsidR="00B4602B" w:rsidRPr="00057998" w:rsidTr="004619DA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B4602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lastRenderedPageBreak/>
              <w:t>5. Fundamentarea economico-financiară</w:t>
            </w:r>
          </w:p>
        </w:tc>
      </w:tr>
      <w:tr w:rsidR="00B4602B" w:rsidRPr="00D13BED" w:rsidTr="00FB747C">
        <w:trPr>
          <w:trHeight w:val="568"/>
        </w:trPr>
        <w:tc>
          <w:tcPr>
            <w:tcW w:w="5000" w:type="pct"/>
          </w:tcPr>
          <w:p w:rsidR="00B4602B" w:rsidRPr="00057998" w:rsidRDefault="00B4602B" w:rsidP="000774C3">
            <w:pPr>
              <w:widowControl w:val="0"/>
              <w:tabs>
                <w:tab w:val="left" w:pos="539"/>
                <w:tab w:val="left" w:pos="806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34" w:right="112" w:firstLine="62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o-RO"/>
              </w:rPr>
              <w:t>Im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plementarea proiectului nu necesită alocarea resurselor financiare </w:t>
            </w:r>
            <w:r w:rsidR="000774C3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din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bugetul de stat.</w:t>
            </w:r>
          </w:p>
        </w:tc>
      </w:tr>
      <w:tr w:rsidR="00B4602B" w:rsidRPr="00D13BED" w:rsidTr="004619DA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B4602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6. Modul de încorporare a actului în cadrul normativ în vigoare</w:t>
            </w:r>
          </w:p>
        </w:tc>
      </w:tr>
      <w:tr w:rsidR="00B4602B" w:rsidRPr="00D13BED" w:rsidTr="00641054">
        <w:trPr>
          <w:trHeight w:val="1555"/>
        </w:trPr>
        <w:tc>
          <w:tcPr>
            <w:tcW w:w="5000" w:type="pct"/>
          </w:tcPr>
          <w:p w:rsidR="005265A9" w:rsidRPr="00057998" w:rsidRDefault="006429B7" w:rsidP="00FF66F3">
            <w:pPr>
              <w:tabs>
                <w:tab w:val="left" w:pos="884"/>
                <w:tab w:val="left" w:pos="1196"/>
              </w:tabs>
              <w:spacing w:after="0" w:line="240" w:lineRule="auto"/>
              <w:ind w:firstLine="66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Proiectul a fost elaborat în scopul aducerii actelor Guvernului în concordanță cu prevederile Legii nr.104/2020 cu privire la rezervele de stat și de mobilizare. </w:t>
            </w:r>
          </w:p>
          <w:p w:rsidR="00B4602B" w:rsidRPr="00057998" w:rsidRDefault="00B4602B" w:rsidP="00FF66F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Urmare aprobării prezentului proiect va fi necesară </w:t>
            </w:r>
            <w:r w:rsidR="00710992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elaborarea </w:t>
            </w:r>
            <w:r w:rsidR="00FF66F3" w:rsidRPr="00057998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proiectului de hotărâre de Guvern privind aprobarea regulamentului cu privire la modalitatea de ținere a Registrului rezervelor de stat și de mobilizare.</w:t>
            </w:r>
          </w:p>
        </w:tc>
      </w:tr>
      <w:tr w:rsidR="00B4602B" w:rsidRPr="00D13BED" w:rsidTr="004619DA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B4602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7. Avizarea şi consultarea publică a proiectului</w:t>
            </w:r>
          </w:p>
        </w:tc>
      </w:tr>
      <w:tr w:rsidR="00B4602B" w:rsidRPr="00D13BED" w:rsidTr="00FB747C">
        <w:trPr>
          <w:trHeight w:val="368"/>
        </w:trPr>
        <w:tc>
          <w:tcPr>
            <w:tcW w:w="5000" w:type="pct"/>
          </w:tcPr>
          <w:p w:rsidR="00B4602B" w:rsidRPr="00057998" w:rsidRDefault="00B4602B" w:rsidP="005E1345">
            <w:pPr>
              <w:spacing w:after="0" w:line="240" w:lineRule="auto"/>
              <w:ind w:firstLine="66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În scopul res</w:t>
            </w:r>
            <w:r w:rsidR="006429B7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pectării prevederilor Legii nr.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239/2008 privind transparența în procesul decizional, </w:t>
            </w:r>
            <w:r w:rsidR="005E1345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proiectul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6429B7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hotărârii Guvernului cu privire la modificarea</w:t>
            </w:r>
            <w:r w:rsidR="00646247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6429B7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unor hotărâri ale Guvernu</w:t>
            </w:r>
            <w:r w:rsidR="00E503E0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lui</w:t>
            </w:r>
            <w:r w:rsidR="005E1345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și abrogarea unei hotărâri de Guvern urmează a fi</w:t>
            </w:r>
            <w:bookmarkStart w:id="0" w:name="_GoBack"/>
            <w:bookmarkEnd w:id="0"/>
            <w:r w:rsidR="006429B7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plasat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pe pagina-web oficială a Ministerului Afacerilor Interne și pe portalul </w:t>
            </w:r>
            <w:r w:rsidR="006429B7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consultativ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hyperlink r:id="rId9" w:history="1">
              <w:r w:rsidRPr="00057998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ro-RO" w:eastAsia="ru-RU"/>
                </w:rPr>
                <w:t>www.particip.gov.md</w:t>
              </w:r>
            </w:hyperlink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</w:tr>
      <w:tr w:rsidR="00B4602B" w:rsidRPr="00057998" w:rsidTr="004619DA">
        <w:trPr>
          <w:trHeight w:val="368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B4602B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8. Constatările expertizei juridice</w:t>
            </w:r>
          </w:p>
        </w:tc>
      </w:tr>
      <w:tr w:rsidR="00B4602B" w:rsidRPr="00D13BED" w:rsidTr="00FB747C">
        <w:trPr>
          <w:trHeight w:val="368"/>
        </w:trPr>
        <w:tc>
          <w:tcPr>
            <w:tcW w:w="5000" w:type="pct"/>
          </w:tcPr>
          <w:p w:rsidR="00B4602B" w:rsidRPr="00057998" w:rsidRDefault="006429B7" w:rsidP="00B4602B">
            <w:pPr>
              <w:spacing w:after="0"/>
              <w:ind w:firstLine="66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Proiectul urmează a fi supus </w:t>
            </w:r>
            <w:r w:rsidR="00310C3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repetat 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expertizei juridice. </w:t>
            </w:r>
          </w:p>
        </w:tc>
      </w:tr>
      <w:tr w:rsidR="00B4602B" w:rsidRPr="00057998" w:rsidTr="004619DA">
        <w:trPr>
          <w:trHeight w:val="368"/>
        </w:trPr>
        <w:tc>
          <w:tcPr>
            <w:tcW w:w="5000" w:type="pct"/>
            <w:shd w:val="clear" w:color="auto" w:fill="D9D9D9" w:themeFill="background1" w:themeFillShade="D9"/>
          </w:tcPr>
          <w:p w:rsidR="00B4602B" w:rsidRPr="00057998" w:rsidRDefault="00B4602B" w:rsidP="00B460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 w:eastAsia="ru-RU"/>
              </w:rPr>
              <w:t>9. Constatările expertizei anticorupție</w:t>
            </w:r>
          </w:p>
        </w:tc>
      </w:tr>
      <w:tr w:rsidR="00B4602B" w:rsidRPr="00D13BED" w:rsidTr="00FB747C">
        <w:trPr>
          <w:trHeight w:val="450"/>
        </w:trPr>
        <w:tc>
          <w:tcPr>
            <w:tcW w:w="5000" w:type="pct"/>
          </w:tcPr>
          <w:p w:rsidR="00B4602B" w:rsidRPr="00057998" w:rsidRDefault="006429B7" w:rsidP="00B4602B">
            <w:pPr>
              <w:spacing w:after="0"/>
              <w:ind w:firstLine="66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</w:pP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Proiectul urmează a f</w:t>
            </w:r>
            <w:r w:rsidR="00310C3F"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i supus expertizei anticorupție, după avizarea de către autoritățile interesate. </w:t>
            </w:r>
            <w:r w:rsidRPr="00057998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</w:p>
        </w:tc>
      </w:tr>
    </w:tbl>
    <w:p w:rsidR="003B3532" w:rsidRPr="00057998" w:rsidRDefault="003B3532" w:rsidP="003B3532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ro-RO" w:eastAsia="ru-RU"/>
        </w:rPr>
      </w:pPr>
    </w:p>
    <w:p w:rsidR="003B3532" w:rsidRPr="00057998" w:rsidRDefault="003B3532" w:rsidP="003B353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632F1C" w:rsidRPr="00057998" w:rsidRDefault="00632F1C" w:rsidP="003B353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3B3532" w:rsidRPr="00057998" w:rsidRDefault="003B3532" w:rsidP="003B3532">
      <w:pPr>
        <w:ind w:left="-540" w:right="-261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05799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632F1C" w:rsidRPr="00057998">
        <w:rPr>
          <w:rFonts w:ascii="Times New Roman" w:hAnsi="Times New Roman" w:cs="Times New Roman"/>
          <w:b/>
          <w:sz w:val="26"/>
          <w:szCs w:val="26"/>
          <w:lang w:val="ro-MO"/>
        </w:rPr>
        <w:t xml:space="preserve">Secretar General </w:t>
      </w:r>
      <w:r w:rsidR="00632F1C" w:rsidRPr="00057998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632F1C" w:rsidRPr="00057998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632F1C" w:rsidRPr="00057998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632F1C" w:rsidRPr="00057998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632F1C" w:rsidRPr="00057998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632F1C" w:rsidRPr="00057998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632F1C" w:rsidRPr="00057998">
        <w:rPr>
          <w:rFonts w:ascii="Times New Roman" w:hAnsi="Times New Roman" w:cs="Times New Roman"/>
          <w:b/>
          <w:sz w:val="26"/>
          <w:szCs w:val="26"/>
          <w:lang w:val="ro-MO"/>
        </w:rPr>
        <w:tab/>
        <w:t xml:space="preserve">              Serghei DIACONU </w:t>
      </w:r>
    </w:p>
    <w:p w:rsidR="00774F1D" w:rsidRPr="00057998" w:rsidRDefault="00774F1D" w:rsidP="003B3532">
      <w:pPr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74F1D" w:rsidRPr="00057998" w:rsidSect="00310C3F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09" w:right="92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40" w:rsidRDefault="00637140">
      <w:pPr>
        <w:spacing w:after="0" w:line="240" w:lineRule="auto"/>
      </w:pPr>
      <w:r>
        <w:separator/>
      </w:r>
    </w:p>
  </w:endnote>
  <w:endnote w:type="continuationSeparator" w:id="0">
    <w:p w:rsidR="00637140" w:rsidRDefault="0063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D9" w:rsidRDefault="00585342" w:rsidP="00FB74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D28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28D9" w:rsidRDefault="00ED28D9" w:rsidP="00FB74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D9" w:rsidRPr="00820025" w:rsidRDefault="00ED28D9" w:rsidP="00FB747C">
    <w:pPr>
      <w:pStyle w:val="a5"/>
      <w:jc w:val="right"/>
      <w:rPr>
        <w:rFonts w:ascii="Times New Roman" w:hAnsi="Times New Roman"/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D9" w:rsidRPr="00820025" w:rsidRDefault="00ED28D9" w:rsidP="00FB747C">
    <w:pPr>
      <w:pStyle w:val="a5"/>
      <w:jc w:val="right"/>
      <w:rPr>
        <w:rFonts w:ascii="Times New Roman" w:hAnsi="Times New Roman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40" w:rsidRDefault="00637140">
      <w:pPr>
        <w:spacing w:after="0" w:line="240" w:lineRule="auto"/>
      </w:pPr>
      <w:r>
        <w:separator/>
      </w:r>
    </w:p>
  </w:footnote>
  <w:footnote w:type="continuationSeparator" w:id="0">
    <w:p w:rsidR="00637140" w:rsidRDefault="0063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D9" w:rsidRPr="0019107C" w:rsidRDefault="00ED28D9" w:rsidP="00FB747C">
    <w:pPr>
      <w:pStyle w:val="a3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2D0"/>
    <w:rsid w:val="00000BAD"/>
    <w:rsid w:val="00002F66"/>
    <w:rsid w:val="00026939"/>
    <w:rsid w:val="00026D53"/>
    <w:rsid w:val="00027EC3"/>
    <w:rsid w:val="00031496"/>
    <w:rsid w:val="00032E8D"/>
    <w:rsid w:val="00043EF9"/>
    <w:rsid w:val="000465E2"/>
    <w:rsid w:val="00047644"/>
    <w:rsid w:val="0004778E"/>
    <w:rsid w:val="00053719"/>
    <w:rsid w:val="0005759F"/>
    <w:rsid w:val="00057998"/>
    <w:rsid w:val="000705BE"/>
    <w:rsid w:val="00076CC4"/>
    <w:rsid w:val="000774C3"/>
    <w:rsid w:val="0008014D"/>
    <w:rsid w:val="000841ED"/>
    <w:rsid w:val="000974BC"/>
    <w:rsid w:val="000D700A"/>
    <w:rsid w:val="000E65CB"/>
    <w:rsid w:val="000F61A2"/>
    <w:rsid w:val="001130CC"/>
    <w:rsid w:val="00126A3B"/>
    <w:rsid w:val="001359AD"/>
    <w:rsid w:val="00141ACF"/>
    <w:rsid w:val="001576FF"/>
    <w:rsid w:val="00171813"/>
    <w:rsid w:val="001760C8"/>
    <w:rsid w:val="00182110"/>
    <w:rsid w:val="001A1556"/>
    <w:rsid w:val="001A1CF7"/>
    <w:rsid w:val="001C63C3"/>
    <w:rsid w:val="001D6F7E"/>
    <w:rsid w:val="001F2D26"/>
    <w:rsid w:val="0021395B"/>
    <w:rsid w:val="0022579A"/>
    <w:rsid w:val="002308AC"/>
    <w:rsid w:val="00243AF8"/>
    <w:rsid w:val="00256DB2"/>
    <w:rsid w:val="00265540"/>
    <w:rsid w:val="00282859"/>
    <w:rsid w:val="00287EBB"/>
    <w:rsid w:val="002A2376"/>
    <w:rsid w:val="002A28BA"/>
    <w:rsid w:val="002A3538"/>
    <w:rsid w:val="002A4A39"/>
    <w:rsid w:val="002A4B4A"/>
    <w:rsid w:val="002C0E17"/>
    <w:rsid w:val="002E73ED"/>
    <w:rsid w:val="002F558F"/>
    <w:rsid w:val="00310C3F"/>
    <w:rsid w:val="003205C1"/>
    <w:rsid w:val="003206E2"/>
    <w:rsid w:val="00333EBF"/>
    <w:rsid w:val="0034428B"/>
    <w:rsid w:val="00352181"/>
    <w:rsid w:val="0035754D"/>
    <w:rsid w:val="00373439"/>
    <w:rsid w:val="003739B5"/>
    <w:rsid w:val="003817F0"/>
    <w:rsid w:val="00396C72"/>
    <w:rsid w:val="003A290A"/>
    <w:rsid w:val="003B3532"/>
    <w:rsid w:val="003C2D2E"/>
    <w:rsid w:val="003C643E"/>
    <w:rsid w:val="003C68A7"/>
    <w:rsid w:val="003D6AC5"/>
    <w:rsid w:val="003E24F0"/>
    <w:rsid w:val="003F0453"/>
    <w:rsid w:val="003F4A1D"/>
    <w:rsid w:val="003F6319"/>
    <w:rsid w:val="00400AEC"/>
    <w:rsid w:val="00410B2D"/>
    <w:rsid w:val="00410BD1"/>
    <w:rsid w:val="00412A5C"/>
    <w:rsid w:val="0042437F"/>
    <w:rsid w:val="00427B04"/>
    <w:rsid w:val="0043220A"/>
    <w:rsid w:val="00436C76"/>
    <w:rsid w:val="0045764B"/>
    <w:rsid w:val="004619DA"/>
    <w:rsid w:val="00464B1D"/>
    <w:rsid w:val="00475FB0"/>
    <w:rsid w:val="00481227"/>
    <w:rsid w:val="004972A2"/>
    <w:rsid w:val="004B3ED2"/>
    <w:rsid w:val="004B718D"/>
    <w:rsid w:val="00500038"/>
    <w:rsid w:val="00502B6F"/>
    <w:rsid w:val="0050579D"/>
    <w:rsid w:val="00513282"/>
    <w:rsid w:val="00515F2B"/>
    <w:rsid w:val="00516F13"/>
    <w:rsid w:val="00521E57"/>
    <w:rsid w:val="005265A9"/>
    <w:rsid w:val="00535921"/>
    <w:rsid w:val="00580404"/>
    <w:rsid w:val="00581631"/>
    <w:rsid w:val="00582A2D"/>
    <w:rsid w:val="005843CC"/>
    <w:rsid w:val="00585342"/>
    <w:rsid w:val="00590E19"/>
    <w:rsid w:val="005A2EA7"/>
    <w:rsid w:val="005B1EC9"/>
    <w:rsid w:val="005C365B"/>
    <w:rsid w:val="005D7226"/>
    <w:rsid w:val="005E1345"/>
    <w:rsid w:val="005E3422"/>
    <w:rsid w:val="00607914"/>
    <w:rsid w:val="00607C2A"/>
    <w:rsid w:val="006146CF"/>
    <w:rsid w:val="00627062"/>
    <w:rsid w:val="006309BE"/>
    <w:rsid w:val="00632F1C"/>
    <w:rsid w:val="00637140"/>
    <w:rsid w:val="00641054"/>
    <w:rsid w:val="006429B7"/>
    <w:rsid w:val="00646247"/>
    <w:rsid w:val="00651617"/>
    <w:rsid w:val="006638CF"/>
    <w:rsid w:val="006671C1"/>
    <w:rsid w:val="00675B1D"/>
    <w:rsid w:val="00686600"/>
    <w:rsid w:val="006962D2"/>
    <w:rsid w:val="006A1289"/>
    <w:rsid w:val="006B75A3"/>
    <w:rsid w:val="006C4B84"/>
    <w:rsid w:val="006C50FF"/>
    <w:rsid w:val="006D6FAE"/>
    <w:rsid w:val="006F5F1F"/>
    <w:rsid w:val="00702E59"/>
    <w:rsid w:val="00710992"/>
    <w:rsid w:val="00724623"/>
    <w:rsid w:val="007264E7"/>
    <w:rsid w:val="00726F84"/>
    <w:rsid w:val="007356ED"/>
    <w:rsid w:val="00737EA1"/>
    <w:rsid w:val="007430E0"/>
    <w:rsid w:val="00746026"/>
    <w:rsid w:val="007472B0"/>
    <w:rsid w:val="00750A6A"/>
    <w:rsid w:val="00761345"/>
    <w:rsid w:val="00774F1D"/>
    <w:rsid w:val="00775A7B"/>
    <w:rsid w:val="00786928"/>
    <w:rsid w:val="007A1C4B"/>
    <w:rsid w:val="007A3A27"/>
    <w:rsid w:val="007B2CB5"/>
    <w:rsid w:val="007E4B65"/>
    <w:rsid w:val="007F2473"/>
    <w:rsid w:val="007F58F5"/>
    <w:rsid w:val="00801124"/>
    <w:rsid w:val="0080659E"/>
    <w:rsid w:val="0081392A"/>
    <w:rsid w:val="00823CCE"/>
    <w:rsid w:val="00847012"/>
    <w:rsid w:val="00866C32"/>
    <w:rsid w:val="00882D1C"/>
    <w:rsid w:val="008853BB"/>
    <w:rsid w:val="008B48D4"/>
    <w:rsid w:val="008B6851"/>
    <w:rsid w:val="008D1E7A"/>
    <w:rsid w:val="008D3D95"/>
    <w:rsid w:val="008E495B"/>
    <w:rsid w:val="00902827"/>
    <w:rsid w:val="00906203"/>
    <w:rsid w:val="00906521"/>
    <w:rsid w:val="009069B4"/>
    <w:rsid w:val="00917D94"/>
    <w:rsid w:val="00931C06"/>
    <w:rsid w:val="0093440F"/>
    <w:rsid w:val="009472AF"/>
    <w:rsid w:val="00951514"/>
    <w:rsid w:val="00952AD4"/>
    <w:rsid w:val="00965C22"/>
    <w:rsid w:val="00967CDF"/>
    <w:rsid w:val="009731F9"/>
    <w:rsid w:val="009741D9"/>
    <w:rsid w:val="0098543C"/>
    <w:rsid w:val="009879E1"/>
    <w:rsid w:val="00991168"/>
    <w:rsid w:val="009952CA"/>
    <w:rsid w:val="009B691C"/>
    <w:rsid w:val="009C2C13"/>
    <w:rsid w:val="009E77DE"/>
    <w:rsid w:val="009E7B31"/>
    <w:rsid w:val="009F05F9"/>
    <w:rsid w:val="009F170C"/>
    <w:rsid w:val="009F7BC6"/>
    <w:rsid w:val="00A047C7"/>
    <w:rsid w:val="00A135F0"/>
    <w:rsid w:val="00A15B1A"/>
    <w:rsid w:val="00A56DD8"/>
    <w:rsid w:val="00A57934"/>
    <w:rsid w:val="00A863E2"/>
    <w:rsid w:val="00A968E7"/>
    <w:rsid w:val="00AB4751"/>
    <w:rsid w:val="00AC036B"/>
    <w:rsid w:val="00AD322A"/>
    <w:rsid w:val="00AD6AC9"/>
    <w:rsid w:val="00AF5E4E"/>
    <w:rsid w:val="00B23422"/>
    <w:rsid w:val="00B2767B"/>
    <w:rsid w:val="00B44F6C"/>
    <w:rsid w:val="00B4602B"/>
    <w:rsid w:val="00B53903"/>
    <w:rsid w:val="00B53D5A"/>
    <w:rsid w:val="00B64C54"/>
    <w:rsid w:val="00B86709"/>
    <w:rsid w:val="00BA3FFB"/>
    <w:rsid w:val="00BB3046"/>
    <w:rsid w:val="00BC2E53"/>
    <w:rsid w:val="00BC66EF"/>
    <w:rsid w:val="00BD1DAE"/>
    <w:rsid w:val="00BD2EA8"/>
    <w:rsid w:val="00BD4D39"/>
    <w:rsid w:val="00BE0456"/>
    <w:rsid w:val="00BE33CB"/>
    <w:rsid w:val="00BF36DC"/>
    <w:rsid w:val="00C17D40"/>
    <w:rsid w:val="00C37BF0"/>
    <w:rsid w:val="00C502D0"/>
    <w:rsid w:val="00C63AD6"/>
    <w:rsid w:val="00C65FFD"/>
    <w:rsid w:val="00C66353"/>
    <w:rsid w:val="00C7029F"/>
    <w:rsid w:val="00C84B6B"/>
    <w:rsid w:val="00D0107C"/>
    <w:rsid w:val="00D13BED"/>
    <w:rsid w:val="00D308F3"/>
    <w:rsid w:val="00D363A5"/>
    <w:rsid w:val="00D443F5"/>
    <w:rsid w:val="00D57E59"/>
    <w:rsid w:val="00D62755"/>
    <w:rsid w:val="00D64302"/>
    <w:rsid w:val="00D76CC8"/>
    <w:rsid w:val="00DA1F6F"/>
    <w:rsid w:val="00DA6F29"/>
    <w:rsid w:val="00DC59F7"/>
    <w:rsid w:val="00DD02EB"/>
    <w:rsid w:val="00DD3806"/>
    <w:rsid w:val="00DE37F9"/>
    <w:rsid w:val="00DE5966"/>
    <w:rsid w:val="00DF7AE4"/>
    <w:rsid w:val="00E1624C"/>
    <w:rsid w:val="00E259FE"/>
    <w:rsid w:val="00E33EC0"/>
    <w:rsid w:val="00E503E0"/>
    <w:rsid w:val="00E51019"/>
    <w:rsid w:val="00E72220"/>
    <w:rsid w:val="00E7622C"/>
    <w:rsid w:val="00E8392C"/>
    <w:rsid w:val="00EC1132"/>
    <w:rsid w:val="00EC5114"/>
    <w:rsid w:val="00ED0D6F"/>
    <w:rsid w:val="00ED13E9"/>
    <w:rsid w:val="00ED26D5"/>
    <w:rsid w:val="00ED28D9"/>
    <w:rsid w:val="00ED79CE"/>
    <w:rsid w:val="00EE3355"/>
    <w:rsid w:val="00EE3BBC"/>
    <w:rsid w:val="00EF4974"/>
    <w:rsid w:val="00EF62C7"/>
    <w:rsid w:val="00F05DE6"/>
    <w:rsid w:val="00F13EF7"/>
    <w:rsid w:val="00F174D2"/>
    <w:rsid w:val="00F22627"/>
    <w:rsid w:val="00F30ED4"/>
    <w:rsid w:val="00F31C02"/>
    <w:rsid w:val="00F45093"/>
    <w:rsid w:val="00F51A47"/>
    <w:rsid w:val="00F635D2"/>
    <w:rsid w:val="00F725D2"/>
    <w:rsid w:val="00F87C80"/>
    <w:rsid w:val="00F90F57"/>
    <w:rsid w:val="00F9234D"/>
    <w:rsid w:val="00FA61B4"/>
    <w:rsid w:val="00FB747C"/>
    <w:rsid w:val="00FC54E8"/>
    <w:rsid w:val="00FF4ACB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02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B4602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B4602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4602B"/>
    <w:rPr>
      <w:rFonts w:ascii="Calibri" w:eastAsia="Times New Roman" w:hAnsi="Calibri" w:cs="Times New Roman"/>
      <w:lang w:eastAsia="ru-RU"/>
    </w:rPr>
  </w:style>
  <w:style w:type="character" w:styleId="a7">
    <w:name w:val="page number"/>
    <w:rsid w:val="00B4602B"/>
    <w:rPr>
      <w:rFonts w:cs="Times New Roman"/>
    </w:rPr>
  </w:style>
  <w:style w:type="paragraph" w:styleId="a8">
    <w:name w:val="List Paragraph"/>
    <w:basedOn w:val="a"/>
    <w:uiPriority w:val="34"/>
    <w:qFormat/>
    <w:rsid w:val="007A1C4B"/>
    <w:pPr>
      <w:ind w:left="720"/>
      <w:contextualSpacing/>
    </w:pPr>
  </w:style>
  <w:style w:type="table" w:styleId="a9">
    <w:name w:val="Table Grid"/>
    <w:basedOn w:val="a1"/>
    <w:uiPriority w:val="59"/>
    <w:rsid w:val="00A0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71813"/>
    <w:rPr>
      <w:b/>
      <w:bCs/>
    </w:rPr>
  </w:style>
  <w:style w:type="paragraph" w:styleId="ab">
    <w:name w:val="Normal (Web)"/>
    <w:basedOn w:val="a"/>
    <w:uiPriority w:val="99"/>
    <w:semiHidden/>
    <w:unhideWhenUsed/>
    <w:rsid w:val="00DA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5D2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4322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432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02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B4602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B4602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4602B"/>
    <w:rPr>
      <w:rFonts w:ascii="Calibri" w:eastAsia="Times New Roman" w:hAnsi="Calibri" w:cs="Times New Roman"/>
      <w:lang w:eastAsia="ru-RU"/>
    </w:rPr>
  </w:style>
  <w:style w:type="character" w:styleId="a7">
    <w:name w:val="page number"/>
    <w:rsid w:val="00B4602B"/>
    <w:rPr>
      <w:rFonts w:cs="Times New Roman"/>
    </w:rPr>
  </w:style>
  <w:style w:type="paragraph" w:styleId="a8">
    <w:name w:val="List Paragraph"/>
    <w:basedOn w:val="a"/>
    <w:uiPriority w:val="34"/>
    <w:qFormat/>
    <w:rsid w:val="007A1C4B"/>
    <w:pPr>
      <w:ind w:left="720"/>
      <w:contextualSpacing/>
    </w:pPr>
  </w:style>
  <w:style w:type="table" w:styleId="a9">
    <w:name w:val="Table Grid"/>
    <w:basedOn w:val="a1"/>
    <w:uiPriority w:val="59"/>
    <w:rsid w:val="00A0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71813"/>
    <w:rPr>
      <w:b/>
      <w:bCs/>
    </w:rPr>
  </w:style>
  <w:style w:type="paragraph" w:styleId="ab">
    <w:name w:val="Normal (Web)"/>
    <w:basedOn w:val="a"/>
    <w:uiPriority w:val="99"/>
    <w:semiHidden/>
    <w:unhideWhenUsed/>
    <w:rsid w:val="00DA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5D2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4322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432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articip.gov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6384-21F1-4014-8F45-79E002B8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1577</Words>
  <Characters>8995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340</cp:revision>
  <cp:lastPrinted>2021-06-18T07:01:00Z</cp:lastPrinted>
  <dcterms:created xsi:type="dcterms:W3CDTF">2021-03-18T10:03:00Z</dcterms:created>
  <dcterms:modified xsi:type="dcterms:W3CDTF">2021-12-10T08:48:00Z</dcterms:modified>
</cp:coreProperties>
</file>