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83A60" w:rsidRPr="00470266" w14:paraId="33853142" w14:textId="77777777" w:rsidTr="00E83F8A">
        <w:trPr>
          <w:jc w:val="center"/>
        </w:trPr>
        <w:tc>
          <w:tcPr>
            <w:tcW w:w="10632" w:type="dxa"/>
            <w:shd w:val="clear" w:color="auto" w:fill="D9D9D9"/>
          </w:tcPr>
          <w:p w14:paraId="30FE8493" w14:textId="77777777" w:rsidR="00383A60" w:rsidRPr="00470266" w:rsidRDefault="00383A60" w:rsidP="00D70E7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4702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NOTĂ INFORMATIVĂ</w:t>
            </w:r>
          </w:p>
          <w:p w14:paraId="5301C149" w14:textId="10A710F4" w:rsidR="00884A82" w:rsidRPr="00470266" w:rsidRDefault="00383A60" w:rsidP="00884A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702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la proiectul hotărârii Guvernului </w:t>
            </w:r>
            <w:r w:rsidR="00884A82" w:rsidRPr="004702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cu privire la modificarea </w:t>
            </w:r>
            <w:proofErr w:type="spellStart"/>
            <w:r w:rsidR="00884A82" w:rsidRPr="004702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Hotărîrii</w:t>
            </w:r>
            <w:proofErr w:type="spellEnd"/>
            <w:r w:rsidR="00884A82" w:rsidRPr="004702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Guvernului nr. 750/2016 pentru aprobarea regulamentelor privind </w:t>
            </w:r>
            <w:proofErr w:type="spellStart"/>
            <w:r w:rsidR="00884A82" w:rsidRPr="004702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>cerinţele</w:t>
            </w:r>
            <w:proofErr w:type="spellEnd"/>
            <w:r w:rsidR="00884A82" w:rsidRPr="004702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  <w:t xml:space="preserve"> în materie de proiectare ecologică aplicabile produselor cu impact energetic și abrogarea unei hotărâri de guvern</w:t>
            </w:r>
          </w:p>
          <w:p w14:paraId="7AC2D31F" w14:textId="6F135070" w:rsidR="00383A60" w:rsidRPr="00470266" w:rsidRDefault="00383A60" w:rsidP="00D70E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F2A4426" w14:textId="77777777" w:rsidR="00383A60" w:rsidRPr="00470266" w:rsidRDefault="00383A60" w:rsidP="00D70E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tbl>
      <w:tblPr>
        <w:tblStyle w:val="1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83A60" w:rsidRPr="00470266" w14:paraId="29433AE5" w14:textId="77777777" w:rsidTr="00D70E7D">
        <w:tc>
          <w:tcPr>
            <w:tcW w:w="10632" w:type="dxa"/>
          </w:tcPr>
          <w:p w14:paraId="17BF8772" w14:textId="77777777" w:rsidR="00383A60" w:rsidRPr="00470266" w:rsidRDefault="00383A60" w:rsidP="00E83F8A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 Denumirea autorului și, după caz, a participanților la elaborarea proiectului</w:t>
            </w:r>
          </w:p>
          <w:p w14:paraId="29BBEB6B" w14:textId="38B4F6C9" w:rsidR="00383A60" w:rsidRPr="00470266" w:rsidRDefault="00383A60" w:rsidP="00380A76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4702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Proiectul 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hotărârii Guvernului</w:t>
            </w:r>
            <w:r w:rsidR="00380A7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cu privire la modificarea </w:t>
            </w:r>
            <w:proofErr w:type="spellStart"/>
            <w:r w:rsidR="00380A7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Hotărîrii</w:t>
            </w:r>
            <w:proofErr w:type="spellEnd"/>
            <w:r w:rsidR="00380A7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Guvernului nr. 750/2016 pentru aprobarea regulamentelor privind </w:t>
            </w:r>
            <w:proofErr w:type="spellStart"/>
            <w:r w:rsidR="00380A7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cerinţele</w:t>
            </w:r>
            <w:proofErr w:type="spellEnd"/>
            <w:r w:rsidR="00380A7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în materie de proiectare ecologică aplicabile produselor cu impact energetic și abrogarea unei hotărâri de guvern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, </w:t>
            </w:r>
            <w:r w:rsidR="00C57A37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a fost</w:t>
            </w:r>
            <w:r w:rsidRPr="00470266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elaborat de către Ministerul Economiei și Infrastructurii. </w:t>
            </w:r>
          </w:p>
        </w:tc>
      </w:tr>
      <w:tr w:rsidR="00383A60" w:rsidRPr="00470266" w14:paraId="50294355" w14:textId="77777777" w:rsidTr="00D70E7D">
        <w:tc>
          <w:tcPr>
            <w:tcW w:w="10632" w:type="dxa"/>
          </w:tcPr>
          <w:p w14:paraId="13372090" w14:textId="77777777" w:rsidR="00383A60" w:rsidRPr="00470266" w:rsidRDefault="00383A60" w:rsidP="00E83F8A">
            <w:pPr>
              <w:spacing w:before="12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 Condițiile ce au impus elaborarea proiectului actului normativ și finalitățile urmărite</w:t>
            </w:r>
          </w:p>
          <w:p w14:paraId="05D39169" w14:textId="08C9E3C6" w:rsidR="00C57A37" w:rsidRPr="00470266" w:rsidRDefault="00C57A37" w:rsidP="00C92989">
            <w:pPr>
              <w:spacing w:before="120"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În contextul implementării Acordului de Asociere Republica Moldova – Uniunea Europeană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ro-RO" w:eastAsia="ru-RU"/>
              </w:rPr>
              <w:footnoteReference w:id="1"/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, armonizării legislației în domeniul eficienței energetice la acquis-</w:t>
            </w:r>
            <w:proofErr w:type="spellStart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ul</w:t>
            </w:r>
            <w:proofErr w:type="spellEnd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Uniunii Europene din sectorul respectiv, precum și a angajamentelor asumate de către Republica Moldova în cadrul Tratatului Comunității Energetice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val="ro-RO" w:eastAsia="ru-RU"/>
              </w:rPr>
              <w:footnoteReference w:id="2"/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, Parlamentul Republicii Moldova a adoptat Legea nr.</w:t>
            </w:r>
            <w:r w:rsidR="00C92989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151/2014 privind </w:t>
            </w:r>
            <w:proofErr w:type="spellStart"/>
            <w:r w:rsidR="00C92989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cerinţele</w:t>
            </w:r>
            <w:proofErr w:type="spellEnd"/>
            <w:r w:rsidR="00C92989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în materie de proiectare ecologică</w:t>
            </w:r>
            <w:r w:rsidR="00CE2B4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C92989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aplicabile produselor cu impact energetic</w:t>
            </w:r>
            <w:r w:rsidRPr="0047026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o-RO" w:eastAsia="ru-RU"/>
              </w:rPr>
              <w:t>,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prin care a fost </w:t>
            </w:r>
            <w:r w:rsidR="00CE2B4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transpusă Directiva 2009/125/CE a Parlamentului European </w:t>
            </w:r>
            <w:proofErr w:type="spellStart"/>
            <w:r w:rsidR="00CE2B4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="00CE2B4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a Consiliului din 21 octombrie 2009 de instituire a unui cadru pentru stabilirea </w:t>
            </w:r>
            <w:proofErr w:type="spellStart"/>
            <w:r w:rsidR="00CE2B4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cerinţelor</w:t>
            </w:r>
            <w:proofErr w:type="spellEnd"/>
            <w:r w:rsidR="00CE2B4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în materie de proiectare ecologică aplicabile produselor cu impact energetic</w:t>
            </w:r>
            <w:r w:rsidR="002719FD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.</w:t>
            </w:r>
          </w:p>
          <w:p w14:paraId="341D78DA" w14:textId="4C6DFEF8" w:rsidR="00501998" w:rsidRPr="00470266" w:rsidRDefault="00C57A37" w:rsidP="007A0C4C">
            <w:pPr>
              <w:spacing w:before="120"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Astfel, în c</w:t>
            </w:r>
            <w:r w:rsidR="002719FD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onformitate cu prevederile art.</w:t>
            </w:r>
            <w:r w:rsidR="00DC5414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2719FD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5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, </w:t>
            </w:r>
            <w:r w:rsidR="002719FD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litera</w:t>
            </w:r>
            <w:r w:rsidR="00DC5414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a)</w:t>
            </w:r>
            <w:r w:rsidR="002719FD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din </w:t>
            </w:r>
            <w:r w:rsidR="00332F2E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Legea nr. 151/2014 privind </w:t>
            </w:r>
            <w:proofErr w:type="spellStart"/>
            <w:r w:rsidR="00332F2E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cerinţele</w:t>
            </w:r>
            <w:proofErr w:type="spellEnd"/>
            <w:r w:rsidR="00332F2E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în materie de proiectare ecologică aplicabile produselor cu impact energetic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, </w:t>
            </w:r>
            <w:r w:rsidR="00501998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unde 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se stipulează că </w:t>
            </w:r>
            <w:r w:rsidR="00332F2E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Ministerul </w:t>
            </w:r>
            <w:r w:rsidR="00B33903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Economiei și Infrastructurii </w:t>
            </w:r>
            <w:r w:rsidR="00332F2E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asigură elaborarea cadrului normativ pentru produsele cu impact energetic aferent proiectării ecologice</w:t>
            </w:r>
            <w:r w:rsidR="00501998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, </w:t>
            </w:r>
            <w:r w:rsidR="00674AF7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Ministerul a elaborat și promovat </w:t>
            </w:r>
            <w:proofErr w:type="spellStart"/>
            <w:r w:rsidR="00674AF7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Hotărîrea</w:t>
            </w:r>
            <w:proofErr w:type="spellEnd"/>
            <w:r w:rsidR="00674AF7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Guvernului nr. 750/2016 pentru aprobarea regulamentelor privind </w:t>
            </w:r>
            <w:proofErr w:type="spellStart"/>
            <w:r w:rsidR="00674AF7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cerinţele</w:t>
            </w:r>
            <w:proofErr w:type="spellEnd"/>
            <w:r w:rsidR="00674AF7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în materie de proiectare ecologică aplicabile produselor cu impact energetic</w:t>
            </w:r>
            <w:r w:rsidR="00501998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.</w:t>
            </w:r>
          </w:p>
          <w:p w14:paraId="39068884" w14:textId="754991C0" w:rsidR="00674AF7" w:rsidRPr="00470266" w:rsidRDefault="00DC5414" w:rsidP="007A0C4C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o-RO" w:eastAsia="ru-RU"/>
              </w:rPr>
            </w:pP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Regulamente</w:t>
            </w:r>
            <w:r w:rsidR="00444B3A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le </w:t>
            </w:r>
            <w:r w:rsidR="00501998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aprobate prin </w:t>
            </w:r>
            <w:proofErr w:type="spellStart"/>
            <w:r w:rsidR="00501998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Hotărîrea</w:t>
            </w:r>
            <w:proofErr w:type="spellEnd"/>
            <w:r w:rsidR="00501998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Guvernului 750/2016,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transpun </w:t>
            </w:r>
            <w:r w:rsidR="005313E3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Regulamente</w:t>
            </w:r>
            <w:r w:rsidR="00221C6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le</w:t>
            </w:r>
            <w:r w:rsidR="009A0EB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/ Directivele</w:t>
            </w:r>
            <w:r w:rsidR="00221C6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UE</w:t>
            </w:r>
            <w:r w:rsidR="005313E3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de punere în aplicare a Directivei </w:t>
            </w:r>
            <w:r w:rsidR="00221C6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2009/125/CE, în conformitate cu prevederile</w:t>
            </w:r>
            <w:r w:rsidR="00444B3A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de la Anexa VI</w:t>
            </w:r>
            <w:r w:rsidR="009A0EB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I</w:t>
            </w:r>
            <w:r w:rsidR="00444B3A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I a</w:t>
            </w:r>
            <w:r w:rsidR="00221C6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444B3A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Acordului de Asociere Republica Moldova – Uniunea Europeană</w:t>
            </w:r>
            <w:r w:rsidR="009A0EB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, cu excepția Directivei 92/42/CEE a Consiliului din 21 mai 1992 privind cerințele de randament pentru cazanele noi de apă caldă cu combustie lichidă sau gazoasă, </w:t>
            </w:r>
            <w:r w:rsidR="007A0C4C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a cărei prevederi se regăsesc în </w:t>
            </w:r>
            <w:proofErr w:type="spellStart"/>
            <w:r w:rsidR="007A0C4C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Hotărîrea</w:t>
            </w:r>
            <w:proofErr w:type="spellEnd"/>
            <w:r w:rsidR="007A0C4C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Guvernului nr. 428/2009 cu privire la aprobarea Reglementării tehnice „</w:t>
            </w:r>
            <w:proofErr w:type="spellStart"/>
            <w:r w:rsidR="007A0C4C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Cerinţe</w:t>
            </w:r>
            <w:proofErr w:type="spellEnd"/>
            <w:r w:rsidR="007A0C4C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de randament pentru cazanele noi de apă caldă cu combustie lichidă sau gazoasă”</w:t>
            </w:r>
            <w:r w:rsidR="009C674D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.</w:t>
            </w:r>
          </w:p>
          <w:p w14:paraId="43F604F7" w14:textId="20EC9A8A" w:rsidR="00383A60" w:rsidRPr="00470266" w:rsidRDefault="00501998" w:rsidP="00501998">
            <w:pPr>
              <w:spacing w:before="120"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</w:pP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Astfel</w:t>
            </w:r>
            <w:r w:rsidR="0047026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, având în vedere că până în prezent majoritatea</w:t>
            </w:r>
            <w:r w:rsidR="009C674D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artic</w:t>
            </w:r>
            <w:r w:rsidR="009E720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ole</w:t>
            </w:r>
            <w:r w:rsidR="0047026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lor</w:t>
            </w:r>
            <w:r w:rsidR="009E720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a</w:t>
            </w:r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le</w:t>
            </w:r>
            <w:r w:rsidR="009E720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="009C674D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Directiv</w:t>
            </w:r>
            <w:r w:rsidR="009E720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ei</w:t>
            </w:r>
            <w:r w:rsidR="009C674D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92/42/CEE </w:t>
            </w:r>
            <w:r w:rsidR="009E7206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au fost abrogate și înlocuite cu </w:t>
            </w:r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Regulamentul (UE) nr. 813/2013 a Parlamentului European </w:t>
            </w:r>
            <w:proofErr w:type="spellStart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a Consiliului în ceea ce </w:t>
            </w:r>
            <w:proofErr w:type="spellStart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priveşte</w:t>
            </w:r>
            <w:proofErr w:type="spellEnd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cerinţele</w:t>
            </w:r>
            <w:proofErr w:type="spellEnd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de proiectare ecologică pentru </w:t>
            </w:r>
            <w:proofErr w:type="spellStart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instalaţiile</w:t>
            </w:r>
            <w:proofErr w:type="spellEnd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pentru încălzirea incintelor </w:t>
            </w:r>
            <w:proofErr w:type="spellStart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instalaţiile</w:t>
            </w:r>
            <w:proofErr w:type="spellEnd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de încălzire cu </w:t>
            </w:r>
            <w:proofErr w:type="spellStart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funcţie</w:t>
            </w:r>
            <w:proofErr w:type="spellEnd"/>
            <w:r w:rsidR="00CE06DB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dublă, și 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reieșind din </w:t>
            </w:r>
            <w:r w:rsidR="00095845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prevederile pct. 2 al </w:t>
            </w:r>
            <w:proofErr w:type="spellStart"/>
            <w:r w:rsidR="00095845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Hotărîrii</w:t>
            </w:r>
            <w:proofErr w:type="spellEnd"/>
            <w:r w:rsidR="00095845"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Guvernului nr. 750/2016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prin care „</w:t>
            </w:r>
            <w:r w:rsidRPr="00470266">
              <w:rPr>
                <w:lang w:val="ro-RO"/>
              </w:rPr>
              <w:t xml:space="preserve"> </w:t>
            </w:r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Ministerul Economiei </w:t>
            </w:r>
            <w:proofErr w:type="spellStart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Infrastructurii va prezenta Guvernului propuneri privind revizuirea prezentei </w:t>
            </w:r>
            <w:proofErr w:type="spellStart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hotărîri</w:t>
            </w:r>
            <w:proofErr w:type="spellEnd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în </w:t>
            </w:r>
            <w:proofErr w:type="spellStart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funcţie</w:t>
            </w:r>
            <w:proofErr w:type="spellEnd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de progresele tehnologice” a fost elaborat proiectul </w:t>
            </w:r>
            <w:proofErr w:type="spellStart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Hotărîrii</w:t>
            </w:r>
            <w:proofErr w:type="spellEnd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Guvernului cu privire la modificarea </w:t>
            </w:r>
            <w:proofErr w:type="spellStart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Hotărîrii</w:t>
            </w:r>
            <w:proofErr w:type="spellEnd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Guvernului nr. 750/2016 pentru aprobarea regulamentelor privind </w:t>
            </w:r>
            <w:proofErr w:type="spellStart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>cerinţele</w:t>
            </w:r>
            <w:proofErr w:type="spellEnd"/>
            <w:r w:rsidRPr="00470266"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u-RU"/>
              </w:rPr>
              <w:t xml:space="preserve"> în materie de proiectare ecologică aplicabile produselor cu impact energetic și abrogarea unei hotărâri de guvern.</w:t>
            </w:r>
          </w:p>
        </w:tc>
      </w:tr>
      <w:tr w:rsidR="00383A60" w:rsidRPr="00CE245C" w14:paraId="6ACBEF49" w14:textId="77777777" w:rsidTr="00D70E7D">
        <w:tc>
          <w:tcPr>
            <w:tcW w:w="10632" w:type="dxa"/>
          </w:tcPr>
          <w:p w14:paraId="5A08F848" w14:textId="1805EDAD" w:rsidR="00383A60" w:rsidRPr="00470266" w:rsidRDefault="00383A60" w:rsidP="00E83F8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3. Principalele prevederi ale proiectului și evidențierea elementelor noi</w:t>
            </w:r>
          </w:p>
          <w:p w14:paraId="7F89F6A0" w14:textId="0EDB17C3" w:rsidR="00470266" w:rsidRPr="00470266" w:rsidRDefault="00470266" w:rsidP="00E83F8A">
            <w:pPr>
              <w:ind w:right="176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</w:pPr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Proiectul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Hotărîrii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de Guvern prevede modificarea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Hotărîrii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Guvernului nr. 750/2016 pentru aprobarea regulamentelor privind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cerinţele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în materie de proiectare ecologică aplicabile produselor cu impact energetic prin adăugarea anexei nr. 18 care conține Regulamentul cu privire la cerințele de proiectare ecologică e pentru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instalaţiile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pentru încălzirea incintelor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şi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instalaţiile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de încălzire cu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funcţie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dublă care transpune Regulamentul (UE) nr. 813/2013 a Parlamentului European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şi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a Consiliului în ceea ce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priveşte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cerinţele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de proiectare ecologică pentru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instalaţiile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pentru încălzirea incintelor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şi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instalaţiile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de încălzire cu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funcţie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dublă și </w:t>
            </w:r>
            <w:r w:rsidRPr="00470266">
              <w:rPr>
                <w:lang w:val="ro-RO"/>
              </w:rPr>
              <w:t xml:space="preserve"> </w:t>
            </w:r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Directiva 92/42/CEE a Consiliului din 21 mai 1992 privind cerințele de randament pentru cazanele noi de apă caldă cu combustie lichidă sau gazoasă.</w:t>
            </w:r>
          </w:p>
          <w:p w14:paraId="432F4262" w14:textId="1E92D6D4" w:rsidR="00470266" w:rsidRDefault="00470266" w:rsidP="00E83F8A">
            <w:pPr>
              <w:ind w:right="176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</w:pPr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Astfel, noul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Regulament vin</w:t>
            </w:r>
            <w:r w:rsidR="00087A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e să actualizeze la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condițiile de dezvoltare tehnologică actuale o serie de cerințe tehnice aplicabile instalațiilor</w:t>
            </w:r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pentru încăl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zirea incintelor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instalaţiilor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de încălzire cu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funcţie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dublă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lastRenderedPageBreak/>
              <w:t xml:space="preserve">(centrale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temice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și centrale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>temice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o-RO" w:eastAsia="ar-SA"/>
              </w:rPr>
              <w:t xml:space="preserve"> cu funcția de preparare a apei calde menajere) plasate pe piața Republicii Moldova. </w:t>
            </w:r>
          </w:p>
          <w:p w14:paraId="2529CB48" w14:textId="0DBCFB3C" w:rsidR="00383A60" w:rsidRPr="00470266" w:rsidRDefault="00470266" w:rsidP="00E83F8A">
            <w:pPr>
              <w:ind w:right="17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Regulamentul stabilește</w:t>
            </w:r>
            <w:r w:rsidR="00383A60"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următoarele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cerințe tehnice</w:t>
            </w:r>
            <w:r w:rsidR="00383A60"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: </w:t>
            </w:r>
          </w:p>
          <w:p w14:paraId="4F685CED" w14:textId="77777777" w:rsidR="00383A60" w:rsidRPr="00470266" w:rsidRDefault="00383A60" w:rsidP="00E83F8A">
            <w:pPr>
              <w:ind w:right="176"/>
              <w:jc w:val="both"/>
              <w:rPr>
                <w:rFonts w:ascii="Times New Roman" w:hAnsi="Times New Roman"/>
                <w:sz w:val="10"/>
                <w:szCs w:val="24"/>
                <w:shd w:val="clear" w:color="auto" w:fill="FFFFFF"/>
                <w:lang w:val="ro-RO" w:eastAsia="ar-SA"/>
              </w:rPr>
            </w:pPr>
          </w:p>
          <w:p w14:paraId="71C1CCC8" w14:textId="48DA4288" w:rsidR="00383A60" w:rsidRPr="00470266" w:rsidRDefault="00470266" w:rsidP="004702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</w:pPr>
            <w:proofErr w:type="spellStart"/>
            <w:r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cerinţe</w:t>
            </w:r>
            <w:proofErr w:type="spellEnd"/>
            <w:r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privind randamentul energetic sezonier aferent încălzirii incintelor;</w:t>
            </w:r>
          </w:p>
          <w:p w14:paraId="32DA08F2" w14:textId="3BC25787" w:rsidR="00383A60" w:rsidRPr="00470266" w:rsidRDefault="00470266" w:rsidP="004702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</w:pPr>
            <w:proofErr w:type="spellStart"/>
            <w:r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cerinţe</w:t>
            </w:r>
            <w:proofErr w:type="spellEnd"/>
            <w:r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privind randamentul energetic aferent încălzirii apei;</w:t>
            </w:r>
          </w:p>
          <w:p w14:paraId="57CEF6DA" w14:textId="14F48967" w:rsidR="00470266" w:rsidRDefault="00470266" w:rsidP="004702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</w:pPr>
            <w:proofErr w:type="spellStart"/>
            <w:r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cerinţe</w:t>
            </w:r>
            <w:proofErr w:type="spellEnd"/>
            <w:r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privind nivelul de putere acustică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(nivelul de zgomot);</w:t>
            </w:r>
          </w:p>
          <w:p w14:paraId="71960227" w14:textId="6666AA10" w:rsidR="00383A60" w:rsidRDefault="00470266" w:rsidP="004702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</w:pPr>
            <w:proofErr w:type="spellStart"/>
            <w:r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cerinţe</w:t>
            </w:r>
            <w:proofErr w:type="spellEnd"/>
            <w:r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pr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ivind emisiile de oxizi de azot.</w:t>
            </w:r>
          </w:p>
          <w:p w14:paraId="042BA867" w14:textId="77777777" w:rsidR="00977052" w:rsidRDefault="00977052" w:rsidP="00470266">
            <w:pPr>
              <w:spacing w:before="120"/>
              <w:ind w:right="17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</w:pPr>
            <w:r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De asemenea, </w:t>
            </w:r>
            <w:r w:rsid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regulamentul stabilește și procedurile prin care producătorii de astfel de instalații cât și organele abilitate cu funcție de control și sau supraveghere a pieței verifică conformitatea produselor cu cerințele stabilite de Regulament și </w:t>
            </w:r>
            <w:r w:rsidR="00470266"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standardele armonizate lista indicativelor </w:t>
            </w:r>
            <w:proofErr w:type="spellStart"/>
            <w:r w:rsidR="00470266"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şi</w:t>
            </w:r>
            <w:proofErr w:type="spellEnd"/>
            <w:r w:rsidR="00470266"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titlurilor standardelor, aprobată de Ministerul Economiei </w:t>
            </w:r>
            <w:proofErr w:type="spellStart"/>
            <w:r w:rsidR="00470266"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şi</w:t>
            </w:r>
            <w:proofErr w:type="spellEnd"/>
            <w:r w:rsidR="00470266"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Infrastructurii </w:t>
            </w:r>
            <w:proofErr w:type="spellStart"/>
            <w:r w:rsidR="00470266"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şi</w:t>
            </w:r>
            <w:proofErr w:type="spellEnd"/>
            <w:r w:rsidR="00470266" w:rsidRP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publicată în Monitorul Oficial al Republicii Moldova (în temeiul articolului 7 aliniatul (2) din Legea nr. 420 din 22 decembrie 2006 privind activitatea de reglementare tehnică</w:t>
            </w:r>
            <w:r w:rsidR="00470266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.</w:t>
            </w:r>
          </w:p>
          <w:p w14:paraId="0F1319A8" w14:textId="2CA9618C" w:rsidR="00B645C9" w:rsidRPr="00470266" w:rsidRDefault="00B645C9" w:rsidP="00B645C9">
            <w:pPr>
              <w:spacing w:before="120"/>
              <w:ind w:right="17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În același timp, proiectul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Hotărîrii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vine să abroge </w:t>
            </w:r>
            <w:proofErr w:type="spellStart"/>
            <w:r w:rsidRPr="00B645C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Hotărîrea</w:t>
            </w:r>
            <w:proofErr w:type="spellEnd"/>
            <w:r w:rsidRPr="00B645C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Guvernului nr. 428/2009 cu privire la aprobarea Reglementării tehnice „</w:t>
            </w:r>
            <w:proofErr w:type="spellStart"/>
            <w:r w:rsidRPr="00B645C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Cerinţe</w:t>
            </w:r>
            <w:proofErr w:type="spellEnd"/>
            <w:r w:rsidRPr="00B645C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de randament pentru cazanele noi de apă caldă cu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combustie lichidă sau gazoasă” având în vedere că cerințele tehnice stabilite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>Hotărîrea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  <w:t xml:space="preserve"> prenotată, urmează a fi înlocuite cu cerințele stabilite în Regulamentul sus menționat. </w:t>
            </w:r>
          </w:p>
        </w:tc>
      </w:tr>
      <w:tr w:rsidR="00383A60" w:rsidRPr="00470266" w14:paraId="764E58DB" w14:textId="77777777" w:rsidTr="00D70E7D">
        <w:trPr>
          <w:trHeight w:val="6321"/>
        </w:trPr>
        <w:tc>
          <w:tcPr>
            <w:tcW w:w="10632" w:type="dxa"/>
          </w:tcPr>
          <w:p w14:paraId="2CA7B8A2" w14:textId="77777777" w:rsidR="00383A60" w:rsidRPr="00470266" w:rsidRDefault="00383A60" w:rsidP="00E83F8A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4. Fundamentarea </w:t>
            </w:r>
            <w:proofErr w:type="spellStart"/>
            <w:r w:rsidRPr="004702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economico</w:t>
            </w:r>
            <w:proofErr w:type="spellEnd"/>
            <w:r w:rsidRPr="004702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-financiară</w:t>
            </w:r>
          </w:p>
          <w:p w14:paraId="3962F518" w14:textId="1318EE29" w:rsidR="00383A60" w:rsidRPr="00470266" w:rsidRDefault="00383A60" w:rsidP="00E83F8A">
            <w:pPr>
              <w:spacing w:before="120" w:after="120"/>
              <w:jc w:val="both"/>
              <w:rPr>
                <w:rFonts w:ascii="Times New Roman" w:hAnsi="Times New Roman"/>
                <w:sz w:val="24"/>
                <w:lang w:val="ro-RO"/>
              </w:rPr>
            </w:pPr>
            <w:r w:rsidRPr="00470266">
              <w:rPr>
                <w:rFonts w:ascii="Times New Roman" w:hAnsi="Times New Roman"/>
                <w:sz w:val="24"/>
                <w:lang w:val="ro-RO"/>
              </w:rPr>
              <w:t>Implementarea prevederilor proiectului actului normativ în cauză</w:t>
            </w:r>
            <w:r w:rsidRPr="00470266">
              <w:rPr>
                <w:rFonts w:ascii="Times New Roman" w:hAnsi="Times New Roman"/>
                <w:bCs/>
                <w:sz w:val="24"/>
                <w:lang w:val="ro-RO"/>
              </w:rPr>
              <w:t xml:space="preserve">, nu necesită alocarea de mijloace financiare </w:t>
            </w:r>
            <w:r w:rsidR="008B7E59" w:rsidRPr="00470266">
              <w:rPr>
                <w:rFonts w:ascii="Times New Roman" w:hAnsi="Times New Roman"/>
                <w:bCs/>
                <w:sz w:val="24"/>
                <w:lang w:val="ro-RO"/>
              </w:rPr>
              <w:t xml:space="preserve">suplimentare </w:t>
            </w:r>
            <w:r w:rsidRPr="00470266">
              <w:rPr>
                <w:rFonts w:ascii="Times New Roman" w:hAnsi="Times New Roman"/>
                <w:bCs/>
                <w:sz w:val="24"/>
                <w:lang w:val="ro-RO"/>
              </w:rPr>
              <w:t>d</w:t>
            </w:r>
            <w:r w:rsidR="00F55353" w:rsidRPr="00470266">
              <w:rPr>
                <w:rFonts w:ascii="Times New Roman" w:hAnsi="Times New Roman"/>
                <w:bCs/>
                <w:sz w:val="24"/>
                <w:lang w:val="ro-RO"/>
              </w:rPr>
              <w:t>in</w:t>
            </w:r>
            <w:r w:rsidRPr="00470266">
              <w:rPr>
                <w:rFonts w:ascii="Times New Roman" w:hAnsi="Times New Roman"/>
                <w:bCs/>
                <w:sz w:val="24"/>
                <w:lang w:val="ro-RO"/>
              </w:rPr>
              <w:t xml:space="preserve"> </w:t>
            </w:r>
            <w:r w:rsidRPr="00470266">
              <w:rPr>
                <w:rFonts w:ascii="Times New Roman" w:hAnsi="Times New Roman"/>
                <w:sz w:val="24"/>
                <w:lang w:val="ro-RO"/>
              </w:rPr>
              <w:t>bugetul de stat.</w:t>
            </w:r>
          </w:p>
          <w:p w14:paraId="2461762F" w14:textId="77777777" w:rsidR="00383A60" w:rsidRPr="00470266" w:rsidRDefault="00383A60" w:rsidP="00E83F8A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5. Modul de încorporare a actului în cadrul normativ în vigoare</w:t>
            </w:r>
          </w:p>
          <w:p w14:paraId="49FFA218" w14:textId="628B66AD" w:rsidR="00383A60" w:rsidRPr="00470266" w:rsidRDefault="00383A60" w:rsidP="00E83F8A">
            <w:pPr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Promovarea prezentului proiect de act normativ reprezintă un instrument de punere în aplicare a prevederilor </w:t>
            </w:r>
            <w:r w:rsidR="00501998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art. 5, litera a) din Legea nr. 151/2014 privind </w:t>
            </w:r>
            <w:proofErr w:type="spellStart"/>
            <w:r w:rsidR="00501998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cerinţele</w:t>
            </w:r>
            <w:proofErr w:type="spellEnd"/>
            <w:r w:rsidR="00501998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în materie de proiectare ecologică aplicabile produselor cu impact energetic </w:t>
            </w: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și se încadrează în categoria actelor normative secundare de implementare a acesteia. </w:t>
            </w:r>
          </w:p>
          <w:p w14:paraId="6EFA5552" w14:textId="77777777" w:rsidR="00383A60" w:rsidRPr="00470266" w:rsidRDefault="00383A60" w:rsidP="00E83F8A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6. Avizarea și consultarea publică a proiectului</w:t>
            </w:r>
          </w:p>
          <w:p w14:paraId="14A82C7E" w14:textId="3ADF50BB" w:rsidR="00383A60" w:rsidRPr="00470266" w:rsidRDefault="00383A60" w:rsidP="00E83F8A">
            <w:pPr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Proiectul respectiv </w:t>
            </w:r>
            <w:r w:rsidR="00501998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urmează a fi </w:t>
            </w: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supus avizării și consultării publice conform art. 32 din Legea 100/2017 cu privire la actele normative, și</w:t>
            </w:r>
            <w:r w:rsidR="00501998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a fi</w:t>
            </w: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plasat pe pagina web </w:t>
            </w:r>
            <w:r w:rsidR="00F55353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Cancelariei de Stat și </w:t>
            </w: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 Ministerului Economiei și Infrastructurii www.mei.gov.md la compartimentul Transparență/ Anunțuri de proiecte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consultări publice. </w:t>
            </w:r>
          </w:p>
          <w:p w14:paraId="12BFA170" w14:textId="77777777" w:rsidR="00383A60" w:rsidRPr="00470266" w:rsidRDefault="00383A60" w:rsidP="00E83F8A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7. Constatările expertizei anticorupție</w:t>
            </w:r>
          </w:p>
          <w:p w14:paraId="5CA0F9FC" w14:textId="6AD6509C" w:rsidR="00383A60" w:rsidRPr="00470266" w:rsidRDefault="00383A60" w:rsidP="00E83F8A">
            <w:pPr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Proiectul </w:t>
            </w:r>
            <w:r w:rsidR="00F55353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respectiv </w:t>
            </w:r>
            <w:r w:rsidR="00501998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urmează a fi</w:t>
            </w: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supus expertizei anticorupție conform art. 35 din Legea 100/2017</w:t>
            </w:r>
            <w:r w:rsidR="00F55353" w:rsidRPr="00470266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o-RO"/>
              </w:rPr>
              <w:t xml:space="preserve"> </w:t>
            </w:r>
            <w:r w:rsidR="00F55353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cu privire la actele normative</w:t>
            </w: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26A33082" w14:textId="77777777" w:rsidR="00383A60" w:rsidRPr="00470266" w:rsidRDefault="00383A60" w:rsidP="00E83F8A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8. Constatările expertizei juridice</w:t>
            </w:r>
          </w:p>
          <w:p w14:paraId="5D88BDA5" w14:textId="68F06EC4" w:rsidR="00383A60" w:rsidRPr="00470266" w:rsidRDefault="00383A60" w:rsidP="00E83F8A">
            <w:pPr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Proiectul </w:t>
            </w:r>
            <w:r w:rsidR="00501998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respective urmează a fi </w:t>
            </w: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supus expertizei juridice conform art. 37 din Legea 100/2017</w:t>
            </w:r>
            <w:r w:rsidR="00F55353" w:rsidRPr="00470266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o-RO"/>
              </w:rPr>
              <w:t xml:space="preserve"> </w:t>
            </w:r>
            <w:r w:rsidR="00F55353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cu privire la actele normative</w:t>
            </w: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  <w:p w14:paraId="61E05BA6" w14:textId="77777777" w:rsidR="00383A60" w:rsidRPr="00470266" w:rsidRDefault="00383A60" w:rsidP="00E83F8A">
            <w:pPr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702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9. Alte expertize</w:t>
            </w:r>
          </w:p>
          <w:p w14:paraId="7728E10B" w14:textId="5C122A44" w:rsidR="00383A60" w:rsidRPr="00470266" w:rsidRDefault="00383A60" w:rsidP="00501998">
            <w:pPr>
              <w:spacing w:before="120" w:after="120"/>
              <w:jc w:val="both"/>
              <w:rPr>
                <w:rFonts w:ascii="Times New Roman" w:hAnsi="Times New Roman"/>
                <w:bCs/>
                <w:sz w:val="24"/>
                <w:lang w:val="ro-RO"/>
              </w:rPr>
            </w:pP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Proiectul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conţine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prevederi de reglementare a </w:t>
            </w:r>
            <w:proofErr w:type="spellStart"/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activităţii</w:t>
            </w:r>
            <w:proofErr w:type="spellEnd"/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întreprinzător în contextul Legii nr. 235/2006 cu privire la principiile de bază de reglementare a activității de întreprinzător, </w:t>
            </w:r>
            <w:r w:rsidR="0031683A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respectiv </w:t>
            </w:r>
            <w:r w:rsidR="00501998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urmează a fi</w:t>
            </w: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examin</w:t>
            </w:r>
            <w:r w:rsidR="00F55353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</w:t>
            </w:r>
            <w:r w:rsidR="0031683A"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t și avizat </w:t>
            </w:r>
            <w:r w:rsidRPr="0047026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de către Grupul de lucru pentru reglementarea activității de întreprinzător. </w:t>
            </w:r>
          </w:p>
        </w:tc>
      </w:tr>
      <w:tr w:rsidR="00383A60" w:rsidRPr="00470266" w14:paraId="28B7E1F4" w14:textId="77777777" w:rsidTr="00383A60">
        <w:tc>
          <w:tcPr>
            <w:tcW w:w="10632" w:type="dxa"/>
          </w:tcPr>
          <w:p w14:paraId="36B3BF1F" w14:textId="77777777" w:rsidR="00383A60" w:rsidRPr="00470266" w:rsidRDefault="00383A60" w:rsidP="00E83F8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 w:eastAsia="ar-SA"/>
              </w:rPr>
            </w:pPr>
          </w:p>
        </w:tc>
      </w:tr>
      <w:tr w:rsidR="00383A60" w:rsidRPr="00470266" w14:paraId="66FB7181" w14:textId="77777777" w:rsidTr="00D70E7D">
        <w:tc>
          <w:tcPr>
            <w:tcW w:w="10632" w:type="dxa"/>
          </w:tcPr>
          <w:p w14:paraId="31641161" w14:textId="77777777" w:rsidR="00383A60" w:rsidRPr="00470266" w:rsidRDefault="00383A60" w:rsidP="00E83F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83A60" w:rsidRPr="00470266" w14:paraId="0D6AAD31" w14:textId="77777777" w:rsidTr="00D70E7D">
        <w:tc>
          <w:tcPr>
            <w:tcW w:w="10632" w:type="dxa"/>
          </w:tcPr>
          <w:p w14:paraId="573E55B4" w14:textId="77777777" w:rsidR="00383A60" w:rsidRPr="00470266" w:rsidRDefault="00383A60" w:rsidP="00E83F8A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</w:tc>
      </w:tr>
      <w:tr w:rsidR="00383A60" w:rsidRPr="00470266" w14:paraId="46D5BC7A" w14:textId="77777777" w:rsidTr="00D70E7D">
        <w:tc>
          <w:tcPr>
            <w:tcW w:w="10632" w:type="dxa"/>
          </w:tcPr>
          <w:tbl>
            <w:tblPr>
              <w:tblStyle w:val="TableGrid"/>
              <w:tblpPr w:leftFromText="180" w:rightFromText="180" w:vertAnchor="text" w:horzAnchor="margin" w:tblpY="141"/>
              <w:tblW w:w="107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48"/>
              <w:gridCol w:w="4847"/>
            </w:tblGrid>
            <w:tr w:rsidR="00E83F8A" w:rsidRPr="00470266" w14:paraId="68D50E3A" w14:textId="77777777" w:rsidTr="00E83F8A">
              <w:trPr>
                <w:trHeight w:val="635"/>
              </w:trPr>
              <w:tc>
                <w:tcPr>
                  <w:tcW w:w="5948" w:type="dxa"/>
                  <w:hideMark/>
                </w:tcPr>
                <w:p w14:paraId="4D23748E" w14:textId="04553B07" w:rsidR="00E83F8A" w:rsidRPr="00470266" w:rsidRDefault="00904B08" w:rsidP="00E83F8A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702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u-RU"/>
                    </w:rPr>
                    <w:t xml:space="preserve">Ministru </w:t>
                  </w:r>
                  <w:r w:rsidR="00E83F8A" w:rsidRPr="004702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u-RU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4847" w:type="dxa"/>
                  <w:hideMark/>
                </w:tcPr>
                <w:p w14:paraId="643B5349" w14:textId="58D71075" w:rsidR="00E83F8A" w:rsidRPr="00470266" w:rsidRDefault="00E83F8A" w:rsidP="00E83F8A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</w:pPr>
                  <w:r w:rsidRPr="0047026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 xml:space="preserve">                 </w:t>
                  </w:r>
                </w:p>
                <w:p w14:paraId="52F70058" w14:textId="77777777" w:rsidR="00E83F8A" w:rsidRPr="00470266" w:rsidRDefault="00E83F8A" w:rsidP="00E83F8A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u-RU"/>
                    </w:rPr>
                  </w:pPr>
                </w:p>
              </w:tc>
            </w:tr>
          </w:tbl>
          <w:p w14:paraId="5082D943" w14:textId="77777777" w:rsidR="00383A60" w:rsidRPr="00470266" w:rsidRDefault="00383A60" w:rsidP="00E83F8A">
            <w:pPr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val="ro-RO"/>
              </w:rPr>
            </w:pPr>
          </w:p>
        </w:tc>
      </w:tr>
      <w:tr w:rsidR="00383A60" w:rsidRPr="00470266" w14:paraId="40C61B2E" w14:textId="77777777" w:rsidTr="00D70E7D">
        <w:trPr>
          <w:trHeight w:val="132"/>
        </w:trPr>
        <w:tc>
          <w:tcPr>
            <w:tcW w:w="10632" w:type="dxa"/>
          </w:tcPr>
          <w:p w14:paraId="10AC65B2" w14:textId="77777777" w:rsidR="00383A60" w:rsidRPr="00470266" w:rsidRDefault="00383A60" w:rsidP="00E83F8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2B7037E" w14:textId="77777777" w:rsidR="00383A60" w:rsidRPr="00470266" w:rsidRDefault="00383A60" w:rsidP="00383A60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83A60" w:rsidRPr="00470266" w:rsidSect="00E83F8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CB6C6" w14:textId="77777777" w:rsidR="00B13E58" w:rsidRDefault="00B13E58" w:rsidP="00383A60">
      <w:pPr>
        <w:spacing w:after="0" w:line="240" w:lineRule="auto"/>
      </w:pPr>
      <w:r>
        <w:separator/>
      </w:r>
    </w:p>
  </w:endnote>
  <w:endnote w:type="continuationSeparator" w:id="0">
    <w:p w14:paraId="1BF2CB65" w14:textId="77777777" w:rsidR="00B13E58" w:rsidRDefault="00B13E58" w:rsidP="0038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7626F" w14:textId="77777777" w:rsidR="00B13E58" w:rsidRDefault="00B13E58" w:rsidP="00383A60">
      <w:pPr>
        <w:spacing w:after="0" w:line="240" w:lineRule="auto"/>
      </w:pPr>
      <w:r>
        <w:separator/>
      </w:r>
    </w:p>
  </w:footnote>
  <w:footnote w:type="continuationSeparator" w:id="0">
    <w:p w14:paraId="66F916FF" w14:textId="77777777" w:rsidR="00B13E58" w:rsidRDefault="00B13E58" w:rsidP="00383A60">
      <w:pPr>
        <w:spacing w:after="0" w:line="240" w:lineRule="auto"/>
      </w:pPr>
      <w:r>
        <w:continuationSeparator/>
      </w:r>
    </w:p>
  </w:footnote>
  <w:footnote w:id="1">
    <w:p w14:paraId="3240FD0C" w14:textId="77777777" w:rsidR="00C57A37" w:rsidRPr="00BF2FD8" w:rsidRDefault="00C57A37" w:rsidP="00C57A37">
      <w:pPr>
        <w:pStyle w:val="FootnoteText"/>
        <w:rPr>
          <w:lang w:val="it-IT"/>
        </w:rPr>
      </w:pPr>
      <w:r w:rsidRPr="00C93363">
        <w:rPr>
          <w:rStyle w:val="FootnoteReference"/>
          <w:sz w:val="16"/>
        </w:rPr>
        <w:footnoteRef/>
      </w:r>
      <w:r w:rsidRPr="00BF2FD8">
        <w:rPr>
          <w:sz w:val="16"/>
          <w:lang w:val="it-IT"/>
        </w:rPr>
        <w:t xml:space="preserve"> Acordul de Asociere între Republica Moldova, pe de o parte, şi Uniunea Europeană şi Comunitatea Europeană a Energiei Atomice şi statele membre ale acestora, pe de altă parte, ratificat prin</w:t>
      </w:r>
      <w:r w:rsidRPr="00BF2FD8">
        <w:rPr>
          <w:sz w:val="18"/>
          <w:lang w:val="it-IT"/>
        </w:rPr>
        <w:t xml:space="preserve"> </w:t>
      </w:r>
      <w:r w:rsidRPr="00BF2FD8">
        <w:rPr>
          <w:sz w:val="16"/>
          <w:lang w:val="it-IT"/>
        </w:rPr>
        <w:t xml:space="preserve">Legea Nr. 112 din  02.07.2014 </w:t>
      </w:r>
    </w:p>
  </w:footnote>
  <w:footnote w:id="2">
    <w:p w14:paraId="02388D54" w14:textId="77777777" w:rsidR="00C57A37" w:rsidRPr="00BF2FD8" w:rsidRDefault="00C57A37" w:rsidP="00C57A37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BF2FD8">
        <w:rPr>
          <w:lang w:val="it-IT"/>
        </w:rPr>
        <w:t xml:space="preserve"> </w:t>
      </w:r>
      <w:r w:rsidRPr="00BF2FD8">
        <w:rPr>
          <w:lang w:val="it-IT"/>
        </w:rPr>
        <w:t>A</w:t>
      </w:r>
      <w:r w:rsidRPr="00BF2FD8">
        <w:rPr>
          <w:sz w:val="16"/>
          <w:lang w:val="it-IT"/>
        </w:rPr>
        <w:t xml:space="preserve">doptat </w:t>
      </w:r>
      <w:r w:rsidRPr="00BF2FD8">
        <w:rPr>
          <w:sz w:val="16"/>
          <w:lang w:val="it-IT"/>
        </w:rPr>
        <w:t>prin Legea Nr. 117 din  23.12.2009 pentru aderarea Republicii Moldova la Tratatul de constituire a Comunității Energetice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41901"/>
    <w:multiLevelType w:val="hybridMultilevel"/>
    <w:tmpl w:val="A17CA7F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81DB3"/>
    <w:multiLevelType w:val="hybridMultilevel"/>
    <w:tmpl w:val="BD8AC7D2"/>
    <w:lvl w:ilvl="0" w:tplc="0128DA62">
      <w:start w:val="1"/>
      <w:numFmt w:val="decimal"/>
      <w:lvlText w:val="%1."/>
      <w:lvlJc w:val="left"/>
      <w:pPr>
        <w:ind w:left="12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4F5240E3"/>
    <w:multiLevelType w:val="hybridMultilevel"/>
    <w:tmpl w:val="E7A4263C"/>
    <w:lvl w:ilvl="0" w:tplc="0DEC7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D3A17"/>
    <w:multiLevelType w:val="hybridMultilevel"/>
    <w:tmpl w:val="940E582C"/>
    <w:lvl w:ilvl="0" w:tplc="8E6EA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2345A"/>
    <w:multiLevelType w:val="hybridMultilevel"/>
    <w:tmpl w:val="82DA4F30"/>
    <w:lvl w:ilvl="0" w:tplc="9B40530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60"/>
    <w:rsid w:val="00087ADE"/>
    <w:rsid w:val="00095845"/>
    <w:rsid w:val="000B0837"/>
    <w:rsid w:val="000F687B"/>
    <w:rsid w:val="0010673E"/>
    <w:rsid w:val="001875C2"/>
    <w:rsid w:val="00195EC2"/>
    <w:rsid w:val="001A587F"/>
    <w:rsid w:val="001B0B58"/>
    <w:rsid w:val="0022111F"/>
    <w:rsid w:val="00221C66"/>
    <w:rsid w:val="00253FEF"/>
    <w:rsid w:val="002719FD"/>
    <w:rsid w:val="002E7913"/>
    <w:rsid w:val="0031683A"/>
    <w:rsid w:val="00332F2E"/>
    <w:rsid w:val="003548EF"/>
    <w:rsid w:val="00380A76"/>
    <w:rsid w:val="00383A60"/>
    <w:rsid w:val="00444B3A"/>
    <w:rsid w:val="00451EF2"/>
    <w:rsid w:val="0045608C"/>
    <w:rsid w:val="00470266"/>
    <w:rsid w:val="004A3202"/>
    <w:rsid w:val="00501998"/>
    <w:rsid w:val="005313E3"/>
    <w:rsid w:val="00591FFB"/>
    <w:rsid w:val="005E20DB"/>
    <w:rsid w:val="006017EA"/>
    <w:rsid w:val="00625CC7"/>
    <w:rsid w:val="00674AF7"/>
    <w:rsid w:val="007053E0"/>
    <w:rsid w:val="007A0C4C"/>
    <w:rsid w:val="00860FCA"/>
    <w:rsid w:val="00884A82"/>
    <w:rsid w:val="008B3FDD"/>
    <w:rsid w:val="008B7E59"/>
    <w:rsid w:val="008C2F75"/>
    <w:rsid w:val="008E2AD6"/>
    <w:rsid w:val="00904B08"/>
    <w:rsid w:val="00961592"/>
    <w:rsid w:val="00977052"/>
    <w:rsid w:val="009A0EB6"/>
    <w:rsid w:val="009A5E61"/>
    <w:rsid w:val="009B201B"/>
    <w:rsid w:val="009C674D"/>
    <w:rsid w:val="009E1118"/>
    <w:rsid w:val="009E7206"/>
    <w:rsid w:val="009E7876"/>
    <w:rsid w:val="00B13E58"/>
    <w:rsid w:val="00B212A7"/>
    <w:rsid w:val="00B21347"/>
    <w:rsid w:val="00B33903"/>
    <w:rsid w:val="00B645C9"/>
    <w:rsid w:val="00C17AED"/>
    <w:rsid w:val="00C36FAE"/>
    <w:rsid w:val="00C57A37"/>
    <w:rsid w:val="00C71D82"/>
    <w:rsid w:val="00C92989"/>
    <w:rsid w:val="00CE06DB"/>
    <w:rsid w:val="00CE245C"/>
    <w:rsid w:val="00CE2B4B"/>
    <w:rsid w:val="00D51F5E"/>
    <w:rsid w:val="00D76637"/>
    <w:rsid w:val="00D8338B"/>
    <w:rsid w:val="00DB10EB"/>
    <w:rsid w:val="00DC3931"/>
    <w:rsid w:val="00DC5414"/>
    <w:rsid w:val="00DE637B"/>
    <w:rsid w:val="00E64B9C"/>
    <w:rsid w:val="00E83F8A"/>
    <w:rsid w:val="00EC35CA"/>
    <w:rsid w:val="00EC6259"/>
    <w:rsid w:val="00EE323C"/>
    <w:rsid w:val="00EF0C85"/>
    <w:rsid w:val="00F55353"/>
    <w:rsid w:val="00F5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7800"/>
  <w15:chartTrackingRefBased/>
  <w15:docId w15:val="{E16851F1-0AAC-4D52-BA2B-B68094D7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A6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A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A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83A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59"/>
    <w:rsid w:val="00383A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383A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3A60"/>
    <w:pPr>
      <w:spacing w:after="0" w:line="240" w:lineRule="auto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A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A60"/>
    <w:rPr>
      <w:sz w:val="20"/>
      <w:szCs w:val="20"/>
      <w:lang w:val="en-GB"/>
    </w:rPr>
  </w:style>
  <w:style w:type="character" w:styleId="FootnoteReference">
    <w:name w:val="footnote reference"/>
    <w:aliases w:val="SUPERS,BVI fnr,Footnote symbol,Footnote,Footnote Reference Superscript,(Footnote Reference),Footnote reference number,note TESI,EN Footnote Reference,Voetnootverwijzing,Times 10 Point,Exposant 3 Point,Appel note de bas de,No"/>
    <w:basedOn w:val="DefaultParagraphFont"/>
    <w:uiPriority w:val="99"/>
    <w:unhideWhenUsed/>
    <w:rsid w:val="00383A60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7A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B5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CB882-6F61-411D-9179-E111B39A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Nicolae</cp:lastModifiedBy>
  <cp:revision>37</cp:revision>
  <dcterms:created xsi:type="dcterms:W3CDTF">2020-02-20T15:51:00Z</dcterms:created>
  <dcterms:modified xsi:type="dcterms:W3CDTF">2021-03-31T12:32:00Z</dcterms:modified>
</cp:coreProperties>
</file>