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1663" w14:textId="0FC1EDCA" w:rsidR="00C97546" w:rsidRPr="00EB1C0D" w:rsidRDefault="00955623" w:rsidP="00DA5F81">
      <w:pPr>
        <w:ind w:left="708" w:firstLine="708"/>
        <w:jc w:val="center"/>
        <w:rPr>
          <w:rFonts w:ascii="Times New Roman" w:hAnsi="Times New Roman" w:cs="Times New Roman"/>
          <w:b/>
          <w:sz w:val="28"/>
          <w:szCs w:val="28"/>
          <w:lang w:val="ro-RO"/>
        </w:rPr>
      </w:pPr>
      <w:r>
        <w:rPr>
          <w:rFonts w:ascii="Times New Roman" w:hAnsi="Times New Roman" w:cs="Times New Roman"/>
          <w:b/>
          <w:sz w:val="28"/>
          <w:szCs w:val="28"/>
          <w:lang w:val="ro-RO"/>
        </w:rPr>
        <w:t>Proiectul analizei</w:t>
      </w:r>
      <w:r w:rsidR="00367001" w:rsidRPr="00EB1C0D">
        <w:rPr>
          <w:rFonts w:ascii="Times New Roman" w:hAnsi="Times New Roman" w:cs="Times New Roman"/>
          <w:b/>
          <w:sz w:val="28"/>
          <w:szCs w:val="28"/>
          <w:lang w:val="ro-RO"/>
        </w:rPr>
        <w:t xml:space="preserve"> impactului </w:t>
      </w:r>
      <w:r w:rsidR="00A7727D" w:rsidRPr="00EB1C0D">
        <w:rPr>
          <w:rFonts w:ascii="Times New Roman" w:hAnsi="Times New Roman" w:cs="Times New Roman"/>
          <w:b/>
          <w:sz w:val="28"/>
          <w:szCs w:val="28"/>
          <w:lang w:val="ro-RO"/>
        </w:rPr>
        <w:t xml:space="preserve">la proiectul </w:t>
      </w:r>
      <w:proofErr w:type="spellStart"/>
      <w:r w:rsidR="004A3FA0" w:rsidRPr="00EB1C0D">
        <w:rPr>
          <w:rFonts w:ascii="Times New Roman" w:hAnsi="Times New Roman" w:cs="Times New Roman"/>
          <w:b/>
          <w:sz w:val="28"/>
          <w:szCs w:val="28"/>
          <w:lang w:val="ro-RO"/>
        </w:rPr>
        <w:t>Hotărîrii</w:t>
      </w:r>
      <w:proofErr w:type="spellEnd"/>
      <w:r w:rsidR="004A3FA0" w:rsidRPr="00EB1C0D">
        <w:rPr>
          <w:rFonts w:ascii="Times New Roman" w:hAnsi="Times New Roman" w:cs="Times New Roman"/>
          <w:b/>
          <w:sz w:val="28"/>
          <w:szCs w:val="28"/>
          <w:lang w:val="ro-RO"/>
        </w:rPr>
        <w:t xml:space="preserve"> Guvernului cu privire la modificarea </w:t>
      </w:r>
      <w:proofErr w:type="spellStart"/>
      <w:r w:rsidR="009E6484" w:rsidRPr="009E6484">
        <w:rPr>
          <w:rFonts w:ascii="Times New Roman" w:hAnsi="Times New Roman" w:cs="Times New Roman"/>
          <w:b/>
          <w:sz w:val="28"/>
          <w:szCs w:val="28"/>
          <w:lang w:val="ro-RO"/>
        </w:rPr>
        <w:t>Hotărîrii</w:t>
      </w:r>
      <w:proofErr w:type="spellEnd"/>
      <w:r w:rsidR="009E6484" w:rsidRPr="009E6484">
        <w:rPr>
          <w:rFonts w:ascii="Times New Roman" w:hAnsi="Times New Roman" w:cs="Times New Roman"/>
          <w:b/>
          <w:sz w:val="28"/>
          <w:szCs w:val="28"/>
          <w:lang w:val="ro-RO"/>
        </w:rPr>
        <w:t xml:space="preserve"> Guvernului nr. 750/2016 pentru aprobarea regulamentelor privind </w:t>
      </w:r>
      <w:proofErr w:type="spellStart"/>
      <w:r w:rsidR="009E6484" w:rsidRPr="009E6484">
        <w:rPr>
          <w:rFonts w:ascii="Times New Roman" w:hAnsi="Times New Roman" w:cs="Times New Roman"/>
          <w:b/>
          <w:sz w:val="28"/>
          <w:szCs w:val="28"/>
          <w:lang w:val="ro-RO"/>
        </w:rPr>
        <w:t>cerinţele</w:t>
      </w:r>
      <w:proofErr w:type="spellEnd"/>
      <w:r w:rsidR="009E6484" w:rsidRPr="009E6484">
        <w:rPr>
          <w:rFonts w:ascii="Times New Roman" w:hAnsi="Times New Roman" w:cs="Times New Roman"/>
          <w:b/>
          <w:sz w:val="28"/>
          <w:szCs w:val="28"/>
          <w:lang w:val="ro-RO"/>
        </w:rPr>
        <w:t xml:space="preserve"> în materie de proiectare ecologică aplicabile produselor cu impact energetic și abrogarea unei hotărâri de guvern</w:t>
      </w:r>
      <w:r w:rsidR="009E6484">
        <w:rPr>
          <w:rFonts w:ascii="Times New Roman" w:hAnsi="Times New Roman" w:cs="Times New Roman"/>
          <w:b/>
          <w:sz w:val="28"/>
          <w:szCs w:val="28"/>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0"/>
        <w:gridCol w:w="5817"/>
      </w:tblGrid>
      <w:tr w:rsidR="00B468B6" w:rsidRPr="00B76CED" w14:paraId="070D2C5A" w14:textId="77777777" w:rsidTr="003319EB">
        <w:trPr>
          <w:trHeight w:val="717"/>
          <w:jc w:val="center"/>
        </w:trPr>
        <w:tc>
          <w:tcPr>
            <w:tcW w:w="1965" w:type="pct"/>
            <w:tcMar>
              <w:top w:w="15" w:type="dxa"/>
              <w:left w:w="45" w:type="dxa"/>
              <w:bottom w:w="15" w:type="dxa"/>
              <w:right w:w="45" w:type="dxa"/>
            </w:tcMar>
            <w:hideMark/>
          </w:tcPr>
          <w:p w14:paraId="15658B0A"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Titlul analizei impactului</w:t>
            </w:r>
            <w:r w:rsidRPr="00EB1C0D">
              <w:rPr>
                <w:rFonts w:ascii="Times New Roman" w:eastAsia="Times New Roman" w:hAnsi="Times New Roman" w:cs="Times New Roman"/>
                <w:b/>
                <w:bCs/>
                <w:sz w:val="24"/>
                <w:szCs w:val="24"/>
                <w:lang w:val="ro-RO" w:eastAsia="ro-RO"/>
              </w:rPr>
              <w:br/>
            </w:r>
          </w:p>
        </w:tc>
        <w:tc>
          <w:tcPr>
            <w:tcW w:w="3035" w:type="pct"/>
            <w:tcMar>
              <w:top w:w="15" w:type="dxa"/>
              <w:left w:w="45" w:type="dxa"/>
              <w:bottom w:w="15" w:type="dxa"/>
              <w:right w:w="45" w:type="dxa"/>
            </w:tcMar>
            <w:hideMark/>
          </w:tcPr>
          <w:p w14:paraId="7393C583" w14:textId="222EB5D8" w:rsidR="00C97546" w:rsidRPr="00EB1C0D" w:rsidRDefault="009B7CA6" w:rsidP="004E7694">
            <w:pPr>
              <w:spacing w:after="60"/>
              <w:jc w:val="both"/>
              <w:rPr>
                <w:rFonts w:ascii="Times New Roman" w:eastAsia="Times New Roman" w:hAnsi="Times New Roman" w:cs="Times New Roman"/>
                <w:bCs/>
                <w:sz w:val="24"/>
                <w:szCs w:val="24"/>
                <w:lang w:val="ro-RO"/>
              </w:rPr>
            </w:pPr>
            <w:r w:rsidRPr="00EB1C0D">
              <w:rPr>
                <w:rFonts w:ascii="Times New Roman" w:eastAsia="Times New Roman" w:hAnsi="Times New Roman" w:cs="Times New Roman"/>
                <w:bCs/>
                <w:sz w:val="24"/>
                <w:szCs w:val="24"/>
                <w:lang w:val="ro-RO"/>
              </w:rPr>
              <w:t xml:space="preserve">Analiza impactului </w:t>
            </w:r>
            <w:r w:rsidR="00A06851" w:rsidRPr="00A06851">
              <w:rPr>
                <w:rFonts w:ascii="Times New Roman" w:eastAsia="Times New Roman" w:hAnsi="Times New Roman" w:cs="Times New Roman"/>
                <w:bCs/>
                <w:sz w:val="24"/>
                <w:szCs w:val="24"/>
                <w:lang w:val="ro-RO"/>
              </w:rPr>
              <w:t xml:space="preserve">la proiectul </w:t>
            </w:r>
            <w:proofErr w:type="spellStart"/>
            <w:r w:rsidR="00A06851" w:rsidRPr="00A06851">
              <w:rPr>
                <w:rFonts w:ascii="Times New Roman" w:eastAsia="Times New Roman" w:hAnsi="Times New Roman" w:cs="Times New Roman"/>
                <w:bCs/>
                <w:sz w:val="24"/>
                <w:szCs w:val="24"/>
                <w:lang w:val="ro-RO"/>
              </w:rPr>
              <w:t>Hotărîrii</w:t>
            </w:r>
            <w:proofErr w:type="spellEnd"/>
            <w:r w:rsidR="00A06851" w:rsidRPr="00A06851">
              <w:rPr>
                <w:rFonts w:ascii="Times New Roman" w:eastAsia="Times New Roman" w:hAnsi="Times New Roman" w:cs="Times New Roman"/>
                <w:bCs/>
                <w:sz w:val="24"/>
                <w:szCs w:val="24"/>
                <w:lang w:val="ro-RO"/>
              </w:rPr>
              <w:t xml:space="preserve"> Guvernului cu privire la modificarea </w:t>
            </w:r>
            <w:proofErr w:type="spellStart"/>
            <w:r w:rsidR="00A06851" w:rsidRPr="00A06851">
              <w:rPr>
                <w:rFonts w:ascii="Times New Roman" w:eastAsia="Times New Roman" w:hAnsi="Times New Roman" w:cs="Times New Roman"/>
                <w:bCs/>
                <w:sz w:val="24"/>
                <w:szCs w:val="24"/>
                <w:lang w:val="ro-RO"/>
              </w:rPr>
              <w:t>Hotărîrii</w:t>
            </w:r>
            <w:proofErr w:type="spellEnd"/>
            <w:r w:rsidR="00A06851" w:rsidRPr="00A06851">
              <w:rPr>
                <w:rFonts w:ascii="Times New Roman" w:eastAsia="Times New Roman" w:hAnsi="Times New Roman" w:cs="Times New Roman"/>
                <w:bCs/>
                <w:sz w:val="24"/>
                <w:szCs w:val="24"/>
                <w:lang w:val="ro-RO"/>
              </w:rPr>
              <w:t xml:space="preserve"> Guvernului nr. 750/2016 pentru aprobarea regulamentelor privind </w:t>
            </w:r>
            <w:proofErr w:type="spellStart"/>
            <w:r w:rsidR="00A06851" w:rsidRPr="00A06851">
              <w:rPr>
                <w:rFonts w:ascii="Times New Roman" w:eastAsia="Times New Roman" w:hAnsi="Times New Roman" w:cs="Times New Roman"/>
                <w:bCs/>
                <w:sz w:val="24"/>
                <w:szCs w:val="24"/>
                <w:lang w:val="ro-RO"/>
              </w:rPr>
              <w:t>cerinţele</w:t>
            </w:r>
            <w:proofErr w:type="spellEnd"/>
            <w:r w:rsidR="00A06851" w:rsidRPr="00A06851">
              <w:rPr>
                <w:rFonts w:ascii="Times New Roman" w:eastAsia="Times New Roman" w:hAnsi="Times New Roman" w:cs="Times New Roman"/>
                <w:bCs/>
                <w:sz w:val="24"/>
                <w:szCs w:val="24"/>
                <w:lang w:val="ro-RO"/>
              </w:rPr>
              <w:t xml:space="preserve"> în materie de proiectare ecologică aplicabile produselor cu impact energetic și abrogarea unei hotărâri de guvern</w:t>
            </w:r>
            <w:r w:rsidR="00A06851">
              <w:rPr>
                <w:rFonts w:ascii="Times New Roman" w:eastAsia="Times New Roman" w:hAnsi="Times New Roman" w:cs="Times New Roman"/>
                <w:bCs/>
                <w:sz w:val="24"/>
                <w:szCs w:val="24"/>
                <w:lang w:val="ro-RO"/>
              </w:rPr>
              <w:t>.</w:t>
            </w:r>
          </w:p>
        </w:tc>
      </w:tr>
      <w:tr w:rsidR="00B468B6" w:rsidRPr="004E7694" w14:paraId="7D124A04" w14:textId="77777777" w:rsidTr="003319EB">
        <w:trPr>
          <w:jc w:val="center"/>
        </w:trPr>
        <w:tc>
          <w:tcPr>
            <w:tcW w:w="1965" w:type="pct"/>
            <w:tcMar>
              <w:top w:w="15" w:type="dxa"/>
              <w:left w:w="45" w:type="dxa"/>
              <w:bottom w:w="15" w:type="dxa"/>
              <w:right w:w="45" w:type="dxa"/>
            </w:tcMar>
            <w:hideMark/>
          </w:tcPr>
          <w:p w14:paraId="1F6B329E"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Data:</w:t>
            </w:r>
          </w:p>
        </w:tc>
        <w:tc>
          <w:tcPr>
            <w:tcW w:w="3035" w:type="pct"/>
            <w:tcMar>
              <w:top w:w="15" w:type="dxa"/>
              <w:left w:w="45" w:type="dxa"/>
              <w:bottom w:w="15" w:type="dxa"/>
              <w:right w:w="45" w:type="dxa"/>
            </w:tcMar>
            <w:hideMark/>
          </w:tcPr>
          <w:p w14:paraId="6E819A88" w14:textId="769F6E1F" w:rsidR="00C97546" w:rsidRPr="00EB1C0D" w:rsidRDefault="00A06851" w:rsidP="007D7BB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__ __ </w:t>
            </w:r>
            <w:r w:rsidR="00C64DFB">
              <w:rPr>
                <w:rFonts w:ascii="Times New Roman" w:eastAsia="Times New Roman" w:hAnsi="Times New Roman" w:cs="Times New Roman"/>
                <w:sz w:val="24"/>
                <w:szCs w:val="24"/>
                <w:lang w:val="ro-RO" w:eastAsia="ro-RO"/>
              </w:rPr>
              <w:t>2022</w:t>
            </w:r>
          </w:p>
        </w:tc>
      </w:tr>
      <w:tr w:rsidR="00B468B6" w:rsidRPr="00B76CED" w14:paraId="1A8FED75" w14:textId="77777777" w:rsidTr="003319EB">
        <w:trPr>
          <w:jc w:val="center"/>
        </w:trPr>
        <w:tc>
          <w:tcPr>
            <w:tcW w:w="1965" w:type="pct"/>
            <w:tcMar>
              <w:top w:w="15" w:type="dxa"/>
              <w:left w:w="45" w:type="dxa"/>
              <w:bottom w:w="15" w:type="dxa"/>
              <w:right w:w="45" w:type="dxa"/>
            </w:tcMar>
            <w:hideMark/>
          </w:tcPr>
          <w:p w14:paraId="41AE69F9"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Autoritatea administra</w:t>
            </w:r>
            <w:r w:rsidR="005F25AA" w:rsidRPr="00EB1C0D">
              <w:rPr>
                <w:rFonts w:ascii="Times New Roman" w:eastAsia="Times New Roman" w:hAnsi="Times New Roman" w:cs="Times New Roman"/>
                <w:b/>
                <w:bCs/>
                <w:sz w:val="24"/>
                <w:szCs w:val="24"/>
                <w:lang w:val="ro-RO" w:eastAsia="ro-RO"/>
              </w:rPr>
              <w:t>ț</w:t>
            </w:r>
            <w:r w:rsidRPr="00EB1C0D">
              <w:rPr>
                <w:rFonts w:ascii="Times New Roman" w:eastAsia="Times New Roman" w:hAnsi="Times New Roman" w:cs="Times New Roman"/>
                <w:b/>
                <w:bCs/>
                <w:sz w:val="24"/>
                <w:szCs w:val="24"/>
                <w:lang w:val="ro-RO" w:eastAsia="ro-RO"/>
              </w:rPr>
              <w:t xml:space="preserve">iei publice </w:t>
            </w:r>
            <w:r w:rsidR="00C02470" w:rsidRPr="00EB1C0D">
              <w:rPr>
                <w:rFonts w:ascii="Times New Roman" w:eastAsia="Times New Roman" w:hAnsi="Times New Roman" w:cs="Times New Roman"/>
                <w:b/>
                <w:bCs/>
                <w:sz w:val="24"/>
                <w:szCs w:val="24"/>
                <w:lang w:val="ro-RO" w:eastAsia="ro-RO"/>
              </w:rPr>
              <w:t>(</w:t>
            </w:r>
            <w:r w:rsidRPr="00EB1C0D">
              <w:rPr>
                <w:rFonts w:ascii="Times New Roman" w:eastAsia="Times New Roman" w:hAnsi="Times New Roman" w:cs="Times New Roman"/>
                <w:b/>
                <w:bCs/>
                <w:sz w:val="24"/>
                <w:szCs w:val="24"/>
                <w:lang w:val="ro-RO" w:eastAsia="ro-RO"/>
              </w:rPr>
              <w:t>autor</w:t>
            </w:r>
            <w:r w:rsidR="00C02470" w:rsidRPr="00EB1C0D">
              <w:rPr>
                <w:rFonts w:ascii="Times New Roman" w:eastAsia="Times New Roman" w:hAnsi="Times New Roman" w:cs="Times New Roman"/>
                <w:b/>
                <w:bCs/>
                <w:sz w:val="24"/>
                <w:szCs w:val="24"/>
                <w:lang w:val="ro-RO" w:eastAsia="ro-RO"/>
              </w:rPr>
              <w:t>)</w:t>
            </w:r>
            <w:r w:rsidRPr="00EB1C0D">
              <w:rPr>
                <w:rFonts w:ascii="Times New Roman" w:eastAsia="Times New Roman" w:hAnsi="Times New Roman" w:cs="Times New Roman"/>
                <w:b/>
                <w:bCs/>
                <w:sz w:val="24"/>
                <w:szCs w:val="24"/>
                <w:lang w:val="ro-RO" w:eastAsia="ro-RO"/>
              </w:rPr>
              <w:t>:</w:t>
            </w:r>
          </w:p>
        </w:tc>
        <w:tc>
          <w:tcPr>
            <w:tcW w:w="3035" w:type="pct"/>
            <w:tcMar>
              <w:top w:w="15" w:type="dxa"/>
              <w:left w:w="45" w:type="dxa"/>
              <w:bottom w:w="15" w:type="dxa"/>
              <w:right w:w="45" w:type="dxa"/>
            </w:tcMar>
            <w:hideMark/>
          </w:tcPr>
          <w:p w14:paraId="5B244C4C" w14:textId="679A6ABF" w:rsidR="00C97546" w:rsidRPr="00EB1C0D" w:rsidRDefault="00242D60" w:rsidP="00C64DFB">
            <w:pPr>
              <w:spacing w:before="120"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sz w:val="24"/>
                <w:szCs w:val="24"/>
                <w:lang w:val="ro-RO" w:eastAsia="ro-RO"/>
              </w:rPr>
              <w:t xml:space="preserve">Ministerul </w:t>
            </w:r>
            <w:r w:rsidR="004B7B4E" w:rsidRPr="00EB1C0D">
              <w:rPr>
                <w:rFonts w:ascii="Times New Roman" w:eastAsia="Times New Roman" w:hAnsi="Times New Roman" w:cs="Times New Roman"/>
                <w:sz w:val="24"/>
                <w:szCs w:val="24"/>
                <w:lang w:val="ro-RO" w:eastAsia="ro-RO"/>
              </w:rPr>
              <w:t>I</w:t>
            </w:r>
            <w:r w:rsidR="005D29D0" w:rsidRPr="00EB1C0D">
              <w:rPr>
                <w:rFonts w:ascii="Times New Roman" w:eastAsia="Times New Roman" w:hAnsi="Times New Roman" w:cs="Times New Roman"/>
                <w:sz w:val="24"/>
                <w:szCs w:val="24"/>
                <w:lang w:val="ro-RO" w:eastAsia="ro-RO"/>
              </w:rPr>
              <w:t>nfrastructurii</w:t>
            </w:r>
            <w:r w:rsidR="00C64DFB">
              <w:rPr>
                <w:rFonts w:ascii="Times New Roman" w:eastAsia="Times New Roman" w:hAnsi="Times New Roman" w:cs="Times New Roman"/>
                <w:sz w:val="24"/>
                <w:szCs w:val="24"/>
                <w:lang w:val="ro-RO" w:eastAsia="ro-RO"/>
              </w:rPr>
              <w:t xml:space="preserve"> și Dezvoltării Regionale</w:t>
            </w:r>
          </w:p>
        </w:tc>
      </w:tr>
      <w:tr w:rsidR="00B468B6" w:rsidRPr="00B76CED" w14:paraId="4B3EF8FC" w14:textId="77777777" w:rsidTr="003319EB">
        <w:trPr>
          <w:jc w:val="center"/>
        </w:trPr>
        <w:tc>
          <w:tcPr>
            <w:tcW w:w="1965" w:type="pct"/>
            <w:tcMar>
              <w:top w:w="15" w:type="dxa"/>
              <w:left w:w="45" w:type="dxa"/>
              <w:bottom w:w="15" w:type="dxa"/>
              <w:right w:w="45" w:type="dxa"/>
            </w:tcMar>
            <w:hideMark/>
          </w:tcPr>
          <w:p w14:paraId="1E955FEC" w14:textId="77777777"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Subdiviziunea:</w:t>
            </w:r>
          </w:p>
        </w:tc>
        <w:tc>
          <w:tcPr>
            <w:tcW w:w="3035" w:type="pct"/>
            <w:tcMar>
              <w:top w:w="15" w:type="dxa"/>
              <w:left w:w="45" w:type="dxa"/>
              <w:bottom w:w="15" w:type="dxa"/>
              <w:right w:w="45" w:type="dxa"/>
            </w:tcMar>
            <w:hideMark/>
          </w:tcPr>
          <w:p w14:paraId="638D9FF9" w14:textId="77777777" w:rsidR="00C97546" w:rsidRPr="00EB1C0D" w:rsidRDefault="004B7B4E"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sz w:val="24"/>
                <w:szCs w:val="24"/>
                <w:lang w:val="ro-RO" w:eastAsia="ro-RO"/>
              </w:rPr>
              <w:t>Direcția politici în domeniul energetic</w:t>
            </w:r>
          </w:p>
        </w:tc>
      </w:tr>
      <w:tr w:rsidR="00B468B6" w:rsidRPr="00B76CED" w14:paraId="1FF01DB8" w14:textId="77777777" w:rsidTr="003319EB">
        <w:trPr>
          <w:jc w:val="center"/>
        </w:trPr>
        <w:tc>
          <w:tcPr>
            <w:tcW w:w="1965" w:type="pct"/>
            <w:tcMar>
              <w:top w:w="15" w:type="dxa"/>
              <w:left w:w="45" w:type="dxa"/>
              <w:bottom w:w="15" w:type="dxa"/>
              <w:right w:w="45" w:type="dxa"/>
            </w:tcMar>
            <w:hideMark/>
          </w:tcPr>
          <w:p w14:paraId="49E2BA1B" w14:textId="4A6211E2" w:rsidR="00C97546" w:rsidRPr="00EB1C0D" w:rsidRDefault="00C97546" w:rsidP="00DA5F81">
            <w:pPr>
              <w:spacing w:after="6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b/>
                <w:bCs/>
                <w:sz w:val="24"/>
                <w:szCs w:val="24"/>
                <w:lang w:val="ro-RO" w:eastAsia="ro-RO"/>
              </w:rPr>
              <w:t xml:space="preserve">Persoana responsabilă </w:t>
            </w:r>
            <w:r w:rsidR="00561773" w:rsidRPr="00EB1C0D">
              <w:rPr>
                <w:rFonts w:ascii="Times New Roman" w:eastAsia="Times New Roman" w:hAnsi="Times New Roman" w:cs="Times New Roman"/>
                <w:b/>
                <w:bCs/>
                <w:sz w:val="24"/>
                <w:szCs w:val="24"/>
                <w:lang w:val="ro-RO" w:eastAsia="ro-RO"/>
              </w:rPr>
              <w:t>și</w:t>
            </w:r>
            <w:r w:rsidRPr="00EB1C0D">
              <w:rPr>
                <w:rFonts w:ascii="Times New Roman" w:eastAsia="Times New Roman" w:hAnsi="Times New Roman" w:cs="Times New Roman"/>
                <w:b/>
                <w:bCs/>
                <w:sz w:val="24"/>
                <w:szCs w:val="24"/>
                <w:lang w:val="ro-RO" w:eastAsia="ro-RO"/>
              </w:rPr>
              <w:t xml:space="preserve"> </w:t>
            </w:r>
            <w:r w:rsidR="00C02470" w:rsidRPr="00EB1C0D">
              <w:rPr>
                <w:rFonts w:ascii="Times New Roman" w:eastAsia="Times New Roman" w:hAnsi="Times New Roman" w:cs="Times New Roman"/>
                <w:b/>
                <w:bCs/>
                <w:sz w:val="24"/>
                <w:szCs w:val="24"/>
                <w:lang w:val="ro-RO" w:eastAsia="ro-RO"/>
              </w:rPr>
              <w:t xml:space="preserve">datele </w:t>
            </w:r>
            <w:r w:rsidRPr="00EB1C0D">
              <w:rPr>
                <w:rFonts w:ascii="Times New Roman" w:eastAsia="Times New Roman" w:hAnsi="Times New Roman" w:cs="Times New Roman"/>
                <w:b/>
                <w:bCs/>
                <w:sz w:val="24"/>
                <w:szCs w:val="24"/>
                <w:lang w:val="ro-RO" w:eastAsia="ro-RO"/>
              </w:rPr>
              <w:t>de contact:</w:t>
            </w:r>
          </w:p>
        </w:tc>
        <w:tc>
          <w:tcPr>
            <w:tcW w:w="3035" w:type="pct"/>
            <w:tcMar>
              <w:top w:w="15" w:type="dxa"/>
              <w:left w:w="45" w:type="dxa"/>
              <w:bottom w:w="15" w:type="dxa"/>
              <w:right w:w="45" w:type="dxa"/>
            </w:tcMar>
            <w:hideMark/>
          </w:tcPr>
          <w:p w14:paraId="621E6F11" w14:textId="5124750B" w:rsidR="00842A0D" w:rsidRDefault="00C64DFB"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Nicolae Magdîl</w:t>
            </w:r>
          </w:p>
          <w:p w14:paraId="4497C468" w14:textId="606B6CD7" w:rsidR="00842A0D" w:rsidRPr="00842A0D" w:rsidRDefault="00C64DFB"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Consultant principal</w:t>
            </w:r>
          </w:p>
          <w:p w14:paraId="0D5697EF" w14:textId="3678EABC" w:rsidR="00842A0D" w:rsidRPr="00842A0D" w:rsidRDefault="00C64DFB"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tel.: (+373 22) 250-685</w:t>
            </w:r>
          </w:p>
          <w:p w14:paraId="1A0A807E" w14:textId="015722E5" w:rsidR="004A3FA0" w:rsidRPr="00EB1C0D" w:rsidRDefault="00C64DFB" w:rsidP="00C64DFB">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e-mail: nicolae.magdil@m</w:t>
            </w:r>
            <w:r w:rsidR="00842A0D" w:rsidRPr="00842A0D">
              <w:rPr>
                <w:rFonts w:ascii="Times New Roman" w:eastAsia="Times New Roman" w:hAnsi="Times New Roman" w:cs="Times New Roman"/>
                <w:sz w:val="24"/>
                <w:szCs w:val="24"/>
                <w:lang w:val="ro-RO" w:eastAsia="ro-RO"/>
              </w:rPr>
              <w:t>i</w:t>
            </w:r>
            <w:r>
              <w:rPr>
                <w:rFonts w:ascii="Times New Roman" w:eastAsia="Times New Roman" w:hAnsi="Times New Roman" w:cs="Times New Roman"/>
                <w:sz w:val="24"/>
                <w:szCs w:val="24"/>
                <w:lang w:val="ro-RO" w:eastAsia="ro-RO"/>
              </w:rPr>
              <w:t>dr</w:t>
            </w:r>
            <w:r w:rsidR="00842A0D" w:rsidRPr="00842A0D">
              <w:rPr>
                <w:rFonts w:ascii="Times New Roman" w:eastAsia="Times New Roman" w:hAnsi="Times New Roman" w:cs="Times New Roman"/>
                <w:sz w:val="24"/>
                <w:szCs w:val="24"/>
                <w:lang w:val="ro-RO" w:eastAsia="ro-RO"/>
              </w:rPr>
              <w:t>.gov.md.</w:t>
            </w:r>
          </w:p>
        </w:tc>
      </w:tr>
      <w:tr w:rsidR="00B468B6" w:rsidRPr="00EB1C0D" w14:paraId="76864DEC" w14:textId="77777777" w:rsidTr="003319EB">
        <w:trPr>
          <w:trHeight w:val="267"/>
          <w:jc w:val="center"/>
        </w:trPr>
        <w:tc>
          <w:tcPr>
            <w:tcW w:w="5000" w:type="pct"/>
            <w:gridSpan w:val="2"/>
            <w:tcMar>
              <w:top w:w="15" w:type="dxa"/>
              <w:left w:w="45" w:type="dxa"/>
              <w:bottom w:w="15" w:type="dxa"/>
              <w:right w:w="45" w:type="dxa"/>
            </w:tcMar>
          </w:tcPr>
          <w:p w14:paraId="0AFBBCCA" w14:textId="0168A220" w:rsidR="00E775BD" w:rsidRPr="00EB1C0D" w:rsidRDefault="00E775BD" w:rsidP="00DA5F81">
            <w:pPr>
              <w:spacing w:before="240" w:after="240"/>
              <w:rPr>
                <w:rFonts w:ascii="Times New Roman" w:eastAsia="Times New Roman" w:hAnsi="Times New Roman" w:cs="Times New Roman"/>
                <w:b/>
                <w:bCs/>
                <w:sz w:val="24"/>
                <w:szCs w:val="24"/>
                <w:lang w:val="ro-RO" w:eastAsia="ro-RO"/>
              </w:rPr>
            </w:pPr>
            <w:r w:rsidRPr="00EB1C0D">
              <w:rPr>
                <w:rFonts w:ascii="Times New Roman" w:eastAsia="Times New Roman" w:hAnsi="Times New Roman" w:cs="Times New Roman"/>
                <w:b/>
                <w:bCs/>
                <w:sz w:val="24"/>
                <w:szCs w:val="24"/>
                <w:lang w:val="ro-RO" w:eastAsia="ro-RO"/>
              </w:rPr>
              <w:t xml:space="preserve">Compartimentele analizei impactului </w:t>
            </w:r>
          </w:p>
        </w:tc>
      </w:tr>
      <w:tr w:rsidR="00B468B6" w:rsidRPr="00EB1C0D" w14:paraId="497AC62E" w14:textId="77777777" w:rsidTr="003319EB">
        <w:trPr>
          <w:jc w:val="center"/>
        </w:trPr>
        <w:tc>
          <w:tcPr>
            <w:tcW w:w="5000" w:type="pct"/>
            <w:gridSpan w:val="2"/>
            <w:shd w:val="clear" w:color="auto" w:fill="auto"/>
            <w:tcMar>
              <w:top w:w="15" w:type="dxa"/>
              <w:left w:w="45" w:type="dxa"/>
              <w:bottom w:w="15" w:type="dxa"/>
              <w:right w:w="45" w:type="dxa"/>
            </w:tcMar>
          </w:tcPr>
          <w:p w14:paraId="3083C073" w14:textId="1EF0592F" w:rsidR="004B5182" w:rsidRPr="00EB1C0D" w:rsidRDefault="00B468B6" w:rsidP="00DA5F81">
            <w:pPr>
              <w:spacing w:before="60" w:after="60"/>
              <w:jc w:val="both"/>
              <w:rPr>
                <w:rFonts w:ascii="Times New Roman" w:eastAsia="Times New Roman" w:hAnsi="Times New Roman" w:cs="Times New Roman"/>
                <w:b/>
                <w:sz w:val="24"/>
                <w:szCs w:val="24"/>
                <w:lang w:val="ro-RO" w:eastAsia="ro-RO"/>
              </w:rPr>
            </w:pPr>
            <w:r w:rsidRPr="00EB1C0D">
              <w:rPr>
                <w:rFonts w:ascii="Times New Roman" w:eastAsia="Times New Roman" w:hAnsi="Times New Roman" w:cs="Times New Roman"/>
                <w:b/>
                <w:bCs/>
                <w:sz w:val="24"/>
                <w:szCs w:val="24"/>
                <w:lang w:val="ro-RO" w:eastAsia="ro-RO"/>
              </w:rPr>
              <w:t>1. DEFINIREA PROBLEMEI</w:t>
            </w:r>
          </w:p>
        </w:tc>
      </w:tr>
      <w:tr w:rsidR="00B468B6" w:rsidRPr="00B76CED" w14:paraId="7134B673" w14:textId="77777777" w:rsidTr="003319EB">
        <w:trPr>
          <w:jc w:val="center"/>
        </w:trPr>
        <w:tc>
          <w:tcPr>
            <w:tcW w:w="5000" w:type="pct"/>
            <w:gridSpan w:val="2"/>
            <w:shd w:val="clear" w:color="auto" w:fill="auto"/>
            <w:tcMar>
              <w:top w:w="15" w:type="dxa"/>
              <w:left w:w="45" w:type="dxa"/>
              <w:bottom w:w="15" w:type="dxa"/>
              <w:right w:w="45" w:type="dxa"/>
            </w:tcMar>
          </w:tcPr>
          <w:p w14:paraId="0611BAB7" w14:textId="4B980F76" w:rsidR="004B5182" w:rsidRPr="00EB1C0D" w:rsidRDefault="004B5182" w:rsidP="00DA5F81">
            <w:pPr>
              <w:spacing w:before="60" w:after="60"/>
              <w:jc w:val="both"/>
              <w:rPr>
                <w:rFonts w:ascii="Times New Roman" w:eastAsia="Times New Roman" w:hAnsi="Times New Roman" w:cs="Times New Roman"/>
                <w:b/>
                <w:sz w:val="24"/>
                <w:szCs w:val="24"/>
                <w:lang w:val="ro-RO" w:eastAsia="ru-RU"/>
              </w:rPr>
            </w:pPr>
            <w:r w:rsidRPr="00EB1C0D">
              <w:rPr>
                <w:rFonts w:ascii="Times New Roman" w:eastAsia="Calibri" w:hAnsi="Times New Roman" w:cs="Times New Roman"/>
                <w:b/>
                <w:sz w:val="24"/>
                <w:szCs w:val="24"/>
                <w:lang w:val="ro-RO" w:eastAsia="en-GB"/>
              </w:rPr>
              <w:t xml:space="preserve">a) </w:t>
            </w:r>
            <w:r w:rsidR="00561773" w:rsidRPr="00EB1C0D">
              <w:rPr>
                <w:rFonts w:ascii="Times New Roman" w:eastAsia="Times New Roman" w:hAnsi="Times New Roman" w:cs="Times New Roman"/>
                <w:b/>
                <w:sz w:val="24"/>
                <w:szCs w:val="24"/>
                <w:lang w:val="ro-RO" w:eastAsia="ru-RU"/>
              </w:rPr>
              <w:t>Determinați</w:t>
            </w:r>
            <w:r w:rsidRPr="00EB1C0D">
              <w:rPr>
                <w:rFonts w:ascii="Times New Roman" w:eastAsia="Times New Roman" w:hAnsi="Times New Roman" w:cs="Times New Roman"/>
                <w:b/>
                <w:sz w:val="24"/>
                <w:szCs w:val="24"/>
                <w:lang w:val="ro-RO" w:eastAsia="ru-RU"/>
              </w:rPr>
              <w:t xml:space="preserve"> clar </w:t>
            </w:r>
            <w:r w:rsidR="00561773" w:rsidRPr="00EB1C0D">
              <w:rPr>
                <w:rFonts w:ascii="Times New Roman" w:eastAsia="Times New Roman" w:hAnsi="Times New Roman" w:cs="Times New Roman"/>
                <w:b/>
                <w:sz w:val="24"/>
                <w:szCs w:val="24"/>
                <w:lang w:val="ro-RO" w:eastAsia="ru-RU"/>
              </w:rPr>
              <w:t>și</w:t>
            </w:r>
            <w:r w:rsidRPr="00EB1C0D">
              <w:rPr>
                <w:rFonts w:ascii="Times New Roman" w:eastAsia="Times New Roman" w:hAnsi="Times New Roman" w:cs="Times New Roman"/>
                <w:b/>
                <w:sz w:val="24"/>
                <w:szCs w:val="24"/>
                <w:lang w:val="ro-RO" w:eastAsia="ru-RU"/>
              </w:rPr>
              <w:t xml:space="preserve"> concis problema </w:t>
            </w:r>
            <w:r w:rsidR="00561773" w:rsidRPr="00EB1C0D">
              <w:rPr>
                <w:rFonts w:ascii="Times New Roman" w:eastAsia="Times New Roman" w:hAnsi="Times New Roman" w:cs="Times New Roman"/>
                <w:b/>
                <w:sz w:val="24"/>
                <w:szCs w:val="24"/>
                <w:lang w:val="ro-RO" w:eastAsia="ru-RU"/>
              </w:rPr>
              <w:t>și</w:t>
            </w:r>
            <w:r w:rsidRPr="00EB1C0D">
              <w:rPr>
                <w:rFonts w:ascii="Times New Roman" w:eastAsia="Times New Roman" w:hAnsi="Times New Roman" w:cs="Times New Roman"/>
                <w:b/>
                <w:sz w:val="24"/>
                <w:szCs w:val="24"/>
                <w:lang w:val="ro-RO" w:eastAsia="ru-RU"/>
              </w:rPr>
              <w:t xml:space="preserve">/sau problemele care urmează să fie </w:t>
            </w:r>
            <w:r w:rsidR="00561773" w:rsidRPr="00EB1C0D">
              <w:rPr>
                <w:rFonts w:ascii="Times New Roman" w:eastAsia="Times New Roman" w:hAnsi="Times New Roman" w:cs="Times New Roman"/>
                <w:b/>
                <w:sz w:val="24"/>
                <w:szCs w:val="24"/>
                <w:lang w:val="ro-RO" w:eastAsia="ru-RU"/>
              </w:rPr>
              <w:t>soluționate</w:t>
            </w:r>
          </w:p>
        </w:tc>
      </w:tr>
      <w:tr w:rsidR="00B468B6" w:rsidRPr="00B76CED" w14:paraId="05EAEF9E" w14:textId="77777777" w:rsidTr="003319EB">
        <w:trPr>
          <w:trHeight w:val="1250"/>
          <w:jc w:val="center"/>
        </w:trPr>
        <w:tc>
          <w:tcPr>
            <w:tcW w:w="5000" w:type="pct"/>
            <w:gridSpan w:val="2"/>
            <w:tcMar>
              <w:top w:w="15" w:type="dxa"/>
              <w:left w:w="45" w:type="dxa"/>
              <w:bottom w:w="15" w:type="dxa"/>
              <w:right w:w="45" w:type="dxa"/>
            </w:tcMar>
          </w:tcPr>
          <w:p w14:paraId="5B5278A3" w14:textId="26227844" w:rsidR="00283E66" w:rsidRPr="00283E66" w:rsidRDefault="00C74662" w:rsidP="00BB398D">
            <w:pPr>
              <w:spacing w:before="6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w:t>
            </w:r>
            <w:r w:rsidRPr="00C74662">
              <w:rPr>
                <w:rFonts w:ascii="Times New Roman" w:eastAsia="Times New Roman" w:hAnsi="Times New Roman" w:cs="Times New Roman"/>
                <w:bCs/>
                <w:sz w:val="24"/>
                <w:szCs w:val="24"/>
                <w:lang w:val="ro-RO" w:eastAsia="ru-RU"/>
              </w:rPr>
              <w:t xml:space="preserve">roiectul </w:t>
            </w:r>
            <w:proofErr w:type="spellStart"/>
            <w:r w:rsidRPr="00C74662">
              <w:rPr>
                <w:rFonts w:ascii="Times New Roman" w:eastAsia="Times New Roman" w:hAnsi="Times New Roman" w:cs="Times New Roman"/>
                <w:bCs/>
                <w:sz w:val="24"/>
                <w:szCs w:val="24"/>
                <w:lang w:val="ro-RO" w:eastAsia="ru-RU"/>
              </w:rPr>
              <w:t>Hotărîrii</w:t>
            </w:r>
            <w:proofErr w:type="spellEnd"/>
            <w:r w:rsidRPr="00C74662">
              <w:rPr>
                <w:rFonts w:ascii="Times New Roman" w:eastAsia="Times New Roman" w:hAnsi="Times New Roman" w:cs="Times New Roman"/>
                <w:bCs/>
                <w:sz w:val="24"/>
                <w:szCs w:val="24"/>
                <w:lang w:val="ro-RO" w:eastAsia="ru-RU"/>
              </w:rPr>
              <w:t xml:space="preserve"> Guvernului cu privire la modificarea </w:t>
            </w:r>
            <w:proofErr w:type="spellStart"/>
            <w:r w:rsidRPr="00C74662">
              <w:rPr>
                <w:rFonts w:ascii="Times New Roman" w:eastAsia="Times New Roman" w:hAnsi="Times New Roman" w:cs="Times New Roman"/>
                <w:bCs/>
                <w:sz w:val="24"/>
                <w:szCs w:val="24"/>
                <w:lang w:val="ro-RO" w:eastAsia="ru-RU"/>
              </w:rPr>
              <w:t>Hotărîrii</w:t>
            </w:r>
            <w:proofErr w:type="spellEnd"/>
            <w:r w:rsidRPr="00C74662">
              <w:rPr>
                <w:rFonts w:ascii="Times New Roman" w:eastAsia="Times New Roman" w:hAnsi="Times New Roman" w:cs="Times New Roman"/>
                <w:bCs/>
                <w:sz w:val="24"/>
                <w:szCs w:val="24"/>
                <w:lang w:val="ro-RO" w:eastAsia="ru-RU"/>
              </w:rPr>
              <w:t xml:space="preserve"> Guvernului </w:t>
            </w:r>
            <w:r w:rsidR="00F23093" w:rsidRPr="00F23093">
              <w:rPr>
                <w:rFonts w:ascii="Times New Roman" w:eastAsia="Times New Roman" w:hAnsi="Times New Roman" w:cs="Times New Roman"/>
                <w:bCs/>
                <w:sz w:val="24"/>
                <w:szCs w:val="24"/>
                <w:lang w:val="ro-RO" w:eastAsia="ru-RU"/>
              </w:rPr>
              <w:t xml:space="preserve">nr. 750/2016 pentru aprobarea regulamentelor privind </w:t>
            </w:r>
            <w:proofErr w:type="spellStart"/>
            <w:r w:rsidR="00F23093" w:rsidRPr="00F23093">
              <w:rPr>
                <w:rFonts w:ascii="Times New Roman" w:eastAsia="Times New Roman" w:hAnsi="Times New Roman" w:cs="Times New Roman"/>
                <w:bCs/>
                <w:sz w:val="24"/>
                <w:szCs w:val="24"/>
                <w:lang w:val="ro-RO" w:eastAsia="ru-RU"/>
              </w:rPr>
              <w:t>cerinţele</w:t>
            </w:r>
            <w:proofErr w:type="spellEnd"/>
            <w:r w:rsidR="00F23093" w:rsidRPr="00F23093">
              <w:rPr>
                <w:rFonts w:ascii="Times New Roman" w:eastAsia="Times New Roman" w:hAnsi="Times New Roman" w:cs="Times New Roman"/>
                <w:bCs/>
                <w:sz w:val="24"/>
                <w:szCs w:val="24"/>
                <w:lang w:val="ro-RO" w:eastAsia="ru-RU"/>
              </w:rPr>
              <w:t xml:space="preserve"> în materie de proiectare ecologică aplicabile produselor cu impact energetic și ab</w:t>
            </w:r>
            <w:r w:rsidR="00F23093">
              <w:rPr>
                <w:rFonts w:ascii="Times New Roman" w:eastAsia="Times New Roman" w:hAnsi="Times New Roman" w:cs="Times New Roman"/>
                <w:bCs/>
                <w:sz w:val="24"/>
                <w:szCs w:val="24"/>
                <w:lang w:val="ro-RO" w:eastAsia="ru-RU"/>
              </w:rPr>
              <w:t>rogarea unei hotărâri de guvern</w:t>
            </w:r>
            <w:r w:rsidRPr="00C74662">
              <w:rPr>
                <w:rFonts w:ascii="Times New Roman" w:eastAsia="Times New Roman" w:hAnsi="Times New Roman" w:cs="Times New Roman"/>
                <w:bCs/>
                <w:sz w:val="24"/>
                <w:szCs w:val="24"/>
                <w:lang w:val="ro-RO" w:eastAsia="ru-RU"/>
              </w:rPr>
              <w:t xml:space="preserve"> </w:t>
            </w:r>
            <w:r w:rsidR="00283E66">
              <w:rPr>
                <w:rFonts w:ascii="Times New Roman" w:eastAsia="Times New Roman" w:hAnsi="Times New Roman" w:cs="Times New Roman"/>
                <w:bCs/>
                <w:sz w:val="24"/>
                <w:szCs w:val="24"/>
                <w:lang w:val="ro-RO" w:eastAsia="ru-RU"/>
              </w:rPr>
              <w:t>este elaborat cu</w:t>
            </w:r>
            <w:r w:rsidR="006D07B0">
              <w:rPr>
                <w:rFonts w:ascii="Times New Roman" w:eastAsia="Times New Roman" w:hAnsi="Times New Roman" w:cs="Times New Roman"/>
                <w:bCs/>
                <w:sz w:val="24"/>
                <w:szCs w:val="24"/>
                <w:lang w:val="ro-RO" w:eastAsia="ru-RU"/>
              </w:rPr>
              <w:t xml:space="preserve"> scopul </w:t>
            </w:r>
            <w:r w:rsidR="00283E66">
              <w:rPr>
                <w:rFonts w:ascii="Times New Roman" w:eastAsia="Times New Roman" w:hAnsi="Times New Roman" w:cs="Times New Roman"/>
                <w:bCs/>
                <w:sz w:val="24"/>
                <w:szCs w:val="24"/>
                <w:lang w:val="ro-RO" w:eastAsia="ru-RU"/>
              </w:rPr>
              <w:t>de a actualiza și  completa cerințele de proiectare</w:t>
            </w:r>
            <w:r w:rsidR="00AF6BA8">
              <w:rPr>
                <w:rFonts w:ascii="Times New Roman" w:eastAsia="Times New Roman" w:hAnsi="Times New Roman" w:cs="Times New Roman"/>
                <w:bCs/>
                <w:sz w:val="24"/>
                <w:szCs w:val="24"/>
                <w:lang w:val="ro-RO" w:eastAsia="ru-RU"/>
              </w:rPr>
              <w:t xml:space="preserve"> ecologică</w:t>
            </w:r>
            <w:r w:rsidR="00283E66">
              <w:rPr>
                <w:rFonts w:ascii="Times New Roman" w:eastAsia="Times New Roman" w:hAnsi="Times New Roman" w:cs="Times New Roman"/>
                <w:bCs/>
                <w:sz w:val="24"/>
                <w:szCs w:val="24"/>
                <w:lang w:val="ro-RO" w:eastAsia="ru-RU"/>
              </w:rPr>
              <w:t xml:space="preserve"> aplicabile instalațiilor</w:t>
            </w:r>
            <w:r w:rsidR="00283E66" w:rsidRPr="00283E66">
              <w:rPr>
                <w:rFonts w:ascii="Times New Roman" w:eastAsia="Times New Roman" w:hAnsi="Times New Roman" w:cs="Times New Roman"/>
                <w:bCs/>
                <w:sz w:val="24"/>
                <w:szCs w:val="24"/>
                <w:lang w:val="ro-RO" w:eastAsia="ru-RU"/>
              </w:rPr>
              <w:t xml:space="preserve"> pentru </w:t>
            </w:r>
            <w:r w:rsidR="001B6301" w:rsidRPr="001B6301">
              <w:rPr>
                <w:rFonts w:ascii="Times New Roman" w:eastAsia="Times New Roman" w:hAnsi="Times New Roman" w:cs="Times New Roman"/>
                <w:bCs/>
                <w:sz w:val="24"/>
                <w:szCs w:val="24"/>
                <w:lang w:val="ro-RO" w:eastAsia="ru-RU"/>
              </w:rPr>
              <w:t xml:space="preserve">încălzirea incintelor </w:t>
            </w:r>
            <w:proofErr w:type="spellStart"/>
            <w:r w:rsidR="001B6301" w:rsidRPr="001B6301">
              <w:rPr>
                <w:rFonts w:ascii="Times New Roman" w:eastAsia="Times New Roman" w:hAnsi="Times New Roman" w:cs="Times New Roman"/>
                <w:bCs/>
                <w:sz w:val="24"/>
                <w:szCs w:val="24"/>
                <w:lang w:val="ro-RO" w:eastAsia="ru-RU"/>
              </w:rPr>
              <w:t>şi</w:t>
            </w:r>
            <w:proofErr w:type="spellEnd"/>
            <w:r w:rsidR="001B6301" w:rsidRPr="001B6301">
              <w:rPr>
                <w:rFonts w:ascii="Times New Roman" w:eastAsia="Times New Roman" w:hAnsi="Times New Roman" w:cs="Times New Roman"/>
                <w:bCs/>
                <w:sz w:val="24"/>
                <w:szCs w:val="24"/>
                <w:lang w:val="ro-RO" w:eastAsia="ru-RU"/>
              </w:rPr>
              <w:t xml:space="preserve"> </w:t>
            </w:r>
            <w:proofErr w:type="spellStart"/>
            <w:r w:rsidR="001B6301" w:rsidRPr="001B6301">
              <w:rPr>
                <w:rFonts w:ascii="Times New Roman" w:eastAsia="Times New Roman" w:hAnsi="Times New Roman" w:cs="Times New Roman"/>
                <w:bCs/>
                <w:sz w:val="24"/>
                <w:szCs w:val="24"/>
                <w:lang w:val="ro-RO" w:eastAsia="ru-RU"/>
              </w:rPr>
              <w:t>instalaţiile</w:t>
            </w:r>
            <w:proofErr w:type="spellEnd"/>
            <w:r w:rsidR="001B6301" w:rsidRPr="001B6301">
              <w:rPr>
                <w:rFonts w:ascii="Times New Roman" w:eastAsia="Times New Roman" w:hAnsi="Times New Roman" w:cs="Times New Roman"/>
                <w:bCs/>
                <w:sz w:val="24"/>
                <w:szCs w:val="24"/>
                <w:lang w:val="ro-RO" w:eastAsia="ru-RU"/>
              </w:rPr>
              <w:t xml:space="preserve"> de încălzire cu </w:t>
            </w:r>
            <w:proofErr w:type="spellStart"/>
            <w:r w:rsidR="001B6301" w:rsidRPr="001B6301">
              <w:rPr>
                <w:rFonts w:ascii="Times New Roman" w:eastAsia="Times New Roman" w:hAnsi="Times New Roman" w:cs="Times New Roman"/>
                <w:bCs/>
                <w:sz w:val="24"/>
                <w:szCs w:val="24"/>
                <w:lang w:val="ro-RO" w:eastAsia="ru-RU"/>
              </w:rPr>
              <w:t>funcţie</w:t>
            </w:r>
            <w:proofErr w:type="spellEnd"/>
            <w:r w:rsidR="001B6301" w:rsidRPr="001B6301">
              <w:rPr>
                <w:rFonts w:ascii="Times New Roman" w:eastAsia="Times New Roman" w:hAnsi="Times New Roman" w:cs="Times New Roman"/>
                <w:bCs/>
                <w:sz w:val="24"/>
                <w:szCs w:val="24"/>
                <w:lang w:val="ro-RO" w:eastAsia="ru-RU"/>
              </w:rPr>
              <w:t xml:space="preserve"> dublă </w:t>
            </w:r>
            <w:r w:rsidR="00283E66">
              <w:rPr>
                <w:rFonts w:ascii="Times New Roman" w:eastAsia="Times New Roman" w:hAnsi="Times New Roman" w:cs="Times New Roman"/>
                <w:bCs/>
                <w:sz w:val="24"/>
                <w:szCs w:val="24"/>
                <w:lang w:val="ro-RO" w:eastAsia="ru-RU"/>
              </w:rPr>
              <w:t>(centralele termice cu funcția de preparare a apei calde menajere) la</w:t>
            </w:r>
            <w:r w:rsidR="00BB398D">
              <w:rPr>
                <w:rFonts w:ascii="Times New Roman" w:eastAsia="Times New Roman" w:hAnsi="Times New Roman" w:cs="Times New Roman"/>
                <w:bCs/>
                <w:sz w:val="24"/>
                <w:szCs w:val="24"/>
                <w:lang w:val="ro-RO" w:eastAsia="ru-RU"/>
              </w:rPr>
              <w:t xml:space="preserve"> realizările tehnologice curente și la</w:t>
            </w:r>
            <w:r w:rsidR="00283E66">
              <w:rPr>
                <w:rFonts w:ascii="Times New Roman" w:eastAsia="Times New Roman" w:hAnsi="Times New Roman" w:cs="Times New Roman"/>
                <w:bCs/>
                <w:sz w:val="24"/>
                <w:szCs w:val="24"/>
                <w:lang w:val="ro-RO" w:eastAsia="ru-RU"/>
              </w:rPr>
              <w:t xml:space="preserve"> cerințele de proiectare aplicabile la nivel european, în conformitate cu angajamentele asumate prin ratificarea </w:t>
            </w:r>
            <w:r w:rsidR="00283E66" w:rsidRPr="00283E66">
              <w:rPr>
                <w:rFonts w:ascii="Times New Roman" w:eastAsia="Times New Roman" w:hAnsi="Times New Roman" w:cs="Times New Roman"/>
                <w:bCs/>
                <w:sz w:val="24"/>
                <w:szCs w:val="24"/>
                <w:lang w:val="ro-RO" w:eastAsia="ru-RU"/>
              </w:rPr>
              <w:t>Acordului de Asociere Republi</w:t>
            </w:r>
            <w:r w:rsidR="00283E66">
              <w:rPr>
                <w:rFonts w:ascii="Times New Roman" w:eastAsia="Times New Roman" w:hAnsi="Times New Roman" w:cs="Times New Roman"/>
                <w:bCs/>
                <w:sz w:val="24"/>
                <w:szCs w:val="24"/>
                <w:lang w:val="ro-RO" w:eastAsia="ru-RU"/>
              </w:rPr>
              <w:t>ca Moldova – Uniunea Europeană,</w:t>
            </w:r>
            <w:r w:rsidR="00283E66" w:rsidRPr="00283E66">
              <w:rPr>
                <w:rFonts w:ascii="Times New Roman" w:eastAsia="Times New Roman" w:hAnsi="Times New Roman" w:cs="Times New Roman"/>
                <w:bCs/>
                <w:sz w:val="24"/>
                <w:szCs w:val="24"/>
                <w:lang w:val="ro-RO" w:eastAsia="ru-RU"/>
              </w:rPr>
              <w:t xml:space="preserve"> precum și a angajamentelor asumate de către Republica Moldova în cadrul Tratatului Comunității Energetice</w:t>
            </w:r>
            <w:r w:rsidR="00CB7EBF">
              <w:rPr>
                <w:rFonts w:ascii="Times New Roman" w:eastAsia="Times New Roman" w:hAnsi="Times New Roman" w:cs="Times New Roman"/>
                <w:bCs/>
                <w:sz w:val="24"/>
                <w:szCs w:val="24"/>
                <w:lang w:val="ro-RO" w:eastAsia="ru-RU"/>
              </w:rPr>
              <w:t>,</w:t>
            </w:r>
          </w:p>
        </w:tc>
      </w:tr>
      <w:tr w:rsidR="00B468B6" w:rsidRPr="00B76CED" w14:paraId="46266EB4" w14:textId="77777777" w:rsidTr="003319EB">
        <w:trPr>
          <w:jc w:val="center"/>
        </w:trPr>
        <w:tc>
          <w:tcPr>
            <w:tcW w:w="5000" w:type="pct"/>
            <w:gridSpan w:val="2"/>
            <w:shd w:val="clear" w:color="auto" w:fill="auto"/>
            <w:tcMar>
              <w:top w:w="15" w:type="dxa"/>
              <w:left w:w="45" w:type="dxa"/>
              <w:bottom w:w="15" w:type="dxa"/>
              <w:right w:w="45" w:type="dxa"/>
            </w:tcMar>
          </w:tcPr>
          <w:p w14:paraId="20F7312E" w14:textId="66666360" w:rsidR="00D225AE" w:rsidRPr="00EB1C0D" w:rsidRDefault="00D225AE"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5E6A76"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problema, persoanele/</w:t>
            </w:r>
            <w:r w:rsidR="005E6A76" w:rsidRPr="00EB1C0D">
              <w:rPr>
                <w:rFonts w:ascii="Times New Roman" w:eastAsia="Calibri" w:hAnsi="Times New Roman" w:cs="Times New Roman"/>
                <w:b/>
                <w:sz w:val="24"/>
                <w:szCs w:val="24"/>
                <w:lang w:val="ro-RO" w:eastAsia="en-GB"/>
              </w:rPr>
              <w:t>entitățile</w:t>
            </w:r>
            <w:r w:rsidRPr="00EB1C0D">
              <w:rPr>
                <w:rFonts w:ascii="Times New Roman" w:eastAsia="Calibri" w:hAnsi="Times New Roman" w:cs="Times New Roman"/>
                <w:b/>
                <w:sz w:val="24"/>
                <w:szCs w:val="24"/>
                <w:lang w:val="ro-RO" w:eastAsia="en-GB"/>
              </w:rPr>
              <w:t xml:space="preserve"> afectate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cele care contribuie la </w:t>
            </w:r>
            <w:r w:rsidR="005E6A76" w:rsidRPr="00EB1C0D">
              <w:rPr>
                <w:rFonts w:ascii="Times New Roman" w:eastAsia="Calibri" w:hAnsi="Times New Roman" w:cs="Times New Roman"/>
                <w:b/>
                <w:sz w:val="24"/>
                <w:szCs w:val="24"/>
                <w:lang w:val="ro-RO" w:eastAsia="en-GB"/>
              </w:rPr>
              <w:t>apariția</w:t>
            </w:r>
            <w:r w:rsidRPr="00EB1C0D">
              <w:rPr>
                <w:rFonts w:ascii="Times New Roman" w:eastAsia="Calibri" w:hAnsi="Times New Roman" w:cs="Times New Roman"/>
                <w:b/>
                <w:sz w:val="24"/>
                <w:szCs w:val="24"/>
                <w:lang w:val="ro-RO" w:eastAsia="en-GB"/>
              </w:rPr>
              <w:t xml:space="preserve"> problemei, cu justificarea </w:t>
            </w:r>
            <w:r w:rsidR="005E6A76" w:rsidRPr="00EB1C0D">
              <w:rPr>
                <w:rFonts w:ascii="Times New Roman" w:eastAsia="Calibri" w:hAnsi="Times New Roman" w:cs="Times New Roman"/>
                <w:b/>
                <w:sz w:val="24"/>
                <w:szCs w:val="24"/>
                <w:lang w:val="ro-RO" w:eastAsia="en-GB"/>
              </w:rPr>
              <w:t>necesității</w:t>
            </w:r>
            <w:r w:rsidRPr="00EB1C0D">
              <w:rPr>
                <w:rFonts w:ascii="Times New Roman" w:eastAsia="Calibri" w:hAnsi="Times New Roman" w:cs="Times New Roman"/>
                <w:b/>
                <w:sz w:val="24"/>
                <w:szCs w:val="24"/>
                <w:lang w:val="ro-RO" w:eastAsia="en-GB"/>
              </w:rPr>
              <w:t xml:space="preserve"> schimbării </w:t>
            </w:r>
            <w:r w:rsidR="005E6A76" w:rsidRPr="00EB1C0D">
              <w:rPr>
                <w:rFonts w:ascii="Times New Roman" w:eastAsia="Calibri" w:hAnsi="Times New Roman" w:cs="Times New Roman"/>
                <w:b/>
                <w:sz w:val="24"/>
                <w:szCs w:val="24"/>
                <w:lang w:val="ro-RO" w:eastAsia="en-GB"/>
              </w:rPr>
              <w:t>situației</w:t>
            </w:r>
            <w:r w:rsidRPr="00EB1C0D">
              <w:rPr>
                <w:rFonts w:ascii="Times New Roman" w:eastAsia="Calibri" w:hAnsi="Times New Roman" w:cs="Times New Roman"/>
                <w:b/>
                <w:sz w:val="24"/>
                <w:szCs w:val="24"/>
                <w:lang w:val="ro-RO" w:eastAsia="en-GB"/>
              </w:rPr>
              <w:t xml:space="preserve"> curente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viitoare, în baza dovezilor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datelor colectate </w:t>
            </w:r>
            <w:r w:rsidR="005E6A7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examinate</w:t>
            </w:r>
          </w:p>
        </w:tc>
      </w:tr>
      <w:tr w:rsidR="00B468B6" w:rsidRPr="00B76CED" w14:paraId="266B3D0D" w14:textId="77777777" w:rsidTr="00246FD5">
        <w:tblPrEx>
          <w:tblCellMar>
            <w:left w:w="108" w:type="dxa"/>
            <w:right w:w="108" w:type="dxa"/>
          </w:tblCellMar>
        </w:tblPrEx>
        <w:trPr>
          <w:jc w:val="center"/>
        </w:trPr>
        <w:tc>
          <w:tcPr>
            <w:tcW w:w="5000" w:type="pct"/>
            <w:gridSpan w:val="2"/>
            <w:shd w:val="clear" w:color="auto" w:fill="auto"/>
          </w:tcPr>
          <w:p w14:paraId="67C3EFEC" w14:textId="7FDA55DE" w:rsidR="00283E66" w:rsidRPr="00283E66" w:rsidRDefault="00283E66" w:rsidP="00283E66">
            <w:pPr>
              <w:spacing w:before="120" w:after="120"/>
              <w:jc w:val="both"/>
              <w:rPr>
                <w:rFonts w:ascii="Times New Roman" w:eastAsia="Times New Roman" w:hAnsi="Times New Roman" w:cs="Times New Roman"/>
                <w:bCs/>
                <w:sz w:val="24"/>
                <w:szCs w:val="24"/>
                <w:lang w:val="ro-RO" w:eastAsia="ru-RU"/>
              </w:rPr>
            </w:pPr>
            <w:r w:rsidRPr="00283E66">
              <w:rPr>
                <w:rFonts w:ascii="Times New Roman" w:eastAsia="Times New Roman" w:hAnsi="Times New Roman" w:cs="Times New Roman"/>
                <w:bCs/>
                <w:sz w:val="24"/>
                <w:szCs w:val="24"/>
                <w:lang w:val="ro-RO" w:eastAsia="ru-RU"/>
              </w:rPr>
              <w:t>În contextul implementării Acordului de Asociere Republica Moldova – Uniunea Europeană</w:t>
            </w:r>
            <w:r w:rsidRPr="00283E66">
              <w:rPr>
                <w:rFonts w:ascii="Times New Roman" w:eastAsia="Times New Roman" w:hAnsi="Times New Roman" w:cs="Times New Roman"/>
                <w:bCs/>
                <w:sz w:val="24"/>
                <w:szCs w:val="24"/>
                <w:vertAlign w:val="superscript"/>
                <w:lang w:val="ro-RO" w:eastAsia="ru-RU"/>
              </w:rPr>
              <w:footnoteReference w:id="1"/>
            </w:r>
            <w:r w:rsidRPr="00283E66">
              <w:rPr>
                <w:rFonts w:ascii="Times New Roman" w:eastAsia="Times New Roman" w:hAnsi="Times New Roman" w:cs="Times New Roman"/>
                <w:bCs/>
                <w:sz w:val="24"/>
                <w:szCs w:val="24"/>
                <w:lang w:val="ro-RO" w:eastAsia="ru-RU"/>
              </w:rPr>
              <w:t>, armonizării legislației în domeniul eficienței energetice la acquis-</w:t>
            </w:r>
            <w:proofErr w:type="spellStart"/>
            <w:r w:rsidRPr="00283E66">
              <w:rPr>
                <w:rFonts w:ascii="Times New Roman" w:eastAsia="Times New Roman" w:hAnsi="Times New Roman" w:cs="Times New Roman"/>
                <w:bCs/>
                <w:sz w:val="24"/>
                <w:szCs w:val="24"/>
                <w:lang w:val="ro-RO" w:eastAsia="ru-RU"/>
              </w:rPr>
              <w:t>ul</w:t>
            </w:r>
            <w:proofErr w:type="spellEnd"/>
            <w:r w:rsidRPr="00283E66">
              <w:rPr>
                <w:rFonts w:ascii="Times New Roman" w:eastAsia="Times New Roman" w:hAnsi="Times New Roman" w:cs="Times New Roman"/>
                <w:bCs/>
                <w:sz w:val="24"/>
                <w:szCs w:val="24"/>
                <w:lang w:val="ro-RO" w:eastAsia="ru-RU"/>
              </w:rPr>
              <w:t xml:space="preserve"> Uniunii Europene din sectorul respectiv, precum și a angajamentelor asumate de către Republica Moldova în cadrul Tratatului </w:t>
            </w:r>
            <w:r w:rsidRPr="00283E66">
              <w:rPr>
                <w:rFonts w:ascii="Times New Roman" w:eastAsia="Times New Roman" w:hAnsi="Times New Roman" w:cs="Times New Roman"/>
                <w:bCs/>
                <w:sz w:val="24"/>
                <w:szCs w:val="24"/>
                <w:lang w:val="ro-RO" w:eastAsia="ru-RU"/>
              </w:rPr>
              <w:lastRenderedPageBreak/>
              <w:t>Comunității Energetice</w:t>
            </w:r>
            <w:r w:rsidRPr="00283E66">
              <w:rPr>
                <w:rFonts w:ascii="Times New Roman" w:eastAsia="Times New Roman" w:hAnsi="Times New Roman" w:cs="Times New Roman"/>
                <w:bCs/>
                <w:sz w:val="24"/>
                <w:szCs w:val="24"/>
                <w:vertAlign w:val="superscript"/>
                <w:lang w:val="ro-RO" w:eastAsia="ru-RU"/>
              </w:rPr>
              <w:footnoteReference w:id="2"/>
            </w:r>
            <w:r w:rsidRPr="00283E66">
              <w:rPr>
                <w:rFonts w:ascii="Times New Roman" w:eastAsia="Times New Roman" w:hAnsi="Times New Roman" w:cs="Times New Roman"/>
                <w:bCs/>
                <w:sz w:val="24"/>
                <w:szCs w:val="24"/>
                <w:lang w:val="ro-RO" w:eastAsia="ru-RU"/>
              </w:rPr>
              <w:t xml:space="preserve">, Parlamentul Republicii Moldova a adoptat Legea nr. 151/2014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w:t>
            </w:r>
            <w:r w:rsidRPr="00283E66">
              <w:rPr>
                <w:rFonts w:ascii="Times New Roman" w:eastAsia="Times New Roman" w:hAnsi="Times New Roman" w:cs="Times New Roman"/>
                <w:b/>
                <w:bCs/>
                <w:i/>
                <w:sz w:val="24"/>
                <w:szCs w:val="24"/>
                <w:lang w:val="ro-RO" w:eastAsia="ru-RU"/>
              </w:rPr>
              <w:t>,</w:t>
            </w:r>
            <w:r w:rsidRPr="00283E66">
              <w:rPr>
                <w:rFonts w:ascii="Times New Roman" w:eastAsia="Times New Roman" w:hAnsi="Times New Roman" w:cs="Times New Roman"/>
                <w:bCs/>
                <w:sz w:val="24"/>
                <w:szCs w:val="24"/>
                <w:lang w:val="ro-RO" w:eastAsia="ru-RU"/>
              </w:rPr>
              <w:t xml:space="preserve"> prin care a fost transpusă Directiva 2009/125/CE a Parlamentului European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a Consiliului din 21 octombrie 2009 de instituire a unui cadru pentru stabilirea </w:t>
            </w:r>
            <w:proofErr w:type="spellStart"/>
            <w:r w:rsidRPr="00283E66">
              <w:rPr>
                <w:rFonts w:ascii="Times New Roman" w:eastAsia="Times New Roman" w:hAnsi="Times New Roman" w:cs="Times New Roman"/>
                <w:bCs/>
                <w:sz w:val="24"/>
                <w:szCs w:val="24"/>
                <w:lang w:val="ro-RO" w:eastAsia="ru-RU"/>
              </w:rPr>
              <w:t>cerinţelor</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62D811EA" w14:textId="3A5E5ECC" w:rsidR="00283E66" w:rsidRPr="00283E66" w:rsidRDefault="00283E66" w:rsidP="00283E66">
            <w:pPr>
              <w:spacing w:before="120" w:after="120" w:line="259" w:lineRule="auto"/>
              <w:jc w:val="both"/>
              <w:rPr>
                <w:rFonts w:ascii="Times New Roman" w:eastAsia="Times New Roman" w:hAnsi="Times New Roman" w:cs="Times New Roman"/>
                <w:bCs/>
                <w:sz w:val="24"/>
                <w:szCs w:val="24"/>
                <w:lang w:val="ro-RO" w:eastAsia="ru-RU"/>
              </w:rPr>
            </w:pPr>
            <w:r w:rsidRPr="00283E66">
              <w:rPr>
                <w:rFonts w:ascii="Times New Roman" w:eastAsia="Times New Roman" w:hAnsi="Times New Roman" w:cs="Times New Roman"/>
                <w:bCs/>
                <w:sz w:val="24"/>
                <w:szCs w:val="24"/>
                <w:lang w:val="ro-RO" w:eastAsia="ru-RU"/>
              </w:rPr>
              <w:t xml:space="preserve">Astfel, în conformitate cu prevederile art. 5, litera a) din Legea nr. 151/2014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 unde se stipulează că Ministerul</w:t>
            </w:r>
            <w:r>
              <w:rPr>
                <w:rFonts w:ascii="Times New Roman" w:eastAsia="Times New Roman" w:hAnsi="Times New Roman" w:cs="Times New Roman"/>
                <w:bCs/>
                <w:sz w:val="24"/>
                <w:szCs w:val="24"/>
                <w:lang w:val="ro-RO" w:eastAsia="ru-RU"/>
              </w:rPr>
              <w:t xml:space="preserve"> Economiei și Infrastructurii</w:t>
            </w:r>
            <w:r w:rsidRPr="00283E66">
              <w:rPr>
                <w:rFonts w:ascii="Times New Roman" w:eastAsia="Times New Roman" w:hAnsi="Times New Roman" w:cs="Times New Roman"/>
                <w:bCs/>
                <w:sz w:val="24"/>
                <w:szCs w:val="24"/>
                <w:lang w:val="ro-RO" w:eastAsia="ru-RU"/>
              </w:rPr>
              <w:t xml:space="preserve"> asigură elaborarea cadrului normativ pentru produsele cu impact energetic aferent proiectării ecologice, Ministerul a elaborat și promovat </w:t>
            </w:r>
            <w:proofErr w:type="spellStart"/>
            <w:r w:rsidRPr="00283E66">
              <w:rPr>
                <w:rFonts w:ascii="Times New Roman" w:eastAsia="Times New Roman" w:hAnsi="Times New Roman" w:cs="Times New Roman"/>
                <w:bCs/>
                <w:sz w:val="24"/>
                <w:szCs w:val="24"/>
                <w:lang w:val="ro-RO" w:eastAsia="ru-RU"/>
              </w:rPr>
              <w:t>Hotărîrea</w:t>
            </w:r>
            <w:proofErr w:type="spellEnd"/>
            <w:r w:rsidRPr="00283E66">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16342E67" w14:textId="7D3EB50A" w:rsidR="00283E66" w:rsidRPr="00283E66" w:rsidRDefault="00283E66" w:rsidP="00283E66">
            <w:pPr>
              <w:spacing w:before="120" w:after="120" w:line="259" w:lineRule="auto"/>
              <w:jc w:val="both"/>
              <w:rPr>
                <w:rFonts w:ascii="Times New Roman" w:eastAsia="Times New Roman" w:hAnsi="Times New Roman" w:cs="Times New Roman"/>
                <w:b/>
                <w:bCs/>
                <w:i/>
                <w:iCs/>
                <w:sz w:val="24"/>
                <w:szCs w:val="24"/>
                <w:lang w:val="ro-RO" w:eastAsia="ru-RU"/>
              </w:rPr>
            </w:pPr>
            <w:r>
              <w:rPr>
                <w:rFonts w:ascii="Times New Roman" w:eastAsia="Times New Roman" w:hAnsi="Times New Roman" w:cs="Times New Roman"/>
                <w:bCs/>
                <w:sz w:val="24"/>
                <w:szCs w:val="24"/>
                <w:lang w:val="ro-RO" w:eastAsia="ru-RU"/>
              </w:rPr>
              <w:t xml:space="preserve">Cele </w:t>
            </w:r>
            <w:r w:rsidR="00812375">
              <w:rPr>
                <w:rFonts w:ascii="Times New Roman" w:eastAsia="Times New Roman" w:hAnsi="Times New Roman" w:cs="Times New Roman"/>
                <w:bCs/>
                <w:sz w:val="24"/>
                <w:szCs w:val="24"/>
                <w:lang w:val="ro-RO" w:eastAsia="ru-RU"/>
              </w:rPr>
              <w:t xml:space="preserve">17 </w:t>
            </w:r>
            <w:r w:rsidRPr="00283E66">
              <w:rPr>
                <w:rFonts w:ascii="Times New Roman" w:eastAsia="Times New Roman" w:hAnsi="Times New Roman" w:cs="Times New Roman"/>
                <w:bCs/>
                <w:sz w:val="24"/>
                <w:szCs w:val="24"/>
                <w:lang w:val="ro-RO" w:eastAsia="ru-RU"/>
              </w:rPr>
              <w:t>Regulamente aprobate</w:t>
            </w:r>
            <w:r w:rsidR="00812375">
              <w:rPr>
                <w:rFonts w:ascii="Times New Roman" w:eastAsia="Times New Roman" w:hAnsi="Times New Roman" w:cs="Times New Roman"/>
                <w:bCs/>
                <w:sz w:val="24"/>
                <w:szCs w:val="24"/>
                <w:lang w:val="ro-RO" w:eastAsia="ru-RU"/>
              </w:rPr>
              <w:t>, până în prezent,</w:t>
            </w:r>
            <w:r w:rsidRPr="00283E66">
              <w:rPr>
                <w:rFonts w:ascii="Times New Roman" w:eastAsia="Times New Roman" w:hAnsi="Times New Roman" w:cs="Times New Roman"/>
                <w:bCs/>
                <w:sz w:val="24"/>
                <w:szCs w:val="24"/>
                <w:lang w:val="ro-RO" w:eastAsia="ru-RU"/>
              </w:rPr>
              <w:t xml:space="preserve"> prin </w:t>
            </w:r>
            <w:proofErr w:type="spellStart"/>
            <w:r w:rsidRPr="00283E66">
              <w:rPr>
                <w:rFonts w:ascii="Times New Roman" w:eastAsia="Times New Roman" w:hAnsi="Times New Roman" w:cs="Times New Roman"/>
                <w:bCs/>
                <w:sz w:val="24"/>
                <w:szCs w:val="24"/>
                <w:lang w:val="ro-RO" w:eastAsia="ru-RU"/>
              </w:rPr>
              <w:t>Hotărîrea</w:t>
            </w:r>
            <w:proofErr w:type="spellEnd"/>
            <w:r w:rsidRPr="00283E66">
              <w:rPr>
                <w:rFonts w:ascii="Times New Roman" w:eastAsia="Times New Roman" w:hAnsi="Times New Roman" w:cs="Times New Roman"/>
                <w:bCs/>
                <w:sz w:val="24"/>
                <w:szCs w:val="24"/>
                <w:lang w:val="ro-RO" w:eastAsia="ru-RU"/>
              </w:rPr>
              <w:t xml:space="preserve"> Guvernului 750/2016, transpun Regulamentele/ Directivele UE de punere în aplicare a Directivei 2009/125/CE, în conformitate cu prevederile de la Anexa VIII a Acordului de Asociere Republica Moldova – Uniunea Europeană, cu excepția Directivei 92/42/CEE a Consiliului din 21 mai 1992 privind cerințele de randament pentru cazanele noi de apă caldă cu combustie lichidă sau gazoasă, a cărei prevederi se regăsesc în </w:t>
            </w:r>
            <w:proofErr w:type="spellStart"/>
            <w:r w:rsidRPr="00283E66">
              <w:rPr>
                <w:rFonts w:ascii="Times New Roman" w:eastAsia="Times New Roman" w:hAnsi="Times New Roman" w:cs="Times New Roman"/>
                <w:bCs/>
                <w:sz w:val="24"/>
                <w:szCs w:val="24"/>
                <w:lang w:val="ro-RO" w:eastAsia="ru-RU"/>
              </w:rPr>
              <w:t>Hotărîrea</w:t>
            </w:r>
            <w:proofErr w:type="spellEnd"/>
            <w:r w:rsidRPr="00283E66">
              <w:rPr>
                <w:rFonts w:ascii="Times New Roman" w:eastAsia="Times New Roman" w:hAnsi="Times New Roman" w:cs="Times New Roman"/>
                <w:bCs/>
                <w:sz w:val="24"/>
                <w:szCs w:val="24"/>
                <w:lang w:val="ro-RO" w:eastAsia="ru-RU"/>
              </w:rPr>
              <w:t xml:space="preserve"> Guvernului nr. 428/2009 cu privire la aprobarea Reglementării tehnice „</w:t>
            </w:r>
            <w:proofErr w:type="spellStart"/>
            <w:r w:rsidRPr="00283E66">
              <w:rPr>
                <w:rFonts w:ascii="Times New Roman" w:eastAsia="Times New Roman" w:hAnsi="Times New Roman" w:cs="Times New Roman"/>
                <w:bCs/>
                <w:sz w:val="24"/>
                <w:szCs w:val="24"/>
                <w:lang w:val="ro-RO" w:eastAsia="ru-RU"/>
              </w:rPr>
              <w:t>Cerinţe</w:t>
            </w:r>
            <w:proofErr w:type="spellEnd"/>
            <w:r w:rsidRPr="00283E66">
              <w:rPr>
                <w:rFonts w:ascii="Times New Roman" w:eastAsia="Times New Roman" w:hAnsi="Times New Roman" w:cs="Times New Roman"/>
                <w:bCs/>
                <w:sz w:val="24"/>
                <w:szCs w:val="24"/>
                <w:lang w:val="ro-RO" w:eastAsia="ru-RU"/>
              </w:rPr>
              <w:t xml:space="preserve"> de randament pentru cazanele noi de apă caldă cu combustie lichidă sau gazoasă”.</w:t>
            </w:r>
          </w:p>
          <w:p w14:paraId="57FDA04F" w14:textId="77777777" w:rsidR="004661F2" w:rsidRDefault="00283E66" w:rsidP="00283E66">
            <w:pPr>
              <w:spacing w:before="120" w:after="0"/>
              <w:jc w:val="both"/>
              <w:rPr>
                <w:rFonts w:ascii="Times New Roman" w:eastAsia="Times New Roman" w:hAnsi="Times New Roman" w:cs="Times New Roman"/>
                <w:bCs/>
                <w:sz w:val="24"/>
                <w:szCs w:val="24"/>
                <w:lang w:val="ro-RO" w:eastAsia="ru-RU"/>
              </w:rPr>
            </w:pPr>
            <w:r w:rsidRPr="00283E66">
              <w:rPr>
                <w:rFonts w:ascii="Times New Roman" w:eastAsia="Times New Roman" w:hAnsi="Times New Roman" w:cs="Times New Roman"/>
                <w:bCs/>
                <w:sz w:val="24"/>
                <w:szCs w:val="24"/>
                <w:lang w:val="ro-RO" w:eastAsia="ru-RU"/>
              </w:rPr>
              <w:t xml:space="preserve">Astfel, având în vedere că până în prezent majoritatea articolelor ale Directivei 92/42/CEE au fost abrogate și înlocuite cu Regulamentul (UE) nr. 813/2013 a Parlamentului European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a Consiliului în ceea ce </w:t>
            </w:r>
            <w:proofErr w:type="spellStart"/>
            <w:r w:rsidRPr="00283E66">
              <w:rPr>
                <w:rFonts w:ascii="Times New Roman" w:eastAsia="Times New Roman" w:hAnsi="Times New Roman" w:cs="Times New Roman"/>
                <w:bCs/>
                <w:sz w:val="24"/>
                <w:szCs w:val="24"/>
                <w:lang w:val="ro-RO" w:eastAsia="ru-RU"/>
              </w:rPr>
              <w:t>priveşte</w:t>
            </w:r>
            <w:proofErr w:type="spellEnd"/>
            <w:r w:rsidRPr="00283E66">
              <w:rPr>
                <w:rFonts w:ascii="Times New Roman" w:eastAsia="Times New Roman" w:hAnsi="Times New Roman" w:cs="Times New Roman"/>
                <w:bCs/>
                <w:sz w:val="24"/>
                <w:szCs w:val="24"/>
                <w:lang w:val="ro-RO" w:eastAsia="ru-RU"/>
              </w:rPr>
              <w:t xml:space="preserve">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de proiectare ecologică pentru </w:t>
            </w:r>
            <w:proofErr w:type="spellStart"/>
            <w:r w:rsidRPr="00283E66">
              <w:rPr>
                <w:rFonts w:ascii="Times New Roman" w:eastAsia="Times New Roman" w:hAnsi="Times New Roman" w:cs="Times New Roman"/>
                <w:bCs/>
                <w:sz w:val="24"/>
                <w:szCs w:val="24"/>
                <w:lang w:val="ro-RO" w:eastAsia="ru-RU"/>
              </w:rPr>
              <w:t>instalaţiile</w:t>
            </w:r>
            <w:proofErr w:type="spellEnd"/>
            <w:r w:rsidRPr="00283E66">
              <w:rPr>
                <w:rFonts w:ascii="Times New Roman" w:eastAsia="Times New Roman" w:hAnsi="Times New Roman" w:cs="Times New Roman"/>
                <w:bCs/>
                <w:sz w:val="24"/>
                <w:szCs w:val="24"/>
                <w:lang w:val="ro-RO" w:eastAsia="ru-RU"/>
              </w:rPr>
              <w:t xml:space="preserve"> pentru încălzirea incintelor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w:t>
            </w:r>
            <w:proofErr w:type="spellStart"/>
            <w:r w:rsidRPr="00283E66">
              <w:rPr>
                <w:rFonts w:ascii="Times New Roman" w:eastAsia="Times New Roman" w:hAnsi="Times New Roman" w:cs="Times New Roman"/>
                <w:bCs/>
                <w:sz w:val="24"/>
                <w:szCs w:val="24"/>
                <w:lang w:val="ro-RO" w:eastAsia="ru-RU"/>
              </w:rPr>
              <w:t>instalaţiile</w:t>
            </w:r>
            <w:proofErr w:type="spellEnd"/>
            <w:r w:rsidRPr="00283E66">
              <w:rPr>
                <w:rFonts w:ascii="Times New Roman" w:eastAsia="Times New Roman" w:hAnsi="Times New Roman" w:cs="Times New Roman"/>
                <w:bCs/>
                <w:sz w:val="24"/>
                <w:szCs w:val="24"/>
                <w:lang w:val="ro-RO" w:eastAsia="ru-RU"/>
              </w:rPr>
              <w:t xml:space="preserve"> de încălzire cu </w:t>
            </w:r>
            <w:proofErr w:type="spellStart"/>
            <w:r w:rsidRPr="00283E66">
              <w:rPr>
                <w:rFonts w:ascii="Times New Roman" w:eastAsia="Times New Roman" w:hAnsi="Times New Roman" w:cs="Times New Roman"/>
                <w:bCs/>
                <w:sz w:val="24"/>
                <w:szCs w:val="24"/>
                <w:lang w:val="ro-RO" w:eastAsia="ru-RU"/>
              </w:rPr>
              <w:t>funcţie</w:t>
            </w:r>
            <w:proofErr w:type="spellEnd"/>
            <w:r w:rsidRPr="00283E66">
              <w:rPr>
                <w:rFonts w:ascii="Times New Roman" w:eastAsia="Times New Roman" w:hAnsi="Times New Roman" w:cs="Times New Roman"/>
                <w:bCs/>
                <w:sz w:val="24"/>
                <w:szCs w:val="24"/>
                <w:lang w:val="ro-RO" w:eastAsia="ru-RU"/>
              </w:rPr>
              <w:t xml:space="preserve"> dublă, și reieșind din prevederile pct. 2 al </w:t>
            </w:r>
            <w:proofErr w:type="spellStart"/>
            <w:r w:rsidRPr="00283E66">
              <w:rPr>
                <w:rFonts w:ascii="Times New Roman" w:eastAsia="Times New Roman" w:hAnsi="Times New Roman" w:cs="Times New Roman"/>
                <w:bCs/>
                <w:sz w:val="24"/>
                <w:szCs w:val="24"/>
                <w:lang w:val="ro-RO" w:eastAsia="ru-RU"/>
              </w:rPr>
              <w:t>Hotărîrii</w:t>
            </w:r>
            <w:proofErr w:type="spellEnd"/>
            <w:r w:rsidRPr="00283E66">
              <w:rPr>
                <w:rFonts w:ascii="Times New Roman" w:eastAsia="Times New Roman" w:hAnsi="Times New Roman" w:cs="Times New Roman"/>
                <w:bCs/>
                <w:sz w:val="24"/>
                <w:szCs w:val="24"/>
                <w:lang w:val="ro-RO" w:eastAsia="ru-RU"/>
              </w:rPr>
              <w:t xml:space="preserve"> Guvernului nr. 750/2016 prin care „</w:t>
            </w:r>
            <w:r w:rsidRPr="00283E66">
              <w:rPr>
                <w:rFonts w:ascii="Calibri" w:eastAsia="Calibri" w:hAnsi="Calibri" w:cs="Times New Roman"/>
                <w:lang w:val="ro-RO"/>
              </w:rPr>
              <w:t xml:space="preserve"> </w:t>
            </w:r>
            <w:r w:rsidRPr="00283E66">
              <w:rPr>
                <w:rFonts w:ascii="Times New Roman" w:eastAsia="Times New Roman" w:hAnsi="Times New Roman" w:cs="Times New Roman"/>
                <w:bCs/>
                <w:sz w:val="24"/>
                <w:szCs w:val="24"/>
                <w:lang w:val="ro-RO" w:eastAsia="ru-RU"/>
              </w:rPr>
              <w:t xml:space="preserve">Ministerul Economiei </w:t>
            </w:r>
            <w:proofErr w:type="spellStart"/>
            <w:r w:rsidRPr="00283E66">
              <w:rPr>
                <w:rFonts w:ascii="Times New Roman" w:eastAsia="Times New Roman" w:hAnsi="Times New Roman" w:cs="Times New Roman"/>
                <w:bCs/>
                <w:sz w:val="24"/>
                <w:szCs w:val="24"/>
                <w:lang w:val="ro-RO" w:eastAsia="ru-RU"/>
              </w:rPr>
              <w:t>şi</w:t>
            </w:r>
            <w:proofErr w:type="spellEnd"/>
            <w:r w:rsidRPr="00283E66">
              <w:rPr>
                <w:rFonts w:ascii="Times New Roman" w:eastAsia="Times New Roman" w:hAnsi="Times New Roman" w:cs="Times New Roman"/>
                <w:bCs/>
                <w:sz w:val="24"/>
                <w:szCs w:val="24"/>
                <w:lang w:val="ro-RO" w:eastAsia="ru-RU"/>
              </w:rPr>
              <w:t xml:space="preserve"> Infrastructurii va prezenta Guvernului propuneri privind revizuirea prezentei </w:t>
            </w:r>
            <w:proofErr w:type="spellStart"/>
            <w:r w:rsidRPr="00283E66">
              <w:rPr>
                <w:rFonts w:ascii="Times New Roman" w:eastAsia="Times New Roman" w:hAnsi="Times New Roman" w:cs="Times New Roman"/>
                <w:bCs/>
                <w:sz w:val="24"/>
                <w:szCs w:val="24"/>
                <w:lang w:val="ro-RO" w:eastAsia="ru-RU"/>
              </w:rPr>
              <w:t>hotărîri</w:t>
            </w:r>
            <w:proofErr w:type="spellEnd"/>
            <w:r w:rsidRPr="00283E66">
              <w:rPr>
                <w:rFonts w:ascii="Times New Roman" w:eastAsia="Times New Roman" w:hAnsi="Times New Roman" w:cs="Times New Roman"/>
                <w:bCs/>
                <w:sz w:val="24"/>
                <w:szCs w:val="24"/>
                <w:lang w:val="ro-RO" w:eastAsia="ru-RU"/>
              </w:rPr>
              <w:t xml:space="preserve"> în </w:t>
            </w:r>
            <w:proofErr w:type="spellStart"/>
            <w:r w:rsidRPr="00283E66">
              <w:rPr>
                <w:rFonts w:ascii="Times New Roman" w:eastAsia="Times New Roman" w:hAnsi="Times New Roman" w:cs="Times New Roman"/>
                <w:bCs/>
                <w:sz w:val="24"/>
                <w:szCs w:val="24"/>
                <w:lang w:val="ro-RO" w:eastAsia="ru-RU"/>
              </w:rPr>
              <w:t>funcţie</w:t>
            </w:r>
            <w:proofErr w:type="spellEnd"/>
            <w:r w:rsidRPr="00283E66">
              <w:rPr>
                <w:rFonts w:ascii="Times New Roman" w:eastAsia="Times New Roman" w:hAnsi="Times New Roman" w:cs="Times New Roman"/>
                <w:bCs/>
                <w:sz w:val="24"/>
                <w:szCs w:val="24"/>
                <w:lang w:val="ro-RO" w:eastAsia="ru-RU"/>
              </w:rPr>
              <w:t xml:space="preserve"> de progresele tehnologice” a fost elaborat proiectul </w:t>
            </w:r>
            <w:proofErr w:type="spellStart"/>
            <w:r w:rsidRPr="00283E66">
              <w:rPr>
                <w:rFonts w:ascii="Times New Roman" w:eastAsia="Times New Roman" w:hAnsi="Times New Roman" w:cs="Times New Roman"/>
                <w:bCs/>
                <w:sz w:val="24"/>
                <w:szCs w:val="24"/>
                <w:lang w:val="ro-RO" w:eastAsia="ru-RU"/>
              </w:rPr>
              <w:t>Hotărîrii</w:t>
            </w:r>
            <w:proofErr w:type="spellEnd"/>
            <w:r w:rsidRPr="00283E66">
              <w:rPr>
                <w:rFonts w:ascii="Times New Roman" w:eastAsia="Times New Roman" w:hAnsi="Times New Roman" w:cs="Times New Roman"/>
                <w:bCs/>
                <w:sz w:val="24"/>
                <w:szCs w:val="24"/>
                <w:lang w:val="ro-RO" w:eastAsia="ru-RU"/>
              </w:rPr>
              <w:t xml:space="preserve"> Guvernului cu privire la modificarea </w:t>
            </w:r>
            <w:proofErr w:type="spellStart"/>
            <w:r w:rsidRPr="00283E66">
              <w:rPr>
                <w:rFonts w:ascii="Times New Roman" w:eastAsia="Times New Roman" w:hAnsi="Times New Roman" w:cs="Times New Roman"/>
                <w:bCs/>
                <w:sz w:val="24"/>
                <w:szCs w:val="24"/>
                <w:lang w:val="ro-RO" w:eastAsia="ru-RU"/>
              </w:rPr>
              <w:t>Hotărîrii</w:t>
            </w:r>
            <w:proofErr w:type="spellEnd"/>
            <w:r w:rsidRPr="00283E66">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83E66">
              <w:rPr>
                <w:rFonts w:ascii="Times New Roman" w:eastAsia="Times New Roman" w:hAnsi="Times New Roman" w:cs="Times New Roman"/>
                <w:bCs/>
                <w:sz w:val="24"/>
                <w:szCs w:val="24"/>
                <w:lang w:val="ro-RO" w:eastAsia="ru-RU"/>
              </w:rPr>
              <w:t>cerinţele</w:t>
            </w:r>
            <w:proofErr w:type="spellEnd"/>
            <w:r w:rsidRPr="00283E66">
              <w:rPr>
                <w:rFonts w:ascii="Times New Roman" w:eastAsia="Times New Roman" w:hAnsi="Times New Roman" w:cs="Times New Roman"/>
                <w:bCs/>
                <w:sz w:val="24"/>
                <w:szCs w:val="24"/>
                <w:lang w:val="ro-RO" w:eastAsia="ru-RU"/>
              </w:rPr>
              <w:t xml:space="preserve"> în materie de proiectare ecologică aplicabile produselor cu impact energetic și abrogarea unei hotărâri de guvern.</w:t>
            </w:r>
          </w:p>
          <w:p w14:paraId="11492D15" w14:textId="3961B7E3" w:rsidR="004B6593" w:rsidRPr="00470266" w:rsidRDefault="004B6593" w:rsidP="00786F98">
            <w:pPr>
              <w:spacing w:before="120" w:after="0"/>
              <w:jc w:val="both"/>
              <w:rPr>
                <w:rFonts w:ascii="Times New Roman" w:hAnsi="Times New Roman"/>
                <w:sz w:val="24"/>
                <w:szCs w:val="24"/>
                <w:shd w:val="clear" w:color="auto" w:fill="FFFFFF"/>
                <w:lang w:val="ro-RO" w:eastAsia="ar-SA"/>
              </w:rPr>
            </w:pPr>
            <w:r w:rsidRPr="00786F98">
              <w:rPr>
                <w:rFonts w:ascii="Times New Roman" w:eastAsia="Times New Roman" w:hAnsi="Times New Roman" w:cs="Times New Roman"/>
                <w:bCs/>
                <w:sz w:val="24"/>
                <w:szCs w:val="24"/>
                <w:lang w:val="ro-RO" w:eastAsia="ru-RU"/>
              </w:rPr>
              <w:t>Regulamentul</w:t>
            </w:r>
            <w:r>
              <w:rPr>
                <w:rFonts w:ascii="Times New Roman" w:hAnsi="Times New Roman"/>
                <w:bCs/>
                <w:sz w:val="24"/>
                <w:szCs w:val="24"/>
                <w:shd w:val="clear" w:color="auto" w:fill="FFFFFF"/>
                <w:lang w:val="ro-RO" w:eastAsia="ar-SA"/>
              </w:rPr>
              <w:t xml:space="preserve"> vin</w:t>
            </w:r>
            <w:r w:rsidR="00786F98">
              <w:rPr>
                <w:rFonts w:ascii="Times New Roman" w:hAnsi="Times New Roman"/>
                <w:bCs/>
                <w:sz w:val="24"/>
                <w:szCs w:val="24"/>
                <w:shd w:val="clear" w:color="auto" w:fill="FFFFFF"/>
                <w:lang w:val="ro-RO" w:eastAsia="ar-SA"/>
              </w:rPr>
              <w:t>e să actualizeze la</w:t>
            </w:r>
            <w:r>
              <w:rPr>
                <w:rFonts w:ascii="Times New Roman" w:hAnsi="Times New Roman"/>
                <w:bCs/>
                <w:sz w:val="24"/>
                <w:szCs w:val="24"/>
                <w:shd w:val="clear" w:color="auto" w:fill="FFFFFF"/>
                <w:lang w:val="ro-RO" w:eastAsia="ar-SA"/>
              </w:rPr>
              <w:t xml:space="preserve"> condițiile de</w:t>
            </w:r>
            <w:r w:rsidR="00786F98">
              <w:rPr>
                <w:rFonts w:ascii="Times New Roman" w:hAnsi="Times New Roman"/>
                <w:bCs/>
                <w:sz w:val="24"/>
                <w:szCs w:val="24"/>
                <w:shd w:val="clear" w:color="auto" w:fill="FFFFFF"/>
                <w:lang w:val="ro-RO" w:eastAsia="ar-SA"/>
              </w:rPr>
              <w:t xml:space="preserve"> dezvoltare tehnologică actuale</w:t>
            </w:r>
            <w:r>
              <w:rPr>
                <w:rFonts w:ascii="Times New Roman" w:hAnsi="Times New Roman"/>
                <w:bCs/>
                <w:sz w:val="24"/>
                <w:szCs w:val="24"/>
                <w:shd w:val="clear" w:color="auto" w:fill="FFFFFF"/>
                <w:lang w:val="ro-RO" w:eastAsia="ar-SA"/>
              </w:rPr>
              <w:t xml:space="preserve"> o serie de cerințe tehnice aplicabile instalațiilor</w:t>
            </w:r>
            <w:r w:rsidRPr="00470266">
              <w:rPr>
                <w:rFonts w:ascii="Times New Roman" w:hAnsi="Times New Roman"/>
                <w:bCs/>
                <w:sz w:val="24"/>
                <w:szCs w:val="24"/>
                <w:shd w:val="clear" w:color="auto" w:fill="FFFFFF"/>
                <w:lang w:val="ro-RO" w:eastAsia="ar-SA"/>
              </w:rPr>
              <w:t xml:space="preserve"> pentru încăl</w:t>
            </w:r>
            <w:r>
              <w:rPr>
                <w:rFonts w:ascii="Times New Roman" w:hAnsi="Times New Roman"/>
                <w:bCs/>
                <w:sz w:val="24"/>
                <w:szCs w:val="24"/>
                <w:shd w:val="clear" w:color="auto" w:fill="FFFFFF"/>
                <w:lang w:val="ro-RO" w:eastAsia="ar-SA"/>
              </w:rPr>
              <w:t xml:space="preserve">zirea incintelor </w:t>
            </w:r>
            <w:proofErr w:type="spellStart"/>
            <w:r>
              <w:rPr>
                <w:rFonts w:ascii="Times New Roman" w:hAnsi="Times New Roman"/>
                <w:bCs/>
                <w:sz w:val="24"/>
                <w:szCs w:val="24"/>
                <w:shd w:val="clear" w:color="auto" w:fill="FFFFFF"/>
                <w:lang w:val="ro-RO" w:eastAsia="ar-SA"/>
              </w:rPr>
              <w:t>şi</w:t>
            </w:r>
            <w:proofErr w:type="spellEnd"/>
            <w:r>
              <w:rPr>
                <w:rFonts w:ascii="Times New Roman" w:hAnsi="Times New Roman"/>
                <w:bCs/>
                <w:sz w:val="24"/>
                <w:szCs w:val="24"/>
                <w:shd w:val="clear" w:color="auto" w:fill="FFFFFF"/>
                <w:lang w:val="ro-RO" w:eastAsia="ar-SA"/>
              </w:rPr>
              <w:t xml:space="preserve"> </w:t>
            </w:r>
            <w:proofErr w:type="spellStart"/>
            <w:r>
              <w:rPr>
                <w:rFonts w:ascii="Times New Roman" w:hAnsi="Times New Roman"/>
                <w:bCs/>
                <w:sz w:val="24"/>
                <w:szCs w:val="24"/>
                <w:shd w:val="clear" w:color="auto" w:fill="FFFFFF"/>
                <w:lang w:val="ro-RO" w:eastAsia="ar-SA"/>
              </w:rPr>
              <w:t>instalaţiilor</w:t>
            </w:r>
            <w:proofErr w:type="spellEnd"/>
            <w:r w:rsidRPr="00470266">
              <w:rPr>
                <w:rFonts w:ascii="Times New Roman" w:hAnsi="Times New Roman"/>
                <w:bCs/>
                <w:sz w:val="24"/>
                <w:szCs w:val="24"/>
                <w:shd w:val="clear" w:color="auto" w:fill="FFFFFF"/>
                <w:lang w:val="ro-RO" w:eastAsia="ar-SA"/>
              </w:rPr>
              <w:t xml:space="preserve"> de încălzire cu </w:t>
            </w:r>
            <w:proofErr w:type="spellStart"/>
            <w:r w:rsidRPr="00470266">
              <w:rPr>
                <w:rFonts w:ascii="Times New Roman" w:hAnsi="Times New Roman"/>
                <w:bCs/>
                <w:sz w:val="24"/>
                <w:szCs w:val="24"/>
                <w:shd w:val="clear" w:color="auto" w:fill="FFFFFF"/>
                <w:lang w:val="ro-RO" w:eastAsia="ar-SA"/>
              </w:rPr>
              <w:t>funcţie</w:t>
            </w:r>
            <w:proofErr w:type="spellEnd"/>
            <w:r w:rsidRPr="00470266">
              <w:rPr>
                <w:rFonts w:ascii="Times New Roman" w:hAnsi="Times New Roman"/>
                <w:bCs/>
                <w:sz w:val="24"/>
                <w:szCs w:val="24"/>
                <w:shd w:val="clear" w:color="auto" w:fill="FFFFFF"/>
                <w:lang w:val="ro-RO" w:eastAsia="ar-SA"/>
              </w:rPr>
              <w:t xml:space="preserve"> dublă</w:t>
            </w:r>
            <w:r>
              <w:rPr>
                <w:rFonts w:ascii="Times New Roman" w:hAnsi="Times New Roman"/>
                <w:bCs/>
                <w:sz w:val="24"/>
                <w:szCs w:val="24"/>
                <w:shd w:val="clear" w:color="auto" w:fill="FFFFFF"/>
                <w:lang w:val="ro-RO" w:eastAsia="ar-SA"/>
              </w:rPr>
              <w:t xml:space="preserve"> (centrale </w:t>
            </w:r>
            <w:proofErr w:type="spellStart"/>
            <w:r>
              <w:rPr>
                <w:rFonts w:ascii="Times New Roman" w:hAnsi="Times New Roman"/>
                <w:bCs/>
                <w:sz w:val="24"/>
                <w:szCs w:val="24"/>
                <w:shd w:val="clear" w:color="auto" w:fill="FFFFFF"/>
                <w:lang w:val="ro-RO" w:eastAsia="ar-SA"/>
              </w:rPr>
              <w:t>temice</w:t>
            </w:r>
            <w:proofErr w:type="spellEnd"/>
            <w:r>
              <w:rPr>
                <w:rFonts w:ascii="Times New Roman" w:hAnsi="Times New Roman"/>
                <w:bCs/>
                <w:sz w:val="24"/>
                <w:szCs w:val="24"/>
                <w:shd w:val="clear" w:color="auto" w:fill="FFFFFF"/>
                <w:lang w:val="ro-RO" w:eastAsia="ar-SA"/>
              </w:rPr>
              <w:t xml:space="preserve"> și centrale </w:t>
            </w:r>
            <w:proofErr w:type="spellStart"/>
            <w:r>
              <w:rPr>
                <w:rFonts w:ascii="Times New Roman" w:hAnsi="Times New Roman"/>
                <w:bCs/>
                <w:sz w:val="24"/>
                <w:szCs w:val="24"/>
                <w:shd w:val="clear" w:color="auto" w:fill="FFFFFF"/>
                <w:lang w:val="ro-RO" w:eastAsia="ar-SA"/>
              </w:rPr>
              <w:t>temice</w:t>
            </w:r>
            <w:proofErr w:type="spellEnd"/>
            <w:r>
              <w:rPr>
                <w:rFonts w:ascii="Times New Roman" w:hAnsi="Times New Roman"/>
                <w:bCs/>
                <w:sz w:val="24"/>
                <w:szCs w:val="24"/>
                <w:shd w:val="clear" w:color="auto" w:fill="FFFFFF"/>
                <w:lang w:val="ro-RO" w:eastAsia="ar-SA"/>
              </w:rPr>
              <w:t xml:space="preserve"> cu funcția de preparare a apei calde menajere) plasate pe piața Republicii Moldova. </w:t>
            </w:r>
            <w:r>
              <w:rPr>
                <w:rFonts w:ascii="Times New Roman" w:hAnsi="Times New Roman"/>
                <w:sz w:val="24"/>
                <w:szCs w:val="24"/>
                <w:shd w:val="clear" w:color="auto" w:fill="FFFFFF"/>
                <w:lang w:val="ro-RO" w:eastAsia="ar-SA"/>
              </w:rPr>
              <w:t>Regulamentul stabilește</w:t>
            </w:r>
            <w:r w:rsidRPr="00470266">
              <w:rPr>
                <w:rFonts w:ascii="Times New Roman" w:hAnsi="Times New Roman"/>
                <w:sz w:val="24"/>
                <w:szCs w:val="24"/>
                <w:shd w:val="clear" w:color="auto" w:fill="FFFFFF"/>
                <w:lang w:val="ro-RO" w:eastAsia="ar-SA"/>
              </w:rPr>
              <w:t xml:space="preserve"> următoarele</w:t>
            </w:r>
            <w:r>
              <w:rPr>
                <w:rFonts w:ascii="Times New Roman" w:hAnsi="Times New Roman"/>
                <w:sz w:val="24"/>
                <w:szCs w:val="24"/>
                <w:shd w:val="clear" w:color="auto" w:fill="FFFFFF"/>
                <w:lang w:val="ro-RO" w:eastAsia="ar-SA"/>
              </w:rPr>
              <w:t xml:space="preserve"> cerințe tehnice</w:t>
            </w:r>
            <w:r w:rsidRPr="00470266">
              <w:rPr>
                <w:rFonts w:ascii="Times New Roman" w:hAnsi="Times New Roman"/>
                <w:sz w:val="24"/>
                <w:szCs w:val="24"/>
                <w:shd w:val="clear" w:color="auto" w:fill="FFFFFF"/>
                <w:lang w:val="ro-RO" w:eastAsia="ar-SA"/>
              </w:rPr>
              <w:t xml:space="preserve">: </w:t>
            </w:r>
          </w:p>
          <w:p w14:paraId="7517EE97" w14:textId="77777777" w:rsidR="004B6593" w:rsidRPr="00470266"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privind randamentul energetic sezonier aferent încălzirii incintelor;</w:t>
            </w:r>
          </w:p>
          <w:p w14:paraId="32291316" w14:textId="77777777" w:rsidR="004B6593" w:rsidRPr="00470266"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privind randamentul energetic aferent încălzirii apei;</w:t>
            </w:r>
          </w:p>
          <w:p w14:paraId="6CCE131F" w14:textId="77777777" w:rsidR="004B6593"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privind nivelul de putere acustică</w:t>
            </w:r>
            <w:r>
              <w:rPr>
                <w:rFonts w:ascii="Times New Roman" w:hAnsi="Times New Roman"/>
                <w:sz w:val="24"/>
                <w:szCs w:val="24"/>
                <w:shd w:val="clear" w:color="auto" w:fill="FFFFFF"/>
                <w:lang w:val="ro-RO" w:eastAsia="ar-SA"/>
              </w:rPr>
              <w:t xml:space="preserve"> (nivelul de zgomot);</w:t>
            </w:r>
          </w:p>
          <w:p w14:paraId="38C08E30" w14:textId="77777777" w:rsidR="004B6593" w:rsidRDefault="004B6593" w:rsidP="004B6593">
            <w:pPr>
              <w:pStyle w:val="ListParagraph"/>
              <w:numPr>
                <w:ilvl w:val="0"/>
                <w:numId w:val="21"/>
              </w:numPr>
              <w:spacing w:after="160" w:line="259" w:lineRule="auto"/>
              <w:rPr>
                <w:rFonts w:ascii="Times New Roman" w:hAnsi="Times New Roman"/>
                <w:sz w:val="24"/>
                <w:szCs w:val="24"/>
                <w:shd w:val="clear" w:color="auto" w:fill="FFFFFF"/>
                <w:lang w:val="ro-RO" w:eastAsia="ar-SA"/>
              </w:rPr>
            </w:pPr>
            <w:proofErr w:type="spellStart"/>
            <w:r w:rsidRPr="00470266">
              <w:rPr>
                <w:rFonts w:ascii="Times New Roman" w:hAnsi="Times New Roman"/>
                <w:sz w:val="24"/>
                <w:szCs w:val="24"/>
                <w:shd w:val="clear" w:color="auto" w:fill="FFFFFF"/>
                <w:lang w:val="ro-RO" w:eastAsia="ar-SA"/>
              </w:rPr>
              <w:t>cerinţe</w:t>
            </w:r>
            <w:proofErr w:type="spellEnd"/>
            <w:r w:rsidRPr="00470266">
              <w:rPr>
                <w:rFonts w:ascii="Times New Roman" w:hAnsi="Times New Roman"/>
                <w:sz w:val="24"/>
                <w:szCs w:val="24"/>
                <w:shd w:val="clear" w:color="auto" w:fill="FFFFFF"/>
                <w:lang w:val="ro-RO" w:eastAsia="ar-SA"/>
              </w:rPr>
              <w:t xml:space="preserve"> pr</w:t>
            </w:r>
            <w:r>
              <w:rPr>
                <w:rFonts w:ascii="Times New Roman" w:hAnsi="Times New Roman"/>
                <w:sz w:val="24"/>
                <w:szCs w:val="24"/>
                <w:shd w:val="clear" w:color="auto" w:fill="FFFFFF"/>
                <w:lang w:val="ro-RO" w:eastAsia="ar-SA"/>
              </w:rPr>
              <w:t>ivind emisiile de oxizi de azot.</w:t>
            </w:r>
          </w:p>
          <w:p w14:paraId="4E1BA014" w14:textId="77777777" w:rsidR="004B6593" w:rsidRDefault="004B6593" w:rsidP="004B6593">
            <w:pPr>
              <w:spacing w:before="120"/>
              <w:ind w:right="176"/>
              <w:jc w:val="both"/>
              <w:rPr>
                <w:rFonts w:ascii="Times New Roman" w:hAnsi="Times New Roman"/>
                <w:sz w:val="24"/>
                <w:szCs w:val="24"/>
                <w:shd w:val="clear" w:color="auto" w:fill="FFFFFF"/>
                <w:lang w:val="ro-RO" w:eastAsia="ar-SA"/>
              </w:rPr>
            </w:pPr>
            <w:r w:rsidRPr="00470266">
              <w:rPr>
                <w:rFonts w:ascii="Times New Roman" w:hAnsi="Times New Roman"/>
                <w:sz w:val="24"/>
                <w:szCs w:val="24"/>
                <w:shd w:val="clear" w:color="auto" w:fill="FFFFFF"/>
                <w:lang w:val="ro-RO" w:eastAsia="ar-SA"/>
              </w:rPr>
              <w:t xml:space="preserve">De asemenea, </w:t>
            </w:r>
            <w:r>
              <w:rPr>
                <w:rFonts w:ascii="Times New Roman" w:hAnsi="Times New Roman"/>
                <w:sz w:val="24"/>
                <w:szCs w:val="24"/>
                <w:shd w:val="clear" w:color="auto" w:fill="FFFFFF"/>
                <w:lang w:val="ro-RO" w:eastAsia="ar-SA"/>
              </w:rPr>
              <w:t xml:space="preserve">regulamentul stabilește și procedurile prin care producătorii de astfel de instalații cât și organele abilitate cu funcție de control și sau supraveghere a pieței verifică conformitatea produselor cu cerințele stabilite de Regulament și </w:t>
            </w:r>
            <w:r w:rsidRPr="00470266">
              <w:rPr>
                <w:rFonts w:ascii="Times New Roman" w:hAnsi="Times New Roman"/>
                <w:sz w:val="24"/>
                <w:szCs w:val="24"/>
                <w:shd w:val="clear" w:color="auto" w:fill="FFFFFF"/>
                <w:lang w:val="ro-RO" w:eastAsia="ar-SA"/>
              </w:rPr>
              <w:t xml:space="preserve">standardele armonizate lista indicativelor </w:t>
            </w:r>
            <w:proofErr w:type="spellStart"/>
            <w:r w:rsidRPr="00470266">
              <w:rPr>
                <w:rFonts w:ascii="Times New Roman" w:hAnsi="Times New Roman"/>
                <w:sz w:val="24"/>
                <w:szCs w:val="24"/>
                <w:shd w:val="clear" w:color="auto" w:fill="FFFFFF"/>
                <w:lang w:val="ro-RO" w:eastAsia="ar-SA"/>
              </w:rPr>
              <w:t>şi</w:t>
            </w:r>
            <w:proofErr w:type="spellEnd"/>
            <w:r w:rsidRPr="00470266">
              <w:rPr>
                <w:rFonts w:ascii="Times New Roman" w:hAnsi="Times New Roman"/>
                <w:sz w:val="24"/>
                <w:szCs w:val="24"/>
                <w:shd w:val="clear" w:color="auto" w:fill="FFFFFF"/>
                <w:lang w:val="ro-RO" w:eastAsia="ar-SA"/>
              </w:rPr>
              <w:t xml:space="preserve"> titlurilor standardelor, aprobată de Ministerul Economiei </w:t>
            </w:r>
            <w:proofErr w:type="spellStart"/>
            <w:r w:rsidRPr="00470266">
              <w:rPr>
                <w:rFonts w:ascii="Times New Roman" w:hAnsi="Times New Roman"/>
                <w:sz w:val="24"/>
                <w:szCs w:val="24"/>
                <w:shd w:val="clear" w:color="auto" w:fill="FFFFFF"/>
                <w:lang w:val="ro-RO" w:eastAsia="ar-SA"/>
              </w:rPr>
              <w:t>şi</w:t>
            </w:r>
            <w:proofErr w:type="spellEnd"/>
            <w:r w:rsidRPr="00470266">
              <w:rPr>
                <w:rFonts w:ascii="Times New Roman" w:hAnsi="Times New Roman"/>
                <w:sz w:val="24"/>
                <w:szCs w:val="24"/>
                <w:shd w:val="clear" w:color="auto" w:fill="FFFFFF"/>
                <w:lang w:val="ro-RO" w:eastAsia="ar-SA"/>
              </w:rPr>
              <w:t xml:space="preserve"> Infrastructurii </w:t>
            </w:r>
            <w:proofErr w:type="spellStart"/>
            <w:r w:rsidRPr="00470266">
              <w:rPr>
                <w:rFonts w:ascii="Times New Roman" w:hAnsi="Times New Roman"/>
                <w:sz w:val="24"/>
                <w:szCs w:val="24"/>
                <w:shd w:val="clear" w:color="auto" w:fill="FFFFFF"/>
                <w:lang w:val="ro-RO" w:eastAsia="ar-SA"/>
              </w:rPr>
              <w:t>şi</w:t>
            </w:r>
            <w:proofErr w:type="spellEnd"/>
            <w:r w:rsidRPr="00470266">
              <w:rPr>
                <w:rFonts w:ascii="Times New Roman" w:hAnsi="Times New Roman"/>
                <w:sz w:val="24"/>
                <w:szCs w:val="24"/>
                <w:shd w:val="clear" w:color="auto" w:fill="FFFFFF"/>
                <w:lang w:val="ro-RO" w:eastAsia="ar-SA"/>
              </w:rPr>
              <w:t xml:space="preserve"> publicată în Monitorul Oficial al Republicii Moldova (în temeiul articolului 7 aliniatul (2) din Legea nr. 420 din 22 decembrie 2006 privind activitatea de reglementare tehnică</w:t>
            </w:r>
            <w:r>
              <w:rPr>
                <w:rFonts w:ascii="Times New Roman" w:hAnsi="Times New Roman"/>
                <w:sz w:val="24"/>
                <w:szCs w:val="24"/>
                <w:shd w:val="clear" w:color="auto" w:fill="FFFFFF"/>
                <w:lang w:val="ro-RO" w:eastAsia="ar-SA"/>
              </w:rPr>
              <w:t>.</w:t>
            </w:r>
          </w:p>
          <w:p w14:paraId="55FAEAC3" w14:textId="14D8F489" w:rsidR="004B6593" w:rsidRDefault="004B6593" w:rsidP="004B6593">
            <w:pPr>
              <w:spacing w:before="120" w:after="0"/>
              <w:jc w:val="both"/>
              <w:rPr>
                <w:rFonts w:ascii="Times New Roman" w:eastAsia="Times New Roman" w:hAnsi="Times New Roman" w:cs="Times New Roman"/>
                <w:bCs/>
                <w:sz w:val="24"/>
                <w:szCs w:val="24"/>
                <w:lang w:val="ro-RO" w:eastAsia="ru-RU"/>
              </w:rPr>
            </w:pPr>
            <w:r>
              <w:rPr>
                <w:rFonts w:ascii="Times New Roman" w:hAnsi="Times New Roman"/>
                <w:sz w:val="24"/>
                <w:szCs w:val="24"/>
                <w:shd w:val="clear" w:color="auto" w:fill="FFFFFF"/>
                <w:lang w:val="ro-RO" w:eastAsia="ar-SA"/>
              </w:rPr>
              <w:lastRenderedPageBreak/>
              <w:t xml:space="preserve">În același timp, proiectul </w:t>
            </w:r>
            <w:proofErr w:type="spellStart"/>
            <w:r>
              <w:rPr>
                <w:rFonts w:ascii="Times New Roman" w:hAnsi="Times New Roman"/>
                <w:sz w:val="24"/>
                <w:szCs w:val="24"/>
                <w:shd w:val="clear" w:color="auto" w:fill="FFFFFF"/>
                <w:lang w:val="ro-RO" w:eastAsia="ar-SA"/>
              </w:rPr>
              <w:t>Hotărîrii</w:t>
            </w:r>
            <w:proofErr w:type="spellEnd"/>
            <w:r>
              <w:rPr>
                <w:rFonts w:ascii="Times New Roman" w:hAnsi="Times New Roman"/>
                <w:sz w:val="24"/>
                <w:szCs w:val="24"/>
                <w:shd w:val="clear" w:color="auto" w:fill="FFFFFF"/>
                <w:lang w:val="ro-RO" w:eastAsia="ar-SA"/>
              </w:rPr>
              <w:t xml:space="preserve"> vine să abroge </w:t>
            </w:r>
            <w:proofErr w:type="spellStart"/>
            <w:r w:rsidRPr="00B645C9">
              <w:rPr>
                <w:rFonts w:ascii="Times New Roman" w:hAnsi="Times New Roman"/>
                <w:sz w:val="24"/>
                <w:szCs w:val="24"/>
                <w:shd w:val="clear" w:color="auto" w:fill="FFFFFF"/>
                <w:lang w:val="ro-RO" w:eastAsia="ar-SA"/>
              </w:rPr>
              <w:t>Hotărîrea</w:t>
            </w:r>
            <w:proofErr w:type="spellEnd"/>
            <w:r w:rsidRPr="00B645C9">
              <w:rPr>
                <w:rFonts w:ascii="Times New Roman" w:hAnsi="Times New Roman"/>
                <w:sz w:val="24"/>
                <w:szCs w:val="24"/>
                <w:shd w:val="clear" w:color="auto" w:fill="FFFFFF"/>
                <w:lang w:val="ro-RO" w:eastAsia="ar-SA"/>
              </w:rPr>
              <w:t xml:space="preserve"> Guvernului nr. 428/2009 cu privire la aprobarea Reglementării tehnice „</w:t>
            </w:r>
            <w:proofErr w:type="spellStart"/>
            <w:r w:rsidRPr="00B645C9">
              <w:rPr>
                <w:rFonts w:ascii="Times New Roman" w:hAnsi="Times New Roman"/>
                <w:sz w:val="24"/>
                <w:szCs w:val="24"/>
                <w:shd w:val="clear" w:color="auto" w:fill="FFFFFF"/>
                <w:lang w:val="ro-RO" w:eastAsia="ar-SA"/>
              </w:rPr>
              <w:t>Cerinţe</w:t>
            </w:r>
            <w:proofErr w:type="spellEnd"/>
            <w:r w:rsidRPr="00B645C9">
              <w:rPr>
                <w:rFonts w:ascii="Times New Roman" w:hAnsi="Times New Roman"/>
                <w:sz w:val="24"/>
                <w:szCs w:val="24"/>
                <w:shd w:val="clear" w:color="auto" w:fill="FFFFFF"/>
                <w:lang w:val="ro-RO" w:eastAsia="ar-SA"/>
              </w:rPr>
              <w:t xml:space="preserve"> de randament pentru cazanele noi de apă caldă cu</w:t>
            </w:r>
            <w:r>
              <w:rPr>
                <w:rFonts w:ascii="Times New Roman" w:hAnsi="Times New Roman"/>
                <w:sz w:val="24"/>
                <w:szCs w:val="24"/>
                <w:shd w:val="clear" w:color="auto" w:fill="FFFFFF"/>
                <w:lang w:val="ro-RO" w:eastAsia="ar-SA"/>
              </w:rPr>
              <w:t xml:space="preserve"> combustie lichidă sau gazoasă” având în vedere că cerințele tehnice stabilite în </w:t>
            </w:r>
            <w:proofErr w:type="spellStart"/>
            <w:r>
              <w:rPr>
                <w:rFonts w:ascii="Times New Roman" w:hAnsi="Times New Roman"/>
                <w:sz w:val="24"/>
                <w:szCs w:val="24"/>
                <w:shd w:val="clear" w:color="auto" w:fill="FFFFFF"/>
                <w:lang w:val="ro-RO" w:eastAsia="ar-SA"/>
              </w:rPr>
              <w:t>Hotărîrea</w:t>
            </w:r>
            <w:proofErr w:type="spellEnd"/>
            <w:r>
              <w:rPr>
                <w:rFonts w:ascii="Times New Roman" w:hAnsi="Times New Roman"/>
                <w:sz w:val="24"/>
                <w:szCs w:val="24"/>
                <w:shd w:val="clear" w:color="auto" w:fill="FFFFFF"/>
                <w:lang w:val="ro-RO" w:eastAsia="ar-SA"/>
              </w:rPr>
              <w:t xml:space="preserve"> prenotată, urmează a fi înlocuite cu cerințele stabilite în Regulamentul sus menționat.</w:t>
            </w:r>
          </w:p>
          <w:p w14:paraId="3459E91E" w14:textId="149DA459" w:rsidR="004C1570" w:rsidRDefault="00911993" w:rsidP="007E449E">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Inactualitatea </w:t>
            </w:r>
            <w:r w:rsidR="00C37917">
              <w:rPr>
                <w:rFonts w:ascii="Times New Roman" w:eastAsia="Times New Roman" w:hAnsi="Times New Roman" w:cs="Times New Roman"/>
                <w:bCs/>
                <w:sz w:val="24"/>
                <w:szCs w:val="24"/>
                <w:lang w:val="ro-RO" w:eastAsia="ru-RU"/>
              </w:rPr>
              <w:t xml:space="preserve">cerințelor tehnice </w:t>
            </w:r>
            <w:r w:rsidR="006D2791">
              <w:rPr>
                <w:rFonts w:ascii="Times New Roman" w:eastAsia="Times New Roman" w:hAnsi="Times New Roman" w:cs="Times New Roman"/>
                <w:bCs/>
                <w:sz w:val="24"/>
                <w:szCs w:val="24"/>
                <w:lang w:val="ro-RO" w:eastAsia="ru-RU"/>
              </w:rPr>
              <w:t xml:space="preserve">afectează </w:t>
            </w:r>
            <w:r w:rsidR="00BB0A84">
              <w:rPr>
                <w:rFonts w:ascii="Times New Roman" w:eastAsia="Times New Roman" w:hAnsi="Times New Roman" w:cs="Times New Roman"/>
                <w:bCs/>
                <w:sz w:val="24"/>
                <w:szCs w:val="24"/>
                <w:lang w:val="ro-RO" w:eastAsia="ru-RU"/>
              </w:rPr>
              <w:t xml:space="preserve">consumatorii finali, persoane fizice sau juridice, care procură </w:t>
            </w:r>
            <w:r w:rsidR="007E3D9E">
              <w:rPr>
                <w:rFonts w:ascii="Times New Roman" w:eastAsia="Times New Roman" w:hAnsi="Times New Roman" w:cs="Times New Roman"/>
                <w:bCs/>
                <w:sz w:val="24"/>
                <w:szCs w:val="24"/>
                <w:lang w:val="ro-RO" w:eastAsia="ru-RU"/>
              </w:rPr>
              <w:t xml:space="preserve">și pun în funcțiune </w:t>
            </w:r>
            <w:r w:rsidR="009E550B">
              <w:rPr>
                <w:rFonts w:ascii="Times New Roman" w:eastAsia="Times New Roman" w:hAnsi="Times New Roman" w:cs="Times New Roman"/>
                <w:bCs/>
                <w:sz w:val="24"/>
                <w:szCs w:val="24"/>
                <w:lang w:val="ro-RO" w:eastAsia="ru-RU"/>
              </w:rPr>
              <w:t xml:space="preserve">instalații </w:t>
            </w:r>
            <w:r w:rsidR="009E550B" w:rsidRPr="00283E66">
              <w:rPr>
                <w:rFonts w:ascii="Times New Roman" w:eastAsia="Times New Roman" w:hAnsi="Times New Roman" w:cs="Times New Roman"/>
                <w:bCs/>
                <w:sz w:val="24"/>
                <w:szCs w:val="24"/>
                <w:lang w:val="ro-RO" w:eastAsia="ru-RU"/>
              </w:rPr>
              <w:t>pentru înc</w:t>
            </w:r>
            <w:r w:rsidR="009E550B">
              <w:rPr>
                <w:rFonts w:ascii="Times New Roman" w:eastAsia="Times New Roman" w:hAnsi="Times New Roman" w:cs="Times New Roman"/>
                <w:bCs/>
                <w:sz w:val="24"/>
                <w:szCs w:val="24"/>
                <w:lang w:val="ro-RO" w:eastAsia="ru-RU"/>
              </w:rPr>
              <w:t xml:space="preserve">ălzirea incintelor </w:t>
            </w:r>
            <w:proofErr w:type="spellStart"/>
            <w:r w:rsidR="009E550B">
              <w:rPr>
                <w:rFonts w:ascii="Times New Roman" w:eastAsia="Times New Roman" w:hAnsi="Times New Roman" w:cs="Times New Roman"/>
                <w:bCs/>
                <w:sz w:val="24"/>
                <w:szCs w:val="24"/>
                <w:lang w:val="ro-RO" w:eastAsia="ru-RU"/>
              </w:rPr>
              <w:t>şi</w:t>
            </w:r>
            <w:proofErr w:type="spellEnd"/>
            <w:r w:rsidR="007E3D9E">
              <w:rPr>
                <w:rFonts w:ascii="Times New Roman" w:eastAsia="Times New Roman" w:hAnsi="Times New Roman" w:cs="Times New Roman"/>
                <w:bCs/>
                <w:sz w:val="24"/>
                <w:szCs w:val="24"/>
                <w:lang w:val="ro-RO" w:eastAsia="ru-RU"/>
              </w:rPr>
              <w:t xml:space="preserve">/ sau </w:t>
            </w:r>
            <w:proofErr w:type="spellStart"/>
            <w:r w:rsidR="009E550B">
              <w:rPr>
                <w:rFonts w:ascii="Times New Roman" w:eastAsia="Times New Roman" w:hAnsi="Times New Roman" w:cs="Times New Roman"/>
                <w:bCs/>
                <w:sz w:val="24"/>
                <w:szCs w:val="24"/>
                <w:lang w:val="ro-RO" w:eastAsia="ru-RU"/>
              </w:rPr>
              <w:t>instalaţii</w:t>
            </w:r>
            <w:proofErr w:type="spellEnd"/>
            <w:r w:rsidR="009E550B" w:rsidRPr="00283E66">
              <w:rPr>
                <w:rFonts w:ascii="Times New Roman" w:eastAsia="Times New Roman" w:hAnsi="Times New Roman" w:cs="Times New Roman"/>
                <w:bCs/>
                <w:sz w:val="24"/>
                <w:szCs w:val="24"/>
                <w:lang w:val="ro-RO" w:eastAsia="ru-RU"/>
              </w:rPr>
              <w:t xml:space="preserve"> de încălzire cu </w:t>
            </w:r>
            <w:r w:rsidR="0073400F" w:rsidRPr="00283E66">
              <w:rPr>
                <w:rFonts w:ascii="Times New Roman" w:eastAsia="Times New Roman" w:hAnsi="Times New Roman" w:cs="Times New Roman"/>
                <w:bCs/>
                <w:sz w:val="24"/>
                <w:szCs w:val="24"/>
                <w:lang w:val="ro-RO" w:eastAsia="ru-RU"/>
              </w:rPr>
              <w:t>funcție</w:t>
            </w:r>
            <w:r w:rsidR="009E550B" w:rsidRPr="00283E66">
              <w:rPr>
                <w:rFonts w:ascii="Times New Roman" w:eastAsia="Times New Roman" w:hAnsi="Times New Roman" w:cs="Times New Roman"/>
                <w:bCs/>
                <w:sz w:val="24"/>
                <w:szCs w:val="24"/>
                <w:lang w:val="ro-RO" w:eastAsia="ru-RU"/>
              </w:rPr>
              <w:t xml:space="preserve"> dublă</w:t>
            </w:r>
            <w:r w:rsidR="002512AE">
              <w:rPr>
                <w:rFonts w:ascii="Times New Roman" w:eastAsia="Times New Roman" w:hAnsi="Times New Roman" w:cs="Times New Roman"/>
                <w:bCs/>
                <w:sz w:val="24"/>
                <w:szCs w:val="24"/>
                <w:lang w:val="ro-RO" w:eastAsia="ru-RU"/>
              </w:rPr>
              <w:t xml:space="preserve"> (centrale termice murale</w:t>
            </w:r>
            <w:r w:rsidR="00052DBE">
              <w:rPr>
                <w:rFonts w:ascii="Times New Roman" w:eastAsia="Times New Roman" w:hAnsi="Times New Roman" w:cs="Times New Roman"/>
                <w:bCs/>
                <w:sz w:val="24"/>
                <w:szCs w:val="24"/>
                <w:lang w:val="ro-RO" w:eastAsia="ru-RU"/>
              </w:rPr>
              <w:t>/ individuale</w:t>
            </w:r>
            <w:r w:rsidR="002512AE">
              <w:rPr>
                <w:rFonts w:ascii="Times New Roman" w:eastAsia="Times New Roman" w:hAnsi="Times New Roman" w:cs="Times New Roman"/>
                <w:bCs/>
                <w:sz w:val="24"/>
                <w:szCs w:val="24"/>
                <w:lang w:val="ro-RO" w:eastAsia="ru-RU"/>
              </w:rPr>
              <w:t>, de</w:t>
            </w:r>
            <w:r w:rsidR="0073400F">
              <w:rPr>
                <w:rFonts w:ascii="Times New Roman" w:eastAsia="Times New Roman" w:hAnsi="Times New Roman" w:cs="Times New Roman"/>
                <w:bCs/>
                <w:sz w:val="24"/>
                <w:szCs w:val="24"/>
                <w:lang w:val="ro-RO" w:eastAsia="ru-RU"/>
              </w:rPr>
              <w:t xml:space="preserve"> bloc sau de</w:t>
            </w:r>
            <w:r w:rsidR="002512AE">
              <w:rPr>
                <w:rFonts w:ascii="Times New Roman" w:eastAsia="Times New Roman" w:hAnsi="Times New Roman" w:cs="Times New Roman"/>
                <w:bCs/>
                <w:sz w:val="24"/>
                <w:szCs w:val="24"/>
                <w:lang w:val="ro-RO" w:eastAsia="ru-RU"/>
              </w:rPr>
              <w:t xml:space="preserve"> cartier, </w:t>
            </w:r>
            <w:r w:rsidR="007E7875">
              <w:rPr>
                <w:rFonts w:ascii="Times New Roman" w:eastAsia="Times New Roman" w:hAnsi="Times New Roman" w:cs="Times New Roman"/>
                <w:bCs/>
                <w:sz w:val="24"/>
                <w:szCs w:val="24"/>
                <w:lang w:val="ro-RO" w:eastAsia="ru-RU"/>
              </w:rPr>
              <w:t xml:space="preserve">pe </w:t>
            </w:r>
            <w:r w:rsidR="0073400F">
              <w:rPr>
                <w:rFonts w:ascii="Times New Roman" w:eastAsia="Times New Roman" w:hAnsi="Times New Roman" w:cs="Times New Roman"/>
                <w:bCs/>
                <w:sz w:val="24"/>
                <w:szCs w:val="24"/>
                <w:lang w:val="ro-RO" w:eastAsia="ru-RU"/>
              </w:rPr>
              <w:t xml:space="preserve">combustibili lichizi, gazoși sau </w:t>
            </w:r>
            <w:r w:rsidR="007E7875">
              <w:rPr>
                <w:rFonts w:ascii="Times New Roman" w:eastAsia="Times New Roman" w:hAnsi="Times New Roman" w:cs="Times New Roman"/>
                <w:bCs/>
                <w:sz w:val="24"/>
                <w:szCs w:val="24"/>
                <w:lang w:val="ro-RO" w:eastAsia="ru-RU"/>
              </w:rPr>
              <w:t>electric</w:t>
            </w:r>
            <w:r w:rsidR="0073400F">
              <w:rPr>
                <w:rFonts w:ascii="Times New Roman" w:eastAsia="Times New Roman" w:hAnsi="Times New Roman" w:cs="Times New Roman"/>
                <w:bCs/>
                <w:sz w:val="24"/>
                <w:szCs w:val="24"/>
                <w:lang w:val="ro-RO" w:eastAsia="ru-RU"/>
              </w:rPr>
              <w:t>itate</w:t>
            </w:r>
            <w:r w:rsidR="007E7875">
              <w:rPr>
                <w:rFonts w:ascii="Times New Roman" w:eastAsia="Times New Roman" w:hAnsi="Times New Roman" w:cs="Times New Roman"/>
                <w:bCs/>
                <w:sz w:val="24"/>
                <w:szCs w:val="24"/>
                <w:lang w:val="ro-RO" w:eastAsia="ru-RU"/>
              </w:rPr>
              <w:t>, inclusiv și centralele termice care pe lângă</w:t>
            </w:r>
            <w:r w:rsidR="00776F49">
              <w:rPr>
                <w:rFonts w:ascii="Times New Roman" w:eastAsia="Times New Roman" w:hAnsi="Times New Roman" w:cs="Times New Roman"/>
                <w:bCs/>
                <w:sz w:val="24"/>
                <w:szCs w:val="24"/>
                <w:lang w:val="ro-RO" w:eastAsia="ru-RU"/>
              </w:rPr>
              <w:t xml:space="preserve"> încălzirea incintelor prepară </w:t>
            </w:r>
            <w:r w:rsidR="007E449E">
              <w:rPr>
                <w:rFonts w:ascii="Times New Roman" w:eastAsia="Times New Roman" w:hAnsi="Times New Roman" w:cs="Times New Roman"/>
                <w:bCs/>
                <w:sz w:val="24"/>
                <w:szCs w:val="24"/>
                <w:lang w:val="ro-RO" w:eastAsia="ru-RU"/>
              </w:rPr>
              <w:t>apă caldă menajeră.</w:t>
            </w:r>
          </w:p>
          <w:p w14:paraId="6BA0D1AD" w14:textId="4C7161C1" w:rsidR="006B075D" w:rsidRDefault="00996DC5" w:rsidP="00E066A2">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Conform datelor </w:t>
            </w:r>
            <w:r w:rsidR="00781969">
              <w:rPr>
                <w:rFonts w:ascii="Times New Roman" w:eastAsia="Times New Roman" w:hAnsi="Times New Roman" w:cs="Times New Roman"/>
                <w:bCs/>
                <w:sz w:val="24"/>
                <w:szCs w:val="24"/>
                <w:lang w:val="ro-RO" w:eastAsia="ru-RU"/>
              </w:rPr>
              <w:t>produse de</w:t>
            </w:r>
            <w:r>
              <w:rPr>
                <w:rFonts w:ascii="Times New Roman" w:eastAsia="Times New Roman" w:hAnsi="Times New Roman" w:cs="Times New Roman"/>
                <w:bCs/>
                <w:sz w:val="24"/>
                <w:szCs w:val="24"/>
                <w:lang w:val="ro-RO" w:eastAsia="ru-RU"/>
              </w:rPr>
              <w:t xml:space="preserve"> Biroul Național de Statistică,</w:t>
            </w:r>
            <w:r w:rsidR="00146206">
              <w:rPr>
                <w:rFonts w:ascii="Times New Roman" w:eastAsia="Times New Roman" w:hAnsi="Times New Roman" w:cs="Times New Roman"/>
                <w:bCs/>
                <w:sz w:val="24"/>
                <w:szCs w:val="24"/>
                <w:lang w:val="ro-RO" w:eastAsia="ru-RU"/>
              </w:rPr>
              <w:t xml:space="preserve"> doar</w:t>
            </w:r>
            <w:r>
              <w:rPr>
                <w:rFonts w:ascii="Times New Roman" w:eastAsia="Times New Roman" w:hAnsi="Times New Roman" w:cs="Times New Roman"/>
                <w:bCs/>
                <w:sz w:val="24"/>
                <w:szCs w:val="24"/>
                <w:lang w:val="ro-RO" w:eastAsia="ru-RU"/>
              </w:rPr>
              <w:t xml:space="preserve"> în perioada anilor 2016-</w:t>
            </w:r>
            <w:r w:rsidR="009133D6">
              <w:rPr>
                <w:rFonts w:ascii="Times New Roman" w:eastAsia="Times New Roman" w:hAnsi="Times New Roman" w:cs="Times New Roman"/>
                <w:bCs/>
                <w:sz w:val="24"/>
                <w:szCs w:val="24"/>
                <w:lang w:val="ro-RO" w:eastAsia="ru-RU"/>
              </w:rPr>
              <w:t xml:space="preserve">2019 </w:t>
            </w:r>
            <w:r w:rsidR="00781969">
              <w:rPr>
                <w:rFonts w:ascii="Times New Roman" w:eastAsia="Times New Roman" w:hAnsi="Times New Roman" w:cs="Times New Roman"/>
                <w:bCs/>
                <w:sz w:val="24"/>
                <w:szCs w:val="24"/>
                <w:lang w:val="ro-RO" w:eastAsia="ru-RU"/>
              </w:rPr>
              <w:t xml:space="preserve">în municipiul Chișinău </w:t>
            </w:r>
            <w:r w:rsidR="009133D6">
              <w:rPr>
                <w:rFonts w:ascii="Times New Roman" w:eastAsia="Times New Roman" w:hAnsi="Times New Roman" w:cs="Times New Roman"/>
                <w:bCs/>
                <w:sz w:val="24"/>
                <w:szCs w:val="24"/>
                <w:lang w:val="ro-RO" w:eastAsia="ru-RU"/>
              </w:rPr>
              <w:t xml:space="preserve">au fost </w:t>
            </w:r>
            <w:r w:rsidR="00781969">
              <w:rPr>
                <w:rFonts w:ascii="Times New Roman" w:eastAsia="Times New Roman" w:hAnsi="Times New Roman" w:cs="Times New Roman"/>
                <w:bCs/>
                <w:sz w:val="24"/>
                <w:szCs w:val="24"/>
                <w:lang w:val="ro-RO" w:eastAsia="ru-RU"/>
              </w:rPr>
              <w:t>puse</w:t>
            </w:r>
            <w:r w:rsidR="009133D6">
              <w:rPr>
                <w:rFonts w:ascii="Times New Roman" w:eastAsia="Times New Roman" w:hAnsi="Times New Roman" w:cs="Times New Roman"/>
                <w:bCs/>
                <w:sz w:val="24"/>
                <w:szCs w:val="24"/>
                <w:lang w:val="ro-RO" w:eastAsia="ru-RU"/>
              </w:rPr>
              <w:t xml:space="preserve"> în exploatare </w:t>
            </w:r>
            <w:r w:rsidR="00C351F8">
              <w:rPr>
                <w:rFonts w:ascii="Times New Roman" w:eastAsia="Times New Roman" w:hAnsi="Times New Roman" w:cs="Times New Roman"/>
                <w:bCs/>
                <w:sz w:val="24"/>
                <w:szCs w:val="24"/>
                <w:lang w:val="ro-RO" w:eastAsia="ru-RU"/>
              </w:rPr>
              <w:t>peste 2</w:t>
            </w:r>
            <w:r w:rsidR="00781969">
              <w:rPr>
                <w:rFonts w:ascii="Times New Roman" w:eastAsia="Times New Roman" w:hAnsi="Times New Roman" w:cs="Times New Roman"/>
                <w:bCs/>
                <w:sz w:val="24"/>
                <w:szCs w:val="24"/>
                <w:lang w:val="ro-RO" w:eastAsia="ru-RU"/>
              </w:rPr>
              <w:t>1</w:t>
            </w:r>
            <w:r w:rsidR="00C351F8">
              <w:rPr>
                <w:rFonts w:ascii="Times New Roman" w:eastAsia="Times New Roman" w:hAnsi="Times New Roman" w:cs="Times New Roman"/>
                <w:bCs/>
                <w:sz w:val="24"/>
                <w:szCs w:val="24"/>
                <w:lang w:val="ro-RO" w:eastAsia="ru-RU"/>
              </w:rPr>
              <w:t xml:space="preserve"> mii de </w:t>
            </w:r>
            <w:r w:rsidR="00746BFB">
              <w:rPr>
                <w:rFonts w:ascii="Times New Roman" w:eastAsia="Times New Roman" w:hAnsi="Times New Roman" w:cs="Times New Roman"/>
                <w:bCs/>
                <w:sz w:val="24"/>
                <w:szCs w:val="24"/>
                <w:lang w:val="ro-RO" w:eastAsia="ru-RU"/>
              </w:rPr>
              <w:t>spații locat</w:t>
            </w:r>
            <w:r w:rsidR="00781969">
              <w:rPr>
                <w:rFonts w:ascii="Times New Roman" w:eastAsia="Times New Roman" w:hAnsi="Times New Roman" w:cs="Times New Roman"/>
                <w:bCs/>
                <w:sz w:val="24"/>
                <w:szCs w:val="24"/>
                <w:lang w:val="ro-RO" w:eastAsia="ru-RU"/>
              </w:rPr>
              <w:t>ive, care, conform tendințelor</w:t>
            </w:r>
            <w:r w:rsidR="008D24F4">
              <w:rPr>
                <w:rFonts w:ascii="Times New Roman" w:eastAsia="Times New Roman" w:hAnsi="Times New Roman" w:cs="Times New Roman"/>
                <w:bCs/>
                <w:sz w:val="24"/>
                <w:szCs w:val="24"/>
                <w:lang w:val="ro-RO" w:eastAsia="ru-RU"/>
              </w:rPr>
              <w:t xml:space="preserve"> de</w:t>
            </w:r>
            <w:r w:rsidR="00781969">
              <w:rPr>
                <w:rFonts w:ascii="Times New Roman" w:eastAsia="Times New Roman" w:hAnsi="Times New Roman" w:cs="Times New Roman"/>
                <w:bCs/>
                <w:sz w:val="24"/>
                <w:szCs w:val="24"/>
                <w:lang w:val="ro-RO" w:eastAsia="ru-RU"/>
              </w:rPr>
              <w:t xml:space="preserve"> pe piața imobiliară, au fost dotate cu instalați</w:t>
            </w:r>
            <w:r w:rsidR="006B075D">
              <w:rPr>
                <w:rFonts w:ascii="Times New Roman" w:eastAsia="Times New Roman" w:hAnsi="Times New Roman" w:cs="Times New Roman"/>
                <w:bCs/>
                <w:sz w:val="24"/>
                <w:szCs w:val="24"/>
                <w:lang w:val="ro-RO" w:eastAsia="ru-RU"/>
              </w:rPr>
              <w:t>i</w:t>
            </w:r>
            <w:r w:rsidR="00BB14D5">
              <w:rPr>
                <w:rFonts w:ascii="Times New Roman" w:eastAsia="Times New Roman" w:hAnsi="Times New Roman" w:cs="Times New Roman"/>
                <w:bCs/>
                <w:sz w:val="24"/>
                <w:szCs w:val="24"/>
                <w:lang w:val="ro-RO" w:eastAsia="ru-RU"/>
              </w:rPr>
              <w:t xml:space="preserve"> de încălzire cu funcție dublă.</w:t>
            </w:r>
          </w:p>
          <w:p w14:paraId="634291EB" w14:textId="30B40ACE" w:rsidR="000A1680" w:rsidRDefault="000A1680" w:rsidP="00E066A2">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Pe lângă noile construcții din ultima perioadă, merită a fi menționate și proiectele de reabilitare a construcțiilor deja existente, mai cu seamă cele publice care la fel optează</w:t>
            </w:r>
            <w:r w:rsidR="00360260">
              <w:rPr>
                <w:rFonts w:ascii="Times New Roman" w:eastAsia="Times New Roman" w:hAnsi="Times New Roman" w:cs="Times New Roman"/>
                <w:bCs/>
                <w:sz w:val="24"/>
                <w:szCs w:val="24"/>
                <w:lang w:val="ro-RO" w:eastAsia="ru-RU"/>
              </w:rPr>
              <w:t xml:space="preserve"> pe instalații de încălzire</w:t>
            </w:r>
            <w:r w:rsidR="001B6301">
              <w:rPr>
                <w:rFonts w:ascii="Times New Roman" w:eastAsia="Times New Roman" w:hAnsi="Times New Roman" w:cs="Times New Roman"/>
                <w:bCs/>
                <w:sz w:val="24"/>
                <w:szCs w:val="24"/>
                <w:lang w:val="ro-RO" w:eastAsia="ru-RU"/>
              </w:rPr>
              <w:t xml:space="preserve"> a incintelor</w:t>
            </w:r>
            <w:r w:rsidR="00360260">
              <w:rPr>
                <w:rFonts w:ascii="Times New Roman" w:eastAsia="Times New Roman" w:hAnsi="Times New Roman" w:cs="Times New Roman"/>
                <w:bCs/>
                <w:sz w:val="24"/>
                <w:szCs w:val="24"/>
                <w:lang w:val="ro-RO" w:eastAsia="ru-RU"/>
              </w:rPr>
              <w:t xml:space="preserve"> și instalații de încălzire cu funcție dublă. </w:t>
            </w:r>
          </w:p>
          <w:p w14:paraId="6BFB22DD" w14:textId="19B7FB3F" w:rsidR="006A6C10" w:rsidRDefault="002900AB" w:rsidP="004303D5">
            <w:pPr>
              <w:spacing w:before="120" w:after="0"/>
              <w:jc w:val="both"/>
              <w:rPr>
                <w:rFonts w:ascii="Times New Roman" w:hAnsi="Times New Roman"/>
                <w:sz w:val="24"/>
                <w:szCs w:val="24"/>
                <w:shd w:val="clear" w:color="auto" w:fill="FFFFFF"/>
                <w:lang w:val="ro-RO" w:eastAsia="ar-SA"/>
              </w:rPr>
            </w:pPr>
            <w:r>
              <w:rPr>
                <w:rFonts w:ascii="Times New Roman" w:eastAsia="Times New Roman" w:hAnsi="Times New Roman" w:cs="Times New Roman"/>
                <w:bCs/>
                <w:sz w:val="24"/>
                <w:szCs w:val="24"/>
                <w:lang w:val="ro-RO" w:eastAsia="ru-RU"/>
              </w:rPr>
              <w:t>A</w:t>
            </w:r>
            <w:r w:rsidR="001D318C">
              <w:rPr>
                <w:rFonts w:ascii="Times New Roman" w:eastAsia="Times New Roman" w:hAnsi="Times New Roman" w:cs="Times New Roman"/>
                <w:bCs/>
                <w:sz w:val="24"/>
                <w:szCs w:val="24"/>
                <w:lang w:val="ro-RO" w:eastAsia="ru-RU"/>
              </w:rPr>
              <w:t xml:space="preserve">stfel, există riscul că o parte din instalațiile </w:t>
            </w:r>
            <w:r w:rsidR="00C6576B">
              <w:rPr>
                <w:rFonts w:ascii="Times New Roman" w:eastAsia="Times New Roman" w:hAnsi="Times New Roman" w:cs="Times New Roman"/>
                <w:bCs/>
                <w:sz w:val="24"/>
                <w:szCs w:val="24"/>
                <w:lang w:val="ro-RO" w:eastAsia="ru-RU"/>
              </w:rPr>
              <w:t>de încălzire</w:t>
            </w:r>
            <w:r w:rsidR="001B6301">
              <w:rPr>
                <w:rFonts w:ascii="Times New Roman" w:eastAsia="Times New Roman" w:hAnsi="Times New Roman" w:cs="Times New Roman"/>
                <w:bCs/>
                <w:sz w:val="24"/>
                <w:szCs w:val="24"/>
                <w:lang w:val="ro-RO" w:eastAsia="ru-RU"/>
              </w:rPr>
              <w:t xml:space="preserve"> a incintelor</w:t>
            </w:r>
            <w:r w:rsidR="00C6576B">
              <w:rPr>
                <w:rFonts w:ascii="Times New Roman" w:eastAsia="Times New Roman" w:hAnsi="Times New Roman" w:cs="Times New Roman"/>
                <w:bCs/>
                <w:sz w:val="24"/>
                <w:szCs w:val="24"/>
                <w:lang w:val="ro-RO" w:eastAsia="ru-RU"/>
              </w:rPr>
              <w:t xml:space="preserve"> și instalaț</w:t>
            </w:r>
            <w:r w:rsidR="00627DF5">
              <w:rPr>
                <w:rFonts w:ascii="Times New Roman" w:eastAsia="Times New Roman" w:hAnsi="Times New Roman" w:cs="Times New Roman"/>
                <w:bCs/>
                <w:sz w:val="24"/>
                <w:szCs w:val="24"/>
                <w:lang w:val="ro-RO" w:eastAsia="ru-RU"/>
              </w:rPr>
              <w:t>i</w:t>
            </w:r>
            <w:r w:rsidR="00C6576B">
              <w:rPr>
                <w:rFonts w:ascii="Times New Roman" w:eastAsia="Times New Roman" w:hAnsi="Times New Roman" w:cs="Times New Roman"/>
                <w:bCs/>
                <w:sz w:val="24"/>
                <w:szCs w:val="24"/>
                <w:lang w:val="ro-RO" w:eastAsia="ru-RU"/>
              </w:rPr>
              <w:t xml:space="preserve">ile de încălzire cu funcție dublă puse la dispoziție consumatorilor locali să </w:t>
            </w:r>
            <w:r w:rsidR="00627DF5">
              <w:rPr>
                <w:rFonts w:ascii="Times New Roman" w:eastAsia="Times New Roman" w:hAnsi="Times New Roman" w:cs="Times New Roman"/>
                <w:bCs/>
                <w:sz w:val="24"/>
                <w:szCs w:val="24"/>
                <w:lang w:val="ro-RO" w:eastAsia="ru-RU"/>
              </w:rPr>
              <w:t xml:space="preserve">nu respecte cerințele </w:t>
            </w:r>
            <w:r w:rsidR="004303D5">
              <w:rPr>
                <w:rFonts w:ascii="Times New Roman" w:eastAsia="Times New Roman" w:hAnsi="Times New Roman" w:cs="Times New Roman"/>
                <w:bCs/>
                <w:sz w:val="24"/>
                <w:szCs w:val="24"/>
                <w:lang w:val="ro-RO" w:eastAsia="ru-RU"/>
              </w:rPr>
              <w:t>minime de randament</w:t>
            </w:r>
            <w:r w:rsidR="00627DF5">
              <w:rPr>
                <w:rFonts w:ascii="Times New Roman" w:eastAsia="Times New Roman" w:hAnsi="Times New Roman" w:cs="Times New Roman"/>
                <w:bCs/>
                <w:sz w:val="24"/>
                <w:szCs w:val="24"/>
                <w:lang w:val="ro-RO" w:eastAsia="ru-RU"/>
              </w:rPr>
              <w:t xml:space="preserve"> stabilite de preze</w:t>
            </w:r>
            <w:r w:rsidR="004303D5">
              <w:rPr>
                <w:rFonts w:ascii="Times New Roman" w:eastAsia="Times New Roman" w:hAnsi="Times New Roman" w:cs="Times New Roman"/>
                <w:bCs/>
                <w:sz w:val="24"/>
                <w:szCs w:val="24"/>
                <w:lang w:val="ro-RO" w:eastAsia="ru-RU"/>
              </w:rPr>
              <w:t xml:space="preserve">ntul regulament precum și noile cerințe privind </w:t>
            </w:r>
            <w:r w:rsidR="004303D5" w:rsidRPr="004303D5">
              <w:rPr>
                <w:rFonts w:ascii="Times New Roman" w:eastAsia="Times New Roman" w:hAnsi="Times New Roman" w:cs="Times New Roman"/>
                <w:bCs/>
                <w:sz w:val="24"/>
                <w:szCs w:val="24"/>
                <w:lang w:val="ro-RO" w:eastAsia="ru-RU"/>
              </w:rPr>
              <w:t>nivelul de putere acustică (nivelul de zgomot)</w:t>
            </w:r>
            <w:r w:rsidR="00034D1A">
              <w:rPr>
                <w:rFonts w:ascii="Times New Roman" w:eastAsia="Times New Roman" w:hAnsi="Times New Roman" w:cs="Times New Roman"/>
                <w:bCs/>
                <w:sz w:val="24"/>
                <w:szCs w:val="24"/>
                <w:lang w:val="ro-RO" w:eastAsia="ru-RU"/>
              </w:rPr>
              <w:t xml:space="preserve"> și cerințele de emisii de oxizi de azot care nu sunt stabilite </w:t>
            </w:r>
            <w:proofErr w:type="spellStart"/>
            <w:r w:rsidR="00034D1A" w:rsidRPr="00B645C9">
              <w:rPr>
                <w:rFonts w:ascii="Times New Roman" w:hAnsi="Times New Roman"/>
                <w:sz w:val="24"/>
                <w:szCs w:val="24"/>
                <w:shd w:val="clear" w:color="auto" w:fill="FFFFFF"/>
                <w:lang w:val="ro-RO" w:eastAsia="ar-SA"/>
              </w:rPr>
              <w:t>Hotărîrea</w:t>
            </w:r>
            <w:proofErr w:type="spellEnd"/>
            <w:r w:rsidR="00034D1A" w:rsidRPr="00B645C9">
              <w:rPr>
                <w:rFonts w:ascii="Times New Roman" w:hAnsi="Times New Roman"/>
                <w:sz w:val="24"/>
                <w:szCs w:val="24"/>
                <w:shd w:val="clear" w:color="auto" w:fill="FFFFFF"/>
                <w:lang w:val="ro-RO" w:eastAsia="ar-SA"/>
              </w:rPr>
              <w:t xml:space="preserve"> Guvernului nr. 428/2009</w:t>
            </w:r>
            <w:r w:rsidR="00034D1A">
              <w:rPr>
                <w:rFonts w:ascii="Times New Roman" w:hAnsi="Times New Roman"/>
                <w:sz w:val="24"/>
                <w:szCs w:val="24"/>
                <w:shd w:val="clear" w:color="auto" w:fill="FFFFFF"/>
                <w:lang w:val="ro-RO" w:eastAsia="ar-SA"/>
              </w:rPr>
              <w:t>.</w:t>
            </w:r>
          </w:p>
          <w:p w14:paraId="06758F52" w14:textId="7FAE2553" w:rsidR="00B44384" w:rsidRPr="00B44384" w:rsidRDefault="00B44384" w:rsidP="00B44384">
            <w:pPr>
              <w:spacing w:before="120" w:after="0" w:line="240" w:lineRule="auto"/>
              <w:jc w:val="both"/>
              <w:rPr>
                <w:rFonts w:ascii="Times New Roman" w:eastAsia="Times New Roman" w:hAnsi="Times New Roman" w:cs="Times New Roman"/>
                <w:bCs/>
                <w:sz w:val="24"/>
                <w:szCs w:val="24"/>
                <w:lang w:val="ro-RO" w:eastAsia="ja-JP"/>
              </w:rPr>
            </w:pPr>
            <w:r w:rsidRPr="00B44384">
              <w:rPr>
                <w:rFonts w:ascii="Times New Roman" w:eastAsia="Times New Roman" w:hAnsi="Times New Roman" w:cs="Times New Roman"/>
                <w:bCs/>
                <w:sz w:val="24"/>
                <w:szCs w:val="24"/>
                <w:lang w:val="ro-RO" w:eastAsia="ja-JP"/>
              </w:rPr>
              <w:t>Mai jos sunt prezentate principalele țări din care sunt importate în Republica Moldova p</w:t>
            </w:r>
            <w:r w:rsidR="00360260">
              <w:rPr>
                <w:rFonts w:ascii="Times New Roman" w:eastAsia="Times New Roman" w:hAnsi="Times New Roman" w:cs="Times New Roman"/>
                <w:bCs/>
                <w:sz w:val="24"/>
                <w:szCs w:val="24"/>
                <w:lang w:val="ro-RO" w:eastAsia="ja-JP"/>
              </w:rPr>
              <w:t>rodusele vizate de Regulamentul</w:t>
            </w:r>
            <w:r w:rsidRPr="00B44384">
              <w:rPr>
                <w:rFonts w:ascii="Times New Roman" w:eastAsia="Times New Roman" w:hAnsi="Times New Roman" w:cs="Times New Roman"/>
                <w:bCs/>
                <w:sz w:val="24"/>
                <w:szCs w:val="24"/>
                <w:lang w:val="ro-RO" w:eastAsia="ja-JP"/>
              </w:rPr>
              <w:t xml:space="preserve"> aprobate prin prezenta Hotărâre. (mii USD)</w:t>
            </w:r>
          </w:p>
          <w:p w14:paraId="2F2289AF" w14:textId="5760B274" w:rsidR="00246FD5" w:rsidRDefault="00246FD5" w:rsidP="00246FD5">
            <w:pPr>
              <w:spacing w:before="120" w:after="0" w:line="240" w:lineRule="auto"/>
              <w:jc w:val="center"/>
              <w:rPr>
                <w:rFonts w:ascii="Times New Roman" w:eastAsia="Times New Roman" w:hAnsi="Times New Roman" w:cs="Times New Roman"/>
                <w:bCs/>
                <w:sz w:val="24"/>
                <w:szCs w:val="24"/>
                <w:lang w:val="ro-RO" w:eastAsia="ja-JP"/>
              </w:rPr>
            </w:pPr>
            <w:r>
              <w:rPr>
                <w:noProof/>
                <w:lang w:val="en-US"/>
              </w:rPr>
              <w:drawing>
                <wp:inline distT="0" distB="0" distL="0" distR="0" wp14:anchorId="33AAE515" wp14:editId="64C0F712">
                  <wp:extent cx="5477164"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1225A9" w14:textId="35D0DF94" w:rsidR="00B44384" w:rsidRDefault="00B44384" w:rsidP="00B44384">
            <w:pPr>
              <w:spacing w:before="120" w:after="0" w:line="240" w:lineRule="auto"/>
              <w:jc w:val="both"/>
              <w:rPr>
                <w:rFonts w:ascii="Times New Roman" w:eastAsia="Times New Roman" w:hAnsi="Times New Roman" w:cs="Times New Roman"/>
                <w:bCs/>
                <w:sz w:val="24"/>
                <w:szCs w:val="24"/>
                <w:lang w:val="ro-RO" w:eastAsia="ja-JP"/>
              </w:rPr>
            </w:pPr>
            <w:r w:rsidRPr="00B44384">
              <w:rPr>
                <w:rFonts w:ascii="Times New Roman" w:eastAsia="Times New Roman" w:hAnsi="Times New Roman" w:cs="Times New Roman"/>
                <w:bCs/>
                <w:sz w:val="24"/>
                <w:szCs w:val="24"/>
                <w:lang w:val="ro-RO" w:eastAsia="ja-JP"/>
              </w:rPr>
              <w:t xml:space="preserve">Conform </w:t>
            </w:r>
            <w:r w:rsidR="00246FD5">
              <w:rPr>
                <w:rFonts w:ascii="Times New Roman" w:eastAsia="Times New Roman" w:hAnsi="Times New Roman" w:cs="Times New Roman"/>
                <w:bCs/>
                <w:sz w:val="24"/>
                <w:szCs w:val="24"/>
                <w:lang w:val="ro-RO" w:eastAsia="ja-JP"/>
              </w:rPr>
              <w:t xml:space="preserve">graficului </w:t>
            </w:r>
            <w:r w:rsidRPr="00B44384">
              <w:rPr>
                <w:rFonts w:ascii="Times New Roman" w:eastAsia="Times New Roman" w:hAnsi="Times New Roman" w:cs="Times New Roman"/>
                <w:bCs/>
                <w:sz w:val="24"/>
                <w:szCs w:val="24"/>
                <w:lang w:val="ro-RO" w:eastAsia="ja-JP"/>
              </w:rPr>
              <w:t>de mai sus</w:t>
            </w:r>
            <w:r w:rsidR="00AD203C">
              <w:rPr>
                <w:rFonts w:ascii="Times New Roman" w:eastAsia="Times New Roman" w:hAnsi="Times New Roman" w:cs="Times New Roman"/>
                <w:bCs/>
                <w:sz w:val="24"/>
                <w:szCs w:val="24"/>
                <w:lang w:val="ro-RO" w:eastAsia="ja-JP"/>
              </w:rPr>
              <w:t xml:space="preserve"> (</w:t>
            </w:r>
            <w:r w:rsidR="009A4268">
              <w:rPr>
                <w:rFonts w:ascii="Times New Roman" w:eastAsia="Times New Roman" w:hAnsi="Times New Roman" w:cs="Times New Roman"/>
                <w:bCs/>
                <w:sz w:val="24"/>
                <w:szCs w:val="24"/>
                <w:lang w:val="ro-RO" w:eastAsia="ja-JP"/>
              </w:rPr>
              <w:t>datele</w:t>
            </w:r>
            <w:r w:rsidR="00AD203C" w:rsidRPr="00B44384">
              <w:rPr>
                <w:rFonts w:ascii="Times New Roman" w:eastAsia="Times New Roman" w:hAnsi="Times New Roman" w:cs="Times New Roman"/>
                <w:bCs/>
                <w:sz w:val="24"/>
                <w:szCs w:val="24"/>
                <w:lang w:val="ro-RO" w:eastAsia="ja-JP"/>
              </w:rPr>
              <w:t xml:space="preserve"> </w:t>
            </w:r>
            <w:r w:rsidR="00AD203C">
              <w:rPr>
                <w:rFonts w:ascii="Times New Roman" w:eastAsia="Times New Roman" w:hAnsi="Times New Roman" w:cs="Times New Roman"/>
                <w:bCs/>
                <w:sz w:val="24"/>
                <w:szCs w:val="24"/>
                <w:lang w:val="ro-RO" w:eastAsia="ja-JP"/>
              </w:rPr>
              <w:t>Biroului Național de Statistică</w:t>
            </w:r>
            <w:r w:rsidR="00AD203C">
              <w:rPr>
                <w:rStyle w:val="FootnoteReference"/>
                <w:rFonts w:ascii="Times New Roman" w:eastAsia="Times New Roman" w:hAnsi="Times New Roman" w:cs="Times New Roman"/>
                <w:bCs/>
                <w:sz w:val="24"/>
                <w:szCs w:val="24"/>
                <w:lang w:val="ro-RO" w:eastAsia="ja-JP"/>
              </w:rPr>
              <w:footnoteReference w:id="3"/>
            </w:r>
            <w:r w:rsidR="00AD203C">
              <w:rPr>
                <w:rFonts w:ascii="Times New Roman" w:eastAsia="Times New Roman" w:hAnsi="Times New Roman" w:cs="Times New Roman"/>
                <w:bCs/>
                <w:sz w:val="24"/>
                <w:szCs w:val="24"/>
                <w:lang w:val="ro-RO" w:eastAsia="ja-JP"/>
              </w:rPr>
              <w:t xml:space="preserve">) </w:t>
            </w:r>
            <w:r w:rsidRPr="00B44384">
              <w:rPr>
                <w:rFonts w:ascii="Times New Roman" w:eastAsia="Times New Roman" w:hAnsi="Times New Roman" w:cs="Times New Roman"/>
                <w:bCs/>
                <w:sz w:val="24"/>
                <w:szCs w:val="24"/>
                <w:lang w:val="ro-RO" w:eastAsia="ja-JP"/>
              </w:rPr>
              <w:t xml:space="preserve">observăm că, </w:t>
            </w:r>
            <w:r w:rsidR="009A4268">
              <w:rPr>
                <w:rFonts w:ascii="Times New Roman" w:eastAsia="Times New Roman" w:hAnsi="Times New Roman" w:cs="Times New Roman"/>
                <w:bCs/>
                <w:sz w:val="24"/>
                <w:szCs w:val="24"/>
                <w:lang w:val="ro-RO" w:eastAsia="ja-JP"/>
              </w:rPr>
              <w:t xml:space="preserve">majoritatea </w:t>
            </w:r>
            <w:r w:rsidRPr="00B44384">
              <w:rPr>
                <w:rFonts w:ascii="Times New Roman" w:eastAsia="Times New Roman" w:hAnsi="Times New Roman" w:cs="Times New Roman"/>
                <w:bCs/>
                <w:sz w:val="24"/>
                <w:szCs w:val="24"/>
                <w:lang w:val="ro-RO" w:eastAsia="ja-JP"/>
              </w:rPr>
              <w:t xml:space="preserve"> produse</w:t>
            </w:r>
            <w:r w:rsidR="009A4268">
              <w:rPr>
                <w:rFonts w:ascii="Times New Roman" w:eastAsia="Times New Roman" w:hAnsi="Times New Roman" w:cs="Times New Roman"/>
                <w:bCs/>
                <w:sz w:val="24"/>
                <w:szCs w:val="24"/>
                <w:lang w:val="ro-RO" w:eastAsia="ja-JP"/>
              </w:rPr>
              <w:t>lor</w:t>
            </w:r>
            <w:r w:rsidRPr="00B44384">
              <w:rPr>
                <w:rFonts w:ascii="Times New Roman" w:eastAsia="Times New Roman" w:hAnsi="Times New Roman" w:cs="Times New Roman"/>
                <w:bCs/>
                <w:sz w:val="24"/>
                <w:szCs w:val="24"/>
                <w:lang w:val="ro-RO" w:eastAsia="ja-JP"/>
              </w:rPr>
              <w:t xml:space="preserve"> importate (Reactoare nucleare, cazane, mașini, aparate </w:t>
            </w:r>
            <w:proofErr w:type="spellStart"/>
            <w:r w:rsidRPr="00B44384">
              <w:rPr>
                <w:rFonts w:ascii="Times New Roman" w:eastAsia="Times New Roman" w:hAnsi="Times New Roman" w:cs="Times New Roman"/>
                <w:bCs/>
                <w:sz w:val="24"/>
                <w:szCs w:val="24"/>
                <w:lang w:val="ro-RO" w:eastAsia="ja-JP"/>
              </w:rPr>
              <w:t>şi</w:t>
            </w:r>
            <w:proofErr w:type="spellEnd"/>
            <w:r w:rsidRPr="00B44384">
              <w:rPr>
                <w:rFonts w:ascii="Times New Roman" w:eastAsia="Times New Roman" w:hAnsi="Times New Roman" w:cs="Times New Roman"/>
                <w:bCs/>
                <w:sz w:val="24"/>
                <w:szCs w:val="24"/>
                <w:lang w:val="ro-RO" w:eastAsia="ja-JP"/>
              </w:rPr>
              <w:t xml:space="preserve"> dispozitive mecanice; </w:t>
            </w:r>
            <w:proofErr w:type="spellStart"/>
            <w:r w:rsidRPr="00B44384">
              <w:rPr>
                <w:rFonts w:ascii="Times New Roman" w:eastAsia="Times New Roman" w:hAnsi="Times New Roman" w:cs="Times New Roman"/>
                <w:bCs/>
                <w:sz w:val="24"/>
                <w:szCs w:val="24"/>
                <w:lang w:val="ro-RO" w:eastAsia="ja-JP"/>
              </w:rPr>
              <w:t>părţi</w:t>
            </w:r>
            <w:proofErr w:type="spellEnd"/>
            <w:r w:rsidRPr="00B44384">
              <w:rPr>
                <w:rFonts w:ascii="Times New Roman" w:eastAsia="Times New Roman" w:hAnsi="Times New Roman" w:cs="Times New Roman"/>
                <w:bCs/>
                <w:sz w:val="24"/>
                <w:szCs w:val="24"/>
                <w:lang w:val="ro-RO" w:eastAsia="ja-JP"/>
              </w:rPr>
              <w:t xml:space="preserve"> ale acestora</w:t>
            </w:r>
            <w:r w:rsidR="002211EA">
              <w:rPr>
                <w:rFonts w:ascii="Times New Roman" w:eastAsia="Times New Roman" w:hAnsi="Times New Roman" w:cs="Times New Roman"/>
                <w:bCs/>
                <w:sz w:val="24"/>
                <w:szCs w:val="24"/>
                <w:lang w:val="ro-RO" w:eastAsia="ja-JP"/>
              </w:rPr>
              <w:t xml:space="preserve"> </w:t>
            </w:r>
            <w:r w:rsidRPr="00B44384">
              <w:rPr>
                <w:rFonts w:ascii="Times New Roman" w:eastAsia="Times New Roman" w:hAnsi="Times New Roman" w:cs="Times New Roman"/>
                <w:bCs/>
                <w:sz w:val="24"/>
                <w:szCs w:val="24"/>
                <w:lang w:val="ro-RO" w:eastAsia="ja-JP"/>
              </w:rPr>
              <w:t xml:space="preserve">) </w:t>
            </w:r>
            <w:r w:rsidR="002211EA">
              <w:rPr>
                <w:rFonts w:ascii="Times New Roman" w:eastAsia="Times New Roman" w:hAnsi="Times New Roman" w:cs="Times New Roman"/>
                <w:bCs/>
                <w:sz w:val="24"/>
                <w:szCs w:val="24"/>
                <w:lang w:val="ro-RO" w:eastAsia="ja-JP"/>
              </w:rPr>
              <w:t>la care se atribuie și instalațiile</w:t>
            </w:r>
            <w:r w:rsidR="009A4268">
              <w:rPr>
                <w:rFonts w:ascii="Times New Roman" w:eastAsia="Times New Roman" w:hAnsi="Times New Roman" w:cs="Times New Roman"/>
                <w:bCs/>
                <w:sz w:val="24"/>
                <w:szCs w:val="24"/>
                <w:lang w:val="ro-RO" w:eastAsia="ja-JP"/>
              </w:rPr>
              <w:t xml:space="preserve"> </w:t>
            </w:r>
            <w:r w:rsidR="009A4268">
              <w:rPr>
                <w:rFonts w:ascii="Times New Roman" w:eastAsia="Times New Roman" w:hAnsi="Times New Roman" w:cs="Times New Roman"/>
                <w:bCs/>
                <w:sz w:val="24"/>
                <w:szCs w:val="24"/>
                <w:lang w:val="ro-RO" w:eastAsia="ru-RU"/>
              </w:rPr>
              <w:t>de încălzire și instalațiile de încălzire cu funcție dublă</w:t>
            </w:r>
            <w:r w:rsidR="002211EA">
              <w:rPr>
                <w:rFonts w:ascii="Times New Roman" w:eastAsia="Times New Roman" w:hAnsi="Times New Roman" w:cs="Times New Roman"/>
                <w:bCs/>
                <w:sz w:val="24"/>
                <w:szCs w:val="24"/>
                <w:lang w:val="ro-RO" w:eastAsia="ja-JP"/>
              </w:rPr>
              <w:t xml:space="preserve"> </w:t>
            </w:r>
            <w:r w:rsidRPr="00B44384">
              <w:rPr>
                <w:rFonts w:ascii="Times New Roman" w:eastAsia="Times New Roman" w:hAnsi="Times New Roman" w:cs="Times New Roman"/>
                <w:bCs/>
                <w:sz w:val="24"/>
                <w:szCs w:val="24"/>
                <w:lang w:val="ro-RO" w:eastAsia="ja-JP"/>
              </w:rPr>
              <w:t>sunt provenite din</w:t>
            </w:r>
            <w:r w:rsidR="009A4268">
              <w:rPr>
                <w:rFonts w:ascii="Times New Roman" w:eastAsia="Times New Roman" w:hAnsi="Times New Roman" w:cs="Times New Roman"/>
                <w:bCs/>
                <w:sz w:val="24"/>
                <w:szCs w:val="24"/>
                <w:lang w:val="ro-RO" w:eastAsia="ja-JP"/>
              </w:rPr>
              <w:t xml:space="preserve"> Uniunea Europeană, </w:t>
            </w:r>
            <w:r w:rsidR="00024D27">
              <w:rPr>
                <w:rFonts w:ascii="Times New Roman" w:eastAsia="Times New Roman" w:hAnsi="Times New Roman" w:cs="Times New Roman"/>
                <w:bCs/>
                <w:sz w:val="24"/>
                <w:szCs w:val="24"/>
                <w:lang w:val="ro-RO" w:eastAsia="ja-JP"/>
              </w:rPr>
              <w:t xml:space="preserve">și apoi </w:t>
            </w:r>
            <w:r w:rsidRPr="00B44384">
              <w:rPr>
                <w:rFonts w:ascii="Times New Roman" w:eastAsia="Times New Roman" w:hAnsi="Times New Roman" w:cs="Times New Roman"/>
                <w:bCs/>
                <w:sz w:val="24"/>
                <w:szCs w:val="24"/>
                <w:lang w:val="ro-RO" w:eastAsia="ja-JP"/>
              </w:rPr>
              <w:t>China</w:t>
            </w:r>
            <w:r w:rsidR="002211EA">
              <w:rPr>
                <w:rFonts w:ascii="Times New Roman" w:eastAsia="Times New Roman" w:hAnsi="Times New Roman" w:cs="Times New Roman"/>
                <w:bCs/>
                <w:sz w:val="24"/>
                <w:szCs w:val="24"/>
                <w:lang w:val="ro-RO" w:eastAsia="ja-JP"/>
              </w:rPr>
              <w:t>,</w:t>
            </w:r>
            <w:r w:rsidR="00024D27">
              <w:rPr>
                <w:rFonts w:ascii="Times New Roman" w:eastAsia="Times New Roman" w:hAnsi="Times New Roman" w:cs="Times New Roman"/>
                <w:bCs/>
                <w:sz w:val="24"/>
                <w:szCs w:val="24"/>
                <w:lang w:val="ro-RO" w:eastAsia="ja-JP"/>
              </w:rPr>
              <w:t xml:space="preserve"> Rusia, Turcia.</w:t>
            </w:r>
          </w:p>
          <w:p w14:paraId="0E186F65" w14:textId="4EC6532C" w:rsidR="00E066A2" w:rsidRDefault="00655FBF" w:rsidP="00E066A2">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w:t>
            </w:r>
            <w:r w:rsidR="003055E9">
              <w:rPr>
                <w:rFonts w:ascii="Times New Roman" w:eastAsia="Times New Roman" w:hAnsi="Times New Roman" w:cs="Times New Roman"/>
                <w:bCs/>
                <w:sz w:val="24"/>
                <w:szCs w:val="24"/>
                <w:lang w:val="ro-RO" w:eastAsia="ru-RU"/>
              </w:rPr>
              <w:t>r</w:t>
            </w:r>
            <w:r w:rsidR="00ED69CE">
              <w:rPr>
                <w:rFonts w:ascii="Times New Roman" w:eastAsia="Times New Roman" w:hAnsi="Times New Roman" w:cs="Times New Roman"/>
                <w:bCs/>
                <w:sz w:val="24"/>
                <w:szCs w:val="24"/>
                <w:lang w:val="ro-RO" w:eastAsia="ru-RU"/>
              </w:rPr>
              <w:t xml:space="preserve">oblema </w:t>
            </w:r>
            <w:r w:rsidR="009F6D70">
              <w:rPr>
                <w:rFonts w:ascii="Times New Roman" w:eastAsia="Times New Roman" w:hAnsi="Times New Roman" w:cs="Times New Roman"/>
                <w:bCs/>
                <w:sz w:val="24"/>
                <w:szCs w:val="24"/>
                <w:lang w:val="ro-RO" w:eastAsia="ru-RU"/>
              </w:rPr>
              <w:t>afectează</w:t>
            </w:r>
            <w:r w:rsidR="00242911">
              <w:rPr>
                <w:rFonts w:ascii="Times New Roman" w:eastAsia="Times New Roman" w:hAnsi="Times New Roman" w:cs="Times New Roman"/>
                <w:bCs/>
                <w:sz w:val="24"/>
                <w:szCs w:val="24"/>
                <w:lang w:val="ro-RO" w:eastAsia="ru-RU"/>
              </w:rPr>
              <w:t xml:space="preserve"> atât</w:t>
            </w:r>
            <w:r w:rsidR="003055E9">
              <w:rPr>
                <w:rFonts w:ascii="Times New Roman" w:eastAsia="Times New Roman" w:hAnsi="Times New Roman" w:cs="Times New Roman"/>
                <w:bCs/>
                <w:sz w:val="24"/>
                <w:szCs w:val="24"/>
                <w:lang w:val="ro-RO" w:eastAsia="ru-RU"/>
              </w:rPr>
              <w:t xml:space="preserve"> producătorii </w:t>
            </w:r>
            <w:r w:rsidR="00242911">
              <w:rPr>
                <w:rFonts w:ascii="Times New Roman" w:eastAsia="Times New Roman" w:hAnsi="Times New Roman" w:cs="Times New Roman"/>
                <w:bCs/>
                <w:sz w:val="24"/>
                <w:szCs w:val="24"/>
                <w:lang w:val="ro-RO" w:eastAsia="ru-RU"/>
              </w:rPr>
              <w:t xml:space="preserve">cât </w:t>
            </w:r>
            <w:r w:rsidR="003055E9">
              <w:rPr>
                <w:rFonts w:ascii="Times New Roman" w:eastAsia="Times New Roman" w:hAnsi="Times New Roman" w:cs="Times New Roman"/>
                <w:bCs/>
                <w:sz w:val="24"/>
                <w:szCs w:val="24"/>
                <w:lang w:val="ro-RO" w:eastAsia="ru-RU"/>
              </w:rPr>
              <w:t>și dist</w:t>
            </w:r>
            <w:r w:rsidR="00A96C0B">
              <w:rPr>
                <w:rFonts w:ascii="Times New Roman" w:eastAsia="Times New Roman" w:hAnsi="Times New Roman" w:cs="Times New Roman"/>
                <w:bCs/>
                <w:sz w:val="24"/>
                <w:szCs w:val="24"/>
                <w:lang w:val="ro-RO" w:eastAsia="ru-RU"/>
              </w:rPr>
              <w:t>ribuit</w:t>
            </w:r>
            <w:r w:rsidR="003055E9">
              <w:rPr>
                <w:rFonts w:ascii="Times New Roman" w:eastAsia="Times New Roman" w:hAnsi="Times New Roman" w:cs="Times New Roman"/>
                <w:bCs/>
                <w:sz w:val="24"/>
                <w:szCs w:val="24"/>
                <w:lang w:val="ro-RO" w:eastAsia="ru-RU"/>
              </w:rPr>
              <w:t xml:space="preserve">orii </w:t>
            </w:r>
            <w:r w:rsidR="00A96C0B">
              <w:rPr>
                <w:rFonts w:ascii="Times New Roman" w:eastAsia="Times New Roman" w:hAnsi="Times New Roman" w:cs="Times New Roman"/>
                <w:bCs/>
                <w:sz w:val="24"/>
                <w:szCs w:val="24"/>
                <w:lang w:val="ro-RO" w:eastAsia="ru-RU"/>
              </w:rPr>
              <w:t>de</w:t>
            </w:r>
            <w:r w:rsidR="00A96C0B" w:rsidRPr="00A96C0B">
              <w:rPr>
                <w:rFonts w:ascii="Times New Roman" w:eastAsia="Times New Roman" w:hAnsi="Times New Roman" w:cs="Times New Roman"/>
                <w:bCs/>
                <w:sz w:val="24"/>
                <w:szCs w:val="24"/>
                <w:lang w:val="ro-RO" w:eastAsia="ru-RU"/>
              </w:rPr>
              <w:t xml:space="preserve"> instalații pentru încălzirea incintelor </w:t>
            </w:r>
            <w:proofErr w:type="spellStart"/>
            <w:r w:rsidR="00A96C0B" w:rsidRPr="00A96C0B">
              <w:rPr>
                <w:rFonts w:ascii="Times New Roman" w:eastAsia="Times New Roman" w:hAnsi="Times New Roman" w:cs="Times New Roman"/>
                <w:bCs/>
                <w:sz w:val="24"/>
                <w:szCs w:val="24"/>
                <w:lang w:val="ro-RO" w:eastAsia="ru-RU"/>
              </w:rPr>
              <w:t>şi</w:t>
            </w:r>
            <w:proofErr w:type="spellEnd"/>
            <w:r w:rsidR="00A96C0B" w:rsidRPr="00A96C0B">
              <w:rPr>
                <w:rFonts w:ascii="Times New Roman" w:eastAsia="Times New Roman" w:hAnsi="Times New Roman" w:cs="Times New Roman"/>
                <w:bCs/>
                <w:sz w:val="24"/>
                <w:szCs w:val="24"/>
                <w:lang w:val="ro-RO" w:eastAsia="ru-RU"/>
              </w:rPr>
              <w:t xml:space="preserve">/ sau </w:t>
            </w:r>
            <w:r w:rsidR="00CE7FEB" w:rsidRPr="00A96C0B">
              <w:rPr>
                <w:rFonts w:ascii="Times New Roman" w:eastAsia="Times New Roman" w:hAnsi="Times New Roman" w:cs="Times New Roman"/>
                <w:bCs/>
                <w:sz w:val="24"/>
                <w:szCs w:val="24"/>
                <w:lang w:val="ro-RO" w:eastAsia="ru-RU"/>
              </w:rPr>
              <w:t>instalații</w:t>
            </w:r>
            <w:r w:rsidR="00A96C0B" w:rsidRPr="00A96C0B">
              <w:rPr>
                <w:rFonts w:ascii="Times New Roman" w:eastAsia="Times New Roman" w:hAnsi="Times New Roman" w:cs="Times New Roman"/>
                <w:bCs/>
                <w:sz w:val="24"/>
                <w:szCs w:val="24"/>
                <w:lang w:val="ro-RO" w:eastAsia="ru-RU"/>
              </w:rPr>
              <w:t xml:space="preserve"> de încălzire cu funcție dublă</w:t>
            </w:r>
            <w:r w:rsidR="00242911">
              <w:rPr>
                <w:rFonts w:ascii="Times New Roman" w:eastAsia="Times New Roman" w:hAnsi="Times New Roman" w:cs="Times New Roman"/>
                <w:bCs/>
                <w:sz w:val="24"/>
                <w:szCs w:val="24"/>
                <w:lang w:val="ro-RO" w:eastAsia="ru-RU"/>
              </w:rPr>
              <w:t>,</w:t>
            </w:r>
            <w:r w:rsidR="00852E6C">
              <w:rPr>
                <w:rFonts w:ascii="Times New Roman" w:eastAsia="Times New Roman" w:hAnsi="Times New Roman" w:cs="Times New Roman"/>
                <w:bCs/>
                <w:sz w:val="24"/>
                <w:szCs w:val="24"/>
                <w:lang w:val="ro-RO" w:eastAsia="ru-RU"/>
              </w:rPr>
              <w:t xml:space="preserve"> care sunt orientați</w:t>
            </w:r>
            <w:r w:rsidR="00A96C0B">
              <w:rPr>
                <w:rFonts w:ascii="Times New Roman" w:eastAsia="Times New Roman" w:hAnsi="Times New Roman" w:cs="Times New Roman"/>
                <w:bCs/>
                <w:sz w:val="24"/>
                <w:szCs w:val="24"/>
                <w:lang w:val="ro-RO" w:eastAsia="ru-RU"/>
              </w:rPr>
              <w:t xml:space="preserve"> pe piața de desfacere a </w:t>
            </w:r>
            <w:r w:rsidR="0054526C">
              <w:rPr>
                <w:rFonts w:ascii="Times New Roman" w:eastAsia="Times New Roman" w:hAnsi="Times New Roman" w:cs="Times New Roman"/>
                <w:bCs/>
                <w:sz w:val="24"/>
                <w:szCs w:val="24"/>
                <w:lang w:val="ro-RO" w:eastAsia="ru-RU"/>
              </w:rPr>
              <w:t>U</w:t>
            </w:r>
            <w:r w:rsidR="00A96C0B">
              <w:rPr>
                <w:rFonts w:ascii="Times New Roman" w:eastAsia="Times New Roman" w:hAnsi="Times New Roman" w:cs="Times New Roman"/>
                <w:bCs/>
                <w:sz w:val="24"/>
                <w:szCs w:val="24"/>
                <w:lang w:val="ro-RO" w:eastAsia="ru-RU"/>
              </w:rPr>
              <w:t xml:space="preserve">niunii </w:t>
            </w:r>
            <w:r w:rsidR="00A96C0B">
              <w:rPr>
                <w:rFonts w:ascii="Times New Roman" w:eastAsia="Times New Roman" w:hAnsi="Times New Roman" w:cs="Times New Roman"/>
                <w:bCs/>
                <w:sz w:val="24"/>
                <w:szCs w:val="24"/>
                <w:lang w:val="ro-RO" w:eastAsia="ru-RU"/>
              </w:rPr>
              <w:lastRenderedPageBreak/>
              <w:t>E</w:t>
            </w:r>
            <w:r w:rsidR="001146C8">
              <w:rPr>
                <w:rFonts w:ascii="Times New Roman" w:eastAsia="Times New Roman" w:hAnsi="Times New Roman" w:cs="Times New Roman"/>
                <w:bCs/>
                <w:sz w:val="24"/>
                <w:szCs w:val="24"/>
                <w:lang w:val="ro-RO" w:eastAsia="ru-RU"/>
              </w:rPr>
              <w:t>uropene, reieșind din faptul</w:t>
            </w:r>
            <w:r w:rsidR="00242911">
              <w:rPr>
                <w:rFonts w:ascii="Times New Roman" w:eastAsia="Times New Roman" w:hAnsi="Times New Roman" w:cs="Times New Roman"/>
                <w:bCs/>
                <w:sz w:val="24"/>
                <w:szCs w:val="24"/>
                <w:lang w:val="ro-RO" w:eastAsia="ru-RU"/>
              </w:rPr>
              <w:t xml:space="preserve"> că </w:t>
            </w:r>
            <w:r w:rsidR="001146C8">
              <w:rPr>
                <w:rFonts w:ascii="Times New Roman" w:eastAsia="Times New Roman" w:hAnsi="Times New Roman" w:cs="Times New Roman"/>
                <w:bCs/>
                <w:sz w:val="24"/>
                <w:szCs w:val="24"/>
                <w:lang w:val="ro-RO" w:eastAsia="ru-RU"/>
              </w:rPr>
              <w:t xml:space="preserve">respectarea </w:t>
            </w:r>
            <w:r w:rsidR="00ED69CE">
              <w:rPr>
                <w:rFonts w:ascii="Times New Roman" w:eastAsia="Times New Roman" w:hAnsi="Times New Roman" w:cs="Times New Roman"/>
                <w:bCs/>
                <w:sz w:val="24"/>
                <w:szCs w:val="24"/>
                <w:lang w:val="ro-RO" w:eastAsia="ru-RU"/>
              </w:rPr>
              <w:t>ce</w:t>
            </w:r>
            <w:r w:rsidR="00852E6C">
              <w:rPr>
                <w:rFonts w:ascii="Times New Roman" w:eastAsia="Times New Roman" w:hAnsi="Times New Roman" w:cs="Times New Roman"/>
                <w:bCs/>
                <w:sz w:val="24"/>
                <w:szCs w:val="24"/>
                <w:lang w:val="ro-RO" w:eastAsia="ru-RU"/>
              </w:rPr>
              <w:t>rințel</w:t>
            </w:r>
            <w:r w:rsidR="001146C8">
              <w:rPr>
                <w:rFonts w:ascii="Times New Roman" w:eastAsia="Times New Roman" w:hAnsi="Times New Roman" w:cs="Times New Roman"/>
                <w:bCs/>
                <w:sz w:val="24"/>
                <w:szCs w:val="24"/>
                <w:lang w:val="ro-RO" w:eastAsia="ru-RU"/>
              </w:rPr>
              <w:t>or</w:t>
            </w:r>
            <w:r w:rsidR="00852E6C">
              <w:rPr>
                <w:rFonts w:ascii="Times New Roman" w:eastAsia="Times New Roman" w:hAnsi="Times New Roman" w:cs="Times New Roman"/>
                <w:bCs/>
                <w:sz w:val="24"/>
                <w:szCs w:val="24"/>
                <w:lang w:val="ro-RO" w:eastAsia="ru-RU"/>
              </w:rPr>
              <w:t xml:space="preserve"> de proiectare ecologică </w:t>
            </w:r>
            <w:r w:rsidR="00E066A2">
              <w:rPr>
                <w:rFonts w:ascii="Times New Roman" w:eastAsia="Times New Roman" w:hAnsi="Times New Roman" w:cs="Times New Roman"/>
                <w:bCs/>
                <w:sz w:val="24"/>
                <w:szCs w:val="24"/>
                <w:lang w:val="ro-RO" w:eastAsia="ru-RU"/>
              </w:rPr>
              <w:t>cre</w:t>
            </w:r>
            <w:r w:rsidR="009C2504">
              <w:rPr>
                <w:rFonts w:ascii="Times New Roman" w:eastAsia="Times New Roman" w:hAnsi="Times New Roman" w:cs="Times New Roman"/>
                <w:bCs/>
                <w:sz w:val="24"/>
                <w:szCs w:val="24"/>
                <w:lang w:val="ro-RO" w:eastAsia="ru-RU"/>
              </w:rPr>
              <w:t xml:space="preserve">ște </w:t>
            </w:r>
            <w:r w:rsidR="00E066A2">
              <w:rPr>
                <w:rFonts w:ascii="Times New Roman" w:eastAsia="Times New Roman" w:hAnsi="Times New Roman" w:cs="Times New Roman"/>
                <w:bCs/>
                <w:sz w:val="24"/>
                <w:szCs w:val="24"/>
                <w:lang w:val="ro-RO" w:eastAsia="ru-RU"/>
              </w:rPr>
              <w:t>costul final al produsului, făcând-</w:t>
            </w:r>
            <w:proofErr w:type="spellStart"/>
            <w:r w:rsidR="00E066A2">
              <w:rPr>
                <w:rFonts w:ascii="Times New Roman" w:eastAsia="Times New Roman" w:hAnsi="Times New Roman" w:cs="Times New Roman"/>
                <w:bCs/>
                <w:sz w:val="24"/>
                <w:szCs w:val="24"/>
                <w:lang w:val="ro-RO" w:eastAsia="ru-RU"/>
              </w:rPr>
              <w:t>ul</w:t>
            </w:r>
            <w:proofErr w:type="spellEnd"/>
            <w:r w:rsidR="00E066A2">
              <w:rPr>
                <w:rFonts w:ascii="Times New Roman" w:eastAsia="Times New Roman" w:hAnsi="Times New Roman" w:cs="Times New Roman"/>
                <w:bCs/>
                <w:sz w:val="24"/>
                <w:szCs w:val="24"/>
                <w:lang w:val="ro-RO" w:eastAsia="ru-RU"/>
              </w:rPr>
              <w:t xml:space="preserve"> necompetitiv cu produse fabricate fără respectarea acestora. </w:t>
            </w:r>
          </w:p>
          <w:p w14:paraId="49C874C5" w14:textId="38FF5C06" w:rsidR="006825A1" w:rsidRDefault="00E066A2" w:rsidP="006825A1">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Ținem să menționăm că, la moment, în Republica Moldova nu </w:t>
            </w:r>
            <w:r w:rsidR="006825A1">
              <w:rPr>
                <w:rFonts w:ascii="Times New Roman" w:eastAsia="Times New Roman" w:hAnsi="Times New Roman" w:cs="Times New Roman"/>
                <w:bCs/>
                <w:sz w:val="24"/>
                <w:szCs w:val="24"/>
                <w:lang w:val="ro-RO" w:eastAsia="ru-RU"/>
              </w:rPr>
              <w:t>au fost identificați</w:t>
            </w:r>
            <w:r>
              <w:rPr>
                <w:rFonts w:ascii="Times New Roman" w:eastAsia="Times New Roman" w:hAnsi="Times New Roman" w:cs="Times New Roman"/>
                <w:bCs/>
                <w:sz w:val="24"/>
                <w:szCs w:val="24"/>
                <w:lang w:val="ro-RO" w:eastAsia="ru-RU"/>
              </w:rPr>
              <w:t xml:space="preserve"> producători de instalații care se clasifică </w:t>
            </w:r>
            <w:r w:rsidR="006825A1">
              <w:rPr>
                <w:rFonts w:ascii="Times New Roman" w:eastAsia="Times New Roman" w:hAnsi="Times New Roman" w:cs="Times New Roman"/>
                <w:bCs/>
                <w:sz w:val="24"/>
                <w:szCs w:val="24"/>
                <w:lang w:val="ro-RO" w:eastAsia="ru-RU"/>
              </w:rPr>
              <w:t>sub aria de aplicare a</w:t>
            </w:r>
            <w:r>
              <w:rPr>
                <w:rFonts w:ascii="Times New Roman" w:eastAsia="Times New Roman" w:hAnsi="Times New Roman" w:cs="Times New Roman"/>
                <w:bCs/>
                <w:sz w:val="24"/>
                <w:szCs w:val="24"/>
                <w:lang w:val="ro-RO" w:eastAsia="ru-RU"/>
              </w:rPr>
              <w:t xml:space="preserve"> R</w:t>
            </w:r>
            <w:r w:rsidR="006825A1">
              <w:rPr>
                <w:rFonts w:ascii="Times New Roman" w:eastAsia="Times New Roman" w:hAnsi="Times New Roman" w:cs="Times New Roman"/>
                <w:bCs/>
                <w:sz w:val="24"/>
                <w:szCs w:val="24"/>
                <w:lang w:val="ro-RO" w:eastAsia="ru-RU"/>
              </w:rPr>
              <w:t>egulamentului promovat prin</w:t>
            </w:r>
            <w:r w:rsidR="001321D6">
              <w:rPr>
                <w:rFonts w:ascii="Times New Roman" w:eastAsia="Times New Roman" w:hAnsi="Times New Roman" w:cs="Times New Roman"/>
                <w:bCs/>
                <w:sz w:val="24"/>
                <w:szCs w:val="24"/>
                <w:lang w:val="ro-RO" w:eastAsia="ru-RU"/>
              </w:rPr>
              <w:t xml:space="preserve"> prezentul proiect de </w:t>
            </w:r>
            <w:proofErr w:type="spellStart"/>
            <w:r w:rsidR="001321D6">
              <w:rPr>
                <w:rFonts w:ascii="Times New Roman" w:eastAsia="Times New Roman" w:hAnsi="Times New Roman" w:cs="Times New Roman"/>
                <w:bCs/>
                <w:sz w:val="24"/>
                <w:szCs w:val="24"/>
                <w:lang w:val="ro-RO" w:eastAsia="ru-RU"/>
              </w:rPr>
              <w:t>Hotărîre</w:t>
            </w:r>
            <w:proofErr w:type="spellEnd"/>
            <w:r w:rsidR="001321D6">
              <w:rPr>
                <w:rFonts w:ascii="Times New Roman" w:eastAsia="Times New Roman" w:hAnsi="Times New Roman" w:cs="Times New Roman"/>
                <w:bCs/>
                <w:sz w:val="24"/>
                <w:szCs w:val="24"/>
                <w:lang w:val="ro-RO" w:eastAsia="ru-RU"/>
              </w:rPr>
              <w:t xml:space="preserve">, cu toate acestea </w:t>
            </w:r>
            <w:r w:rsidR="001F25FF">
              <w:rPr>
                <w:rFonts w:ascii="Times New Roman" w:eastAsia="Times New Roman" w:hAnsi="Times New Roman" w:cs="Times New Roman"/>
                <w:bCs/>
                <w:sz w:val="24"/>
                <w:szCs w:val="24"/>
                <w:lang w:val="ro-RO" w:eastAsia="ru-RU"/>
              </w:rPr>
              <w:t xml:space="preserve">există peste 45 de </w:t>
            </w:r>
            <w:r w:rsidR="001321D6">
              <w:rPr>
                <w:rFonts w:ascii="Times New Roman" w:eastAsia="Times New Roman" w:hAnsi="Times New Roman" w:cs="Times New Roman"/>
                <w:bCs/>
                <w:sz w:val="24"/>
                <w:szCs w:val="24"/>
                <w:lang w:val="ro-RO" w:eastAsia="ru-RU"/>
              </w:rPr>
              <w:t xml:space="preserve">distribuitori </w:t>
            </w:r>
            <w:r w:rsidR="00655FBF">
              <w:rPr>
                <w:rFonts w:ascii="Times New Roman" w:eastAsia="Times New Roman" w:hAnsi="Times New Roman" w:cs="Times New Roman"/>
                <w:bCs/>
                <w:sz w:val="24"/>
                <w:szCs w:val="24"/>
                <w:lang w:val="ro-RO" w:eastAsia="ru-RU"/>
              </w:rPr>
              <w:t xml:space="preserve">oficiali </w:t>
            </w:r>
            <w:r w:rsidR="001321D6">
              <w:rPr>
                <w:rFonts w:ascii="Times New Roman" w:eastAsia="Times New Roman" w:hAnsi="Times New Roman" w:cs="Times New Roman"/>
                <w:bCs/>
                <w:sz w:val="24"/>
                <w:szCs w:val="24"/>
                <w:lang w:val="ro-RO" w:eastAsia="ru-RU"/>
              </w:rPr>
              <w:t xml:space="preserve">de astfel </w:t>
            </w:r>
            <w:r w:rsidR="00655FBF">
              <w:rPr>
                <w:rFonts w:ascii="Times New Roman" w:eastAsia="Times New Roman" w:hAnsi="Times New Roman" w:cs="Times New Roman"/>
                <w:bCs/>
                <w:sz w:val="24"/>
                <w:szCs w:val="24"/>
                <w:lang w:val="ro-RO" w:eastAsia="ru-RU"/>
              </w:rPr>
              <w:t>de instalații.</w:t>
            </w:r>
          </w:p>
          <w:p w14:paraId="673FAC14" w14:textId="77777777" w:rsidR="009D2162" w:rsidRDefault="001F25FF" w:rsidP="009D2162">
            <w:pPr>
              <w:spacing w:before="120"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Print</w:t>
            </w:r>
            <w:r w:rsidR="00655FBF">
              <w:rPr>
                <w:rFonts w:ascii="Times New Roman" w:eastAsia="Times New Roman" w:hAnsi="Times New Roman" w:cs="Times New Roman"/>
                <w:bCs/>
                <w:sz w:val="24"/>
                <w:szCs w:val="24"/>
                <w:lang w:val="ro-RO" w:eastAsia="ru-RU"/>
              </w:rPr>
              <w:t>r</w:t>
            </w:r>
            <w:r>
              <w:rPr>
                <w:rFonts w:ascii="Times New Roman" w:eastAsia="Times New Roman" w:hAnsi="Times New Roman" w:cs="Times New Roman"/>
                <w:bCs/>
                <w:sz w:val="24"/>
                <w:szCs w:val="24"/>
                <w:lang w:val="ro-RO" w:eastAsia="ru-RU"/>
              </w:rPr>
              <w:t xml:space="preserve">e aceștia se enumeră companii precum: </w:t>
            </w:r>
            <w:proofErr w:type="spellStart"/>
            <w:r w:rsidRPr="001F25FF">
              <w:rPr>
                <w:rFonts w:ascii="Times New Roman" w:eastAsia="Times New Roman" w:hAnsi="Times New Roman" w:cs="Times New Roman"/>
                <w:bCs/>
                <w:sz w:val="24"/>
                <w:szCs w:val="24"/>
                <w:lang w:val="ro-RO" w:eastAsia="ru-RU"/>
              </w:rPr>
              <w:t>Zikkurat</w:t>
            </w:r>
            <w:proofErr w:type="spellEnd"/>
            <w:r w:rsidRPr="001F25FF">
              <w:rPr>
                <w:rFonts w:ascii="Times New Roman" w:eastAsia="Times New Roman" w:hAnsi="Times New Roman" w:cs="Times New Roman"/>
                <w:bCs/>
                <w:sz w:val="24"/>
                <w:szCs w:val="24"/>
                <w:lang w:val="ro-RO" w:eastAsia="ru-RU"/>
              </w:rPr>
              <w:t xml:space="preserve"> Market (</w:t>
            </w:r>
            <w:proofErr w:type="spellStart"/>
            <w:r w:rsidRPr="001F25FF">
              <w:rPr>
                <w:rFonts w:ascii="Times New Roman" w:eastAsia="Times New Roman" w:hAnsi="Times New Roman" w:cs="Times New Roman"/>
                <w:bCs/>
                <w:sz w:val="24"/>
                <w:szCs w:val="24"/>
                <w:lang w:val="ro-RO" w:eastAsia="ru-RU"/>
              </w:rPr>
              <w:t>Sticlamont</w:t>
            </w:r>
            <w:proofErr w:type="spellEnd"/>
            <w:r w:rsidRPr="001F25FF">
              <w:rPr>
                <w:rFonts w:ascii="Times New Roman" w:eastAsia="Times New Roman" w:hAnsi="Times New Roman" w:cs="Times New Roman"/>
                <w:bCs/>
                <w:sz w:val="24"/>
                <w:szCs w:val="24"/>
                <w:lang w:val="ro-RO" w:eastAsia="ru-RU"/>
              </w:rPr>
              <w:t xml:space="preserve"> SA)</w:t>
            </w:r>
            <w:r>
              <w:rPr>
                <w:rFonts w:ascii="Times New Roman" w:eastAsia="Times New Roman" w:hAnsi="Times New Roman" w:cs="Times New Roman"/>
                <w:bCs/>
                <w:sz w:val="24"/>
                <w:szCs w:val="24"/>
                <w:lang w:val="ro-RO" w:eastAsia="ru-RU"/>
              </w:rPr>
              <w:t xml:space="preserve">; </w:t>
            </w:r>
            <w:proofErr w:type="spellStart"/>
            <w:r w:rsidRPr="001F25FF">
              <w:rPr>
                <w:rFonts w:ascii="Times New Roman" w:eastAsia="Times New Roman" w:hAnsi="Times New Roman" w:cs="Times New Roman"/>
                <w:bCs/>
                <w:sz w:val="24"/>
                <w:szCs w:val="24"/>
                <w:lang w:val="ro-RO" w:eastAsia="ru-RU"/>
              </w:rPr>
              <w:t>Termostal</w:t>
            </w:r>
            <w:proofErr w:type="spellEnd"/>
            <w:r w:rsidRPr="001F25FF">
              <w:rPr>
                <w:rFonts w:ascii="Times New Roman" w:eastAsia="Times New Roman" w:hAnsi="Times New Roman" w:cs="Times New Roman"/>
                <w:bCs/>
                <w:sz w:val="24"/>
                <w:szCs w:val="24"/>
                <w:lang w:val="ro-RO" w:eastAsia="ru-RU"/>
              </w:rPr>
              <w:t xml:space="preserve"> </w:t>
            </w:r>
            <w:proofErr w:type="spellStart"/>
            <w:r w:rsidRPr="001F25FF">
              <w:rPr>
                <w:rFonts w:ascii="Times New Roman" w:eastAsia="Times New Roman" w:hAnsi="Times New Roman" w:cs="Times New Roman"/>
                <w:bCs/>
                <w:sz w:val="24"/>
                <w:szCs w:val="24"/>
                <w:lang w:val="ro-RO" w:eastAsia="ru-RU"/>
              </w:rPr>
              <w:t>Imex</w:t>
            </w:r>
            <w:proofErr w:type="spellEnd"/>
            <w:r w:rsidRPr="001F25FF">
              <w:rPr>
                <w:rFonts w:ascii="Times New Roman" w:eastAsia="Times New Roman" w:hAnsi="Times New Roman" w:cs="Times New Roman"/>
                <w:bCs/>
                <w:sz w:val="24"/>
                <w:szCs w:val="24"/>
                <w:lang w:val="ro-RO" w:eastAsia="ru-RU"/>
              </w:rPr>
              <w:t xml:space="preserve"> SRL</w:t>
            </w:r>
            <w:r>
              <w:rPr>
                <w:rFonts w:ascii="Times New Roman" w:eastAsia="Times New Roman" w:hAnsi="Times New Roman" w:cs="Times New Roman"/>
                <w:bCs/>
                <w:sz w:val="24"/>
                <w:szCs w:val="24"/>
                <w:lang w:val="ro-RO" w:eastAsia="ru-RU"/>
              </w:rPr>
              <w:t xml:space="preserve">; </w:t>
            </w:r>
            <w:proofErr w:type="spellStart"/>
            <w:r w:rsidR="00384767" w:rsidRPr="00384767">
              <w:rPr>
                <w:rFonts w:ascii="Times New Roman" w:eastAsia="Times New Roman" w:hAnsi="Times New Roman" w:cs="Times New Roman"/>
                <w:bCs/>
                <w:sz w:val="24"/>
                <w:szCs w:val="24"/>
                <w:lang w:val="ro-RO" w:eastAsia="ru-RU"/>
              </w:rPr>
              <w:t>Euroterm</w:t>
            </w:r>
            <w:proofErr w:type="spellEnd"/>
            <w:r w:rsidR="00384767" w:rsidRPr="00384767">
              <w:rPr>
                <w:rFonts w:ascii="Times New Roman" w:eastAsia="Times New Roman" w:hAnsi="Times New Roman" w:cs="Times New Roman"/>
                <w:bCs/>
                <w:sz w:val="24"/>
                <w:szCs w:val="24"/>
                <w:lang w:val="ro-RO" w:eastAsia="ru-RU"/>
              </w:rPr>
              <w:t xml:space="preserve"> Group SRL ICS</w:t>
            </w:r>
            <w:r w:rsidR="00384767">
              <w:rPr>
                <w:rFonts w:ascii="Times New Roman" w:eastAsia="Times New Roman" w:hAnsi="Times New Roman" w:cs="Times New Roman"/>
                <w:bCs/>
                <w:sz w:val="24"/>
                <w:szCs w:val="24"/>
                <w:lang w:val="ro-RO" w:eastAsia="ru-RU"/>
              </w:rPr>
              <w:t xml:space="preserve">; </w:t>
            </w:r>
            <w:r w:rsidR="00384767" w:rsidRPr="00384767">
              <w:rPr>
                <w:rFonts w:ascii="Times New Roman" w:eastAsia="Times New Roman" w:hAnsi="Times New Roman" w:cs="Times New Roman"/>
                <w:bCs/>
                <w:sz w:val="24"/>
                <w:szCs w:val="24"/>
                <w:lang w:val="ro-RO" w:eastAsia="ru-RU"/>
              </w:rPr>
              <w:t>Romstal Trade SRL IM</w:t>
            </w:r>
            <w:r w:rsidR="00384767">
              <w:rPr>
                <w:rFonts w:ascii="Times New Roman" w:eastAsia="Times New Roman" w:hAnsi="Times New Roman" w:cs="Times New Roman"/>
                <w:bCs/>
                <w:sz w:val="24"/>
                <w:szCs w:val="24"/>
                <w:lang w:val="ro-RO" w:eastAsia="ru-RU"/>
              </w:rPr>
              <w:t xml:space="preserve">; </w:t>
            </w:r>
            <w:proofErr w:type="spellStart"/>
            <w:r w:rsidR="00384767">
              <w:rPr>
                <w:rFonts w:ascii="Times New Roman" w:eastAsia="Times New Roman" w:hAnsi="Times New Roman" w:cs="Times New Roman"/>
                <w:bCs/>
                <w:sz w:val="24"/>
                <w:szCs w:val="24"/>
                <w:lang w:val="ro-RO" w:eastAsia="ru-RU"/>
              </w:rPr>
              <w:t>Supraten</w:t>
            </w:r>
            <w:proofErr w:type="spellEnd"/>
            <w:r w:rsidR="00384767">
              <w:rPr>
                <w:rFonts w:ascii="Times New Roman" w:eastAsia="Times New Roman" w:hAnsi="Times New Roman" w:cs="Times New Roman"/>
                <w:bCs/>
                <w:sz w:val="24"/>
                <w:szCs w:val="24"/>
                <w:lang w:val="ro-RO" w:eastAsia="ru-RU"/>
              </w:rPr>
              <w:t xml:space="preserve"> S</w:t>
            </w:r>
            <w:r w:rsidR="00E50420">
              <w:rPr>
                <w:rFonts w:ascii="Times New Roman" w:eastAsia="Times New Roman" w:hAnsi="Times New Roman" w:cs="Times New Roman"/>
                <w:bCs/>
                <w:sz w:val="24"/>
                <w:szCs w:val="24"/>
                <w:lang w:val="ro-RO" w:eastAsia="ru-RU"/>
              </w:rPr>
              <w:t>A</w:t>
            </w:r>
            <w:r w:rsidR="00384767">
              <w:rPr>
                <w:rFonts w:ascii="Times New Roman" w:eastAsia="Times New Roman" w:hAnsi="Times New Roman" w:cs="Times New Roman"/>
                <w:bCs/>
                <w:sz w:val="24"/>
                <w:szCs w:val="24"/>
                <w:lang w:val="ro-RO" w:eastAsia="ru-RU"/>
              </w:rPr>
              <w:t xml:space="preserve">; </w:t>
            </w:r>
            <w:r w:rsidR="00384767" w:rsidRPr="00384767">
              <w:rPr>
                <w:rFonts w:ascii="Times New Roman" w:eastAsia="Times New Roman" w:hAnsi="Times New Roman" w:cs="Times New Roman"/>
                <w:bCs/>
                <w:sz w:val="24"/>
                <w:szCs w:val="24"/>
                <w:lang w:val="ro-RO" w:eastAsia="ru-RU"/>
              </w:rPr>
              <w:t>Cap - Cap (Duo - Ego SRL)</w:t>
            </w:r>
            <w:r w:rsidR="00384767">
              <w:rPr>
                <w:rFonts w:ascii="Times New Roman" w:eastAsia="Times New Roman" w:hAnsi="Times New Roman" w:cs="Times New Roman"/>
                <w:bCs/>
                <w:sz w:val="24"/>
                <w:szCs w:val="24"/>
                <w:lang w:val="ro-RO" w:eastAsia="ru-RU"/>
              </w:rPr>
              <w:t>;</w:t>
            </w:r>
            <w:r w:rsidR="00E50420">
              <w:rPr>
                <w:rFonts w:ascii="Times New Roman" w:eastAsia="Times New Roman" w:hAnsi="Times New Roman" w:cs="Times New Roman"/>
                <w:bCs/>
                <w:sz w:val="24"/>
                <w:szCs w:val="24"/>
                <w:lang w:val="ro-RO" w:eastAsia="ru-RU"/>
              </w:rPr>
              <w:t xml:space="preserve"> </w:t>
            </w:r>
            <w:proofErr w:type="spellStart"/>
            <w:r w:rsidR="00E50420" w:rsidRPr="00E50420">
              <w:rPr>
                <w:rFonts w:ascii="Times New Roman" w:eastAsia="Times New Roman" w:hAnsi="Times New Roman" w:cs="Times New Roman"/>
                <w:bCs/>
                <w:sz w:val="24"/>
                <w:szCs w:val="24"/>
                <w:lang w:val="ro-RO" w:eastAsia="ru-RU"/>
              </w:rPr>
              <w:t>Avi</w:t>
            </w:r>
            <w:proofErr w:type="spellEnd"/>
            <w:r w:rsidR="00E50420" w:rsidRPr="00E50420">
              <w:rPr>
                <w:rFonts w:ascii="Times New Roman" w:eastAsia="Times New Roman" w:hAnsi="Times New Roman" w:cs="Times New Roman"/>
                <w:bCs/>
                <w:sz w:val="24"/>
                <w:szCs w:val="24"/>
                <w:lang w:val="ro-RO" w:eastAsia="ru-RU"/>
              </w:rPr>
              <w:t xml:space="preserve"> Clima SRL</w:t>
            </w:r>
            <w:r w:rsidR="00655FBF">
              <w:rPr>
                <w:rFonts w:ascii="Times New Roman" w:eastAsia="Times New Roman" w:hAnsi="Times New Roman" w:cs="Times New Roman"/>
                <w:bCs/>
                <w:sz w:val="24"/>
                <w:szCs w:val="24"/>
                <w:lang w:val="ro-RO" w:eastAsia="ru-RU"/>
              </w:rPr>
              <w:t xml:space="preserve"> </w:t>
            </w:r>
            <w:r w:rsidR="00E50420">
              <w:rPr>
                <w:rFonts w:ascii="Times New Roman" w:eastAsia="Times New Roman" w:hAnsi="Times New Roman" w:cs="Times New Roman"/>
                <w:bCs/>
                <w:sz w:val="24"/>
                <w:szCs w:val="24"/>
                <w:lang w:val="ro-RO" w:eastAsia="ru-RU"/>
              </w:rPr>
              <w:t>etc.</w:t>
            </w:r>
            <w:r w:rsidR="00DA0DFE">
              <w:rPr>
                <w:rFonts w:ascii="Times New Roman" w:eastAsia="Times New Roman" w:hAnsi="Times New Roman" w:cs="Times New Roman"/>
                <w:bCs/>
                <w:sz w:val="24"/>
                <w:szCs w:val="24"/>
                <w:lang w:val="ro-RO" w:eastAsia="ru-RU"/>
              </w:rPr>
              <w:t xml:space="preserve"> </w:t>
            </w:r>
            <w:r w:rsidR="00DA0DFE" w:rsidRPr="00DA0DFE">
              <w:rPr>
                <w:rFonts w:ascii="Times New Roman" w:eastAsia="Times New Roman" w:hAnsi="Times New Roman" w:cs="Times New Roman"/>
                <w:bCs/>
                <w:sz w:val="24"/>
                <w:szCs w:val="24"/>
                <w:lang w:val="ro-RO" w:eastAsia="ru-RU"/>
              </w:rPr>
              <w:t xml:space="preserve">de menționat că, aceste entități cât și alte părți interesate vor fi invitați să participe la </w:t>
            </w:r>
            <w:r w:rsidR="002D724F">
              <w:rPr>
                <w:rFonts w:ascii="Times New Roman" w:eastAsia="Times New Roman" w:hAnsi="Times New Roman" w:cs="Times New Roman"/>
                <w:bCs/>
                <w:sz w:val="24"/>
                <w:szCs w:val="24"/>
                <w:lang w:val="ro-RO" w:eastAsia="ru-RU"/>
              </w:rPr>
              <w:t>consultarea</w:t>
            </w:r>
            <w:r w:rsidR="00DA0DFE" w:rsidRPr="00DA0DFE">
              <w:rPr>
                <w:rFonts w:ascii="Times New Roman" w:eastAsia="Times New Roman" w:hAnsi="Times New Roman" w:cs="Times New Roman"/>
                <w:bCs/>
                <w:sz w:val="24"/>
                <w:szCs w:val="24"/>
                <w:lang w:val="ro-RO" w:eastAsia="ru-RU"/>
              </w:rPr>
              <w:t xml:space="preserve"> </w:t>
            </w:r>
            <w:r w:rsidR="002D724F">
              <w:rPr>
                <w:rFonts w:ascii="Times New Roman" w:eastAsia="Times New Roman" w:hAnsi="Times New Roman" w:cs="Times New Roman"/>
                <w:bCs/>
                <w:sz w:val="24"/>
                <w:szCs w:val="24"/>
                <w:lang w:val="ro-RO" w:eastAsia="ru-RU"/>
              </w:rPr>
              <w:t xml:space="preserve">proiectului Analizei de </w:t>
            </w:r>
            <w:r w:rsidR="00676D99">
              <w:rPr>
                <w:rFonts w:ascii="Times New Roman" w:eastAsia="Times New Roman" w:hAnsi="Times New Roman" w:cs="Times New Roman"/>
                <w:bCs/>
                <w:sz w:val="24"/>
                <w:szCs w:val="24"/>
                <w:lang w:val="ro-RO" w:eastAsia="ru-RU"/>
              </w:rPr>
              <w:t>Impact și a Hotărârii de Guvern.</w:t>
            </w:r>
          </w:p>
          <w:p w14:paraId="34C937B7" w14:textId="0632F6B8" w:rsidR="00DA57E4" w:rsidRPr="00146206" w:rsidRDefault="009D2162" w:rsidP="009D2162">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Respectiv, fără a aproba prezentul Regulament, există riscul că, pe lângă produsele conforme venite  din țările UE, sunt plasate pe piață și produse care nu respectă cerințele tehnice minime, iar instituțiile cu atribuții de supraveghere și control nu pot verifica acest lucru.</w:t>
            </w:r>
          </w:p>
        </w:tc>
      </w:tr>
      <w:tr w:rsidR="00B468B6" w:rsidRPr="00B76CED" w14:paraId="77C4CC7C" w14:textId="77777777" w:rsidTr="003319EB">
        <w:trPr>
          <w:jc w:val="center"/>
        </w:trPr>
        <w:tc>
          <w:tcPr>
            <w:tcW w:w="5000" w:type="pct"/>
            <w:gridSpan w:val="2"/>
            <w:shd w:val="clear" w:color="auto" w:fill="auto"/>
            <w:tcMar>
              <w:top w:w="15" w:type="dxa"/>
              <w:left w:w="45" w:type="dxa"/>
              <w:bottom w:w="15" w:type="dxa"/>
              <w:right w:w="45" w:type="dxa"/>
            </w:tcMar>
          </w:tcPr>
          <w:p w14:paraId="7B11DFD4" w14:textId="413DBB3E" w:rsidR="00D225AE" w:rsidRPr="00EE04B2" w:rsidRDefault="00D225AE" w:rsidP="00DA5F81">
            <w:pPr>
              <w:spacing w:before="60" w:after="60"/>
              <w:jc w:val="both"/>
              <w:rPr>
                <w:rFonts w:ascii="Times New Roman" w:eastAsia="Calibri" w:hAnsi="Times New Roman" w:cs="Times New Roman"/>
                <w:b/>
                <w:sz w:val="24"/>
                <w:szCs w:val="24"/>
                <w:lang w:val="ro-RO" w:eastAsia="en-GB"/>
              </w:rPr>
            </w:pPr>
            <w:r w:rsidRPr="00EE04B2">
              <w:rPr>
                <w:rFonts w:ascii="Times New Roman" w:eastAsia="Calibri" w:hAnsi="Times New Roman" w:cs="Times New Roman"/>
                <w:b/>
                <w:sz w:val="24"/>
                <w:szCs w:val="24"/>
                <w:lang w:val="ro-RO" w:eastAsia="en-GB"/>
              </w:rPr>
              <w:lastRenderedPageBreak/>
              <w:t xml:space="preserve">c) </w:t>
            </w:r>
            <w:r w:rsidR="0079066D" w:rsidRPr="00EE04B2">
              <w:rPr>
                <w:rFonts w:ascii="Times New Roman" w:eastAsia="Calibri" w:hAnsi="Times New Roman" w:cs="Times New Roman"/>
                <w:b/>
                <w:sz w:val="24"/>
                <w:szCs w:val="24"/>
                <w:lang w:val="ro-RO" w:eastAsia="en-GB"/>
              </w:rPr>
              <w:t>Expuneți</w:t>
            </w:r>
            <w:r w:rsidRPr="00EE04B2">
              <w:rPr>
                <w:rFonts w:ascii="Times New Roman" w:eastAsia="Calibri" w:hAnsi="Times New Roman" w:cs="Times New Roman"/>
                <w:b/>
                <w:sz w:val="24"/>
                <w:szCs w:val="24"/>
                <w:lang w:val="ro-RO" w:eastAsia="en-GB"/>
              </w:rPr>
              <w:t xml:space="preserve"> clar </w:t>
            </w:r>
            <w:r w:rsidR="00B2525E" w:rsidRPr="00EE04B2">
              <w:rPr>
                <w:rFonts w:ascii="Times New Roman" w:eastAsia="Calibri" w:hAnsi="Times New Roman" w:cs="Times New Roman"/>
                <w:b/>
                <w:sz w:val="24"/>
                <w:szCs w:val="24"/>
                <w:lang w:val="ro-RO" w:eastAsia="en-GB"/>
              </w:rPr>
              <w:t>c</w:t>
            </w:r>
            <w:r w:rsidRPr="00EE04B2">
              <w:rPr>
                <w:rFonts w:ascii="Times New Roman" w:eastAsia="Calibri" w:hAnsi="Times New Roman" w:cs="Times New Roman"/>
                <w:b/>
                <w:sz w:val="24"/>
                <w:szCs w:val="24"/>
                <w:lang w:val="ro-RO" w:eastAsia="en-GB"/>
              </w:rPr>
              <w:t xml:space="preserve">auzele care au dus la </w:t>
            </w:r>
            <w:r w:rsidR="0079066D" w:rsidRPr="00EE04B2">
              <w:rPr>
                <w:rFonts w:ascii="Times New Roman" w:eastAsia="Calibri" w:hAnsi="Times New Roman" w:cs="Times New Roman"/>
                <w:b/>
                <w:sz w:val="24"/>
                <w:szCs w:val="24"/>
                <w:lang w:val="ro-RO" w:eastAsia="en-GB"/>
              </w:rPr>
              <w:t>apariția</w:t>
            </w:r>
            <w:r w:rsidRPr="00EE04B2">
              <w:rPr>
                <w:rFonts w:ascii="Times New Roman" w:eastAsia="Calibri" w:hAnsi="Times New Roman" w:cs="Times New Roman"/>
                <w:b/>
                <w:sz w:val="24"/>
                <w:szCs w:val="24"/>
                <w:lang w:val="ro-RO" w:eastAsia="en-GB"/>
              </w:rPr>
              <w:t xml:space="preserve"> problemei</w:t>
            </w:r>
          </w:p>
        </w:tc>
      </w:tr>
      <w:tr w:rsidR="00B468B6" w:rsidRPr="00B76CED" w14:paraId="2E9CACB0" w14:textId="77777777" w:rsidTr="003319EB">
        <w:trPr>
          <w:jc w:val="center"/>
        </w:trPr>
        <w:tc>
          <w:tcPr>
            <w:tcW w:w="5000" w:type="pct"/>
            <w:gridSpan w:val="2"/>
            <w:tcMar>
              <w:top w:w="15" w:type="dxa"/>
              <w:left w:w="45" w:type="dxa"/>
              <w:bottom w:w="15" w:type="dxa"/>
              <w:right w:w="45" w:type="dxa"/>
            </w:tcMar>
          </w:tcPr>
          <w:p w14:paraId="64151B07" w14:textId="77777777" w:rsidR="00A95318" w:rsidRDefault="008760C3" w:rsidP="004602DA">
            <w:pPr>
              <w:spacing w:before="12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Reglementări</w:t>
            </w:r>
            <w:r w:rsidR="003F182B">
              <w:rPr>
                <w:rFonts w:ascii="Times New Roman" w:eastAsia="Times New Roman" w:hAnsi="Times New Roman" w:cs="Times New Roman"/>
                <w:bCs/>
                <w:sz w:val="24"/>
                <w:szCs w:val="24"/>
                <w:lang w:val="ro-RO" w:eastAsia="ru-RU"/>
              </w:rPr>
              <w:t>le</w:t>
            </w:r>
            <w:r w:rsidR="003F182B" w:rsidRPr="003F182B">
              <w:rPr>
                <w:rFonts w:ascii="Times New Roman" w:eastAsia="Times New Roman" w:hAnsi="Times New Roman" w:cs="Times New Roman"/>
                <w:bCs/>
                <w:sz w:val="24"/>
                <w:szCs w:val="24"/>
                <w:lang w:val="ro-RO" w:eastAsia="ru-RU"/>
              </w:rPr>
              <w:t xml:space="preserve"> tehnice „</w:t>
            </w:r>
            <w:proofErr w:type="spellStart"/>
            <w:r w:rsidR="003F182B" w:rsidRPr="003F182B">
              <w:rPr>
                <w:rFonts w:ascii="Times New Roman" w:eastAsia="Times New Roman" w:hAnsi="Times New Roman" w:cs="Times New Roman"/>
                <w:bCs/>
                <w:sz w:val="24"/>
                <w:szCs w:val="24"/>
                <w:lang w:val="ro-RO" w:eastAsia="ru-RU"/>
              </w:rPr>
              <w:t>Cerinţe</w:t>
            </w:r>
            <w:proofErr w:type="spellEnd"/>
            <w:r w:rsidR="003F182B" w:rsidRPr="003F182B">
              <w:rPr>
                <w:rFonts w:ascii="Times New Roman" w:eastAsia="Times New Roman" w:hAnsi="Times New Roman" w:cs="Times New Roman"/>
                <w:bCs/>
                <w:sz w:val="24"/>
                <w:szCs w:val="24"/>
                <w:lang w:val="ro-RO" w:eastAsia="ru-RU"/>
              </w:rPr>
              <w:t xml:space="preserve"> de randament pentru cazanele noi de apă caldă c</w:t>
            </w:r>
            <w:r w:rsidR="003F182B">
              <w:rPr>
                <w:rFonts w:ascii="Times New Roman" w:eastAsia="Times New Roman" w:hAnsi="Times New Roman" w:cs="Times New Roman"/>
                <w:bCs/>
                <w:sz w:val="24"/>
                <w:szCs w:val="24"/>
                <w:lang w:val="ro-RO" w:eastAsia="ru-RU"/>
              </w:rPr>
              <w:t xml:space="preserve">u combustie lichidă sau gazoasă, aprobate în anul 2009 prin </w:t>
            </w:r>
            <w:proofErr w:type="spellStart"/>
            <w:r w:rsidR="003F182B" w:rsidRPr="003F182B">
              <w:rPr>
                <w:rFonts w:ascii="Times New Roman" w:eastAsia="Times New Roman" w:hAnsi="Times New Roman" w:cs="Times New Roman"/>
                <w:bCs/>
                <w:sz w:val="24"/>
                <w:szCs w:val="24"/>
                <w:lang w:val="ro-RO" w:eastAsia="ru-RU"/>
              </w:rPr>
              <w:t>Hotărîrea</w:t>
            </w:r>
            <w:proofErr w:type="spellEnd"/>
            <w:r w:rsidR="003F182B" w:rsidRPr="003F182B">
              <w:rPr>
                <w:rFonts w:ascii="Times New Roman" w:eastAsia="Times New Roman" w:hAnsi="Times New Roman" w:cs="Times New Roman"/>
                <w:bCs/>
                <w:sz w:val="24"/>
                <w:szCs w:val="24"/>
                <w:lang w:val="ro-RO" w:eastAsia="ru-RU"/>
              </w:rPr>
              <w:t xml:space="preserve"> Guvernului nr. 428/2009</w:t>
            </w:r>
            <w:r>
              <w:rPr>
                <w:rFonts w:ascii="Times New Roman" w:eastAsia="Times New Roman" w:hAnsi="Times New Roman" w:cs="Times New Roman"/>
                <w:bCs/>
                <w:sz w:val="24"/>
                <w:szCs w:val="24"/>
                <w:lang w:val="ro-RO" w:eastAsia="ru-RU"/>
              </w:rPr>
              <w:t>, chiar dacă nu es</w:t>
            </w:r>
            <w:r w:rsidR="003F182B">
              <w:rPr>
                <w:rFonts w:ascii="Times New Roman" w:eastAsia="Times New Roman" w:hAnsi="Times New Roman" w:cs="Times New Roman"/>
                <w:bCs/>
                <w:sz w:val="24"/>
                <w:szCs w:val="24"/>
                <w:lang w:val="ro-RO" w:eastAsia="ru-RU"/>
              </w:rPr>
              <w:t xml:space="preserve">te stipulat acest lucru, transpun în totalitate prevederile </w:t>
            </w:r>
            <w:r w:rsidR="00C479C4" w:rsidRPr="00C479C4">
              <w:rPr>
                <w:rFonts w:ascii="Times New Roman" w:eastAsia="Times New Roman" w:hAnsi="Times New Roman" w:cs="Times New Roman"/>
                <w:bCs/>
                <w:sz w:val="24"/>
                <w:szCs w:val="24"/>
                <w:lang w:val="ro-RO" w:eastAsia="ru-RU"/>
              </w:rPr>
              <w:t>Directivei 92/42/CEE a Consiliului din 21 mai 1992 privind cerințele de randament pentru cazanele noi de apă caldă cu combustie lichidă sau gazoasă</w:t>
            </w:r>
            <w:r w:rsidR="00C479C4">
              <w:rPr>
                <w:rFonts w:ascii="Times New Roman" w:eastAsia="Times New Roman" w:hAnsi="Times New Roman" w:cs="Times New Roman"/>
                <w:bCs/>
                <w:sz w:val="24"/>
                <w:szCs w:val="24"/>
                <w:lang w:val="ro-RO" w:eastAsia="ru-RU"/>
              </w:rPr>
              <w:t xml:space="preserve">. Astfel, </w:t>
            </w:r>
            <w:r w:rsidR="004602DA">
              <w:rPr>
                <w:rFonts w:ascii="Times New Roman" w:eastAsia="Times New Roman" w:hAnsi="Times New Roman" w:cs="Times New Roman"/>
                <w:bCs/>
                <w:sz w:val="24"/>
                <w:szCs w:val="24"/>
                <w:lang w:val="ro-RO" w:eastAsia="ru-RU"/>
              </w:rPr>
              <w:t xml:space="preserve">cerințele de randament valabile la zi pentru Republica Moldova, reprezintă cerințele care au fost actuale </w:t>
            </w:r>
            <w:r w:rsidR="00196367">
              <w:rPr>
                <w:rFonts w:ascii="Times New Roman" w:eastAsia="Times New Roman" w:hAnsi="Times New Roman" w:cs="Times New Roman"/>
                <w:bCs/>
                <w:sz w:val="24"/>
                <w:szCs w:val="24"/>
                <w:lang w:val="ro-RO" w:eastAsia="ru-RU"/>
              </w:rPr>
              <w:t xml:space="preserve">aproximativ </w:t>
            </w:r>
            <w:r w:rsidR="004602DA">
              <w:rPr>
                <w:rFonts w:ascii="Times New Roman" w:eastAsia="Times New Roman" w:hAnsi="Times New Roman" w:cs="Times New Roman"/>
                <w:bCs/>
                <w:sz w:val="24"/>
                <w:szCs w:val="24"/>
                <w:lang w:val="ro-RO" w:eastAsia="ru-RU"/>
              </w:rPr>
              <w:t xml:space="preserve">2 decenii în urmă. </w:t>
            </w:r>
          </w:p>
          <w:p w14:paraId="53E5B6A5" w14:textId="6D86BFEA" w:rsidR="00196367" w:rsidRPr="00EB1C0D" w:rsidRDefault="00196367" w:rsidP="00CE532A">
            <w:pPr>
              <w:spacing w:before="120" w:after="0"/>
              <w:jc w:val="both"/>
              <w:rPr>
                <w:lang w:val="ro-RO"/>
              </w:rPr>
            </w:pPr>
            <w:r>
              <w:rPr>
                <w:rFonts w:ascii="Times New Roman" w:eastAsia="Times New Roman" w:hAnsi="Times New Roman" w:cs="Times New Roman"/>
                <w:bCs/>
                <w:sz w:val="24"/>
                <w:szCs w:val="24"/>
                <w:lang w:val="ro-RO" w:eastAsia="ru-RU"/>
              </w:rPr>
              <w:t>Între timp, având în vedere evoluția firească a cunoștințelor și capacităților</w:t>
            </w:r>
            <w:r w:rsidR="00065CD3">
              <w:rPr>
                <w:rFonts w:ascii="Times New Roman" w:eastAsia="Times New Roman" w:hAnsi="Times New Roman" w:cs="Times New Roman"/>
                <w:bCs/>
                <w:sz w:val="24"/>
                <w:szCs w:val="24"/>
                <w:lang w:val="ro-RO" w:eastAsia="ru-RU"/>
              </w:rPr>
              <w:t xml:space="preserve"> tehnice</w:t>
            </w:r>
            <w:r>
              <w:rPr>
                <w:rFonts w:ascii="Times New Roman" w:eastAsia="Times New Roman" w:hAnsi="Times New Roman" w:cs="Times New Roman"/>
                <w:bCs/>
                <w:sz w:val="24"/>
                <w:szCs w:val="24"/>
                <w:lang w:val="ro-RO" w:eastAsia="ru-RU"/>
              </w:rPr>
              <w:t xml:space="preserve"> </w:t>
            </w:r>
            <w:r w:rsidR="00065CD3">
              <w:rPr>
                <w:rFonts w:ascii="Times New Roman" w:eastAsia="Times New Roman" w:hAnsi="Times New Roman" w:cs="Times New Roman"/>
                <w:bCs/>
                <w:sz w:val="24"/>
                <w:szCs w:val="24"/>
                <w:lang w:val="ro-RO" w:eastAsia="ru-RU"/>
              </w:rPr>
              <w:t xml:space="preserve">în domeniul proiectării și construcției </w:t>
            </w:r>
            <w:r w:rsidR="00CE532A">
              <w:rPr>
                <w:rFonts w:ascii="Times New Roman" w:eastAsia="Times New Roman" w:hAnsi="Times New Roman" w:cs="Times New Roman"/>
                <w:bCs/>
                <w:sz w:val="24"/>
                <w:szCs w:val="24"/>
                <w:lang w:val="ro-RO" w:eastAsia="ru-RU"/>
              </w:rPr>
              <w:t>instalațiilor</w:t>
            </w:r>
            <w:r w:rsidR="00CE532A" w:rsidRPr="00CE532A">
              <w:rPr>
                <w:rFonts w:ascii="Times New Roman" w:eastAsia="Times New Roman" w:hAnsi="Times New Roman" w:cs="Times New Roman"/>
                <w:bCs/>
                <w:sz w:val="24"/>
                <w:szCs w:val="24"/>
                <w:lang w:val="ro-RO" w:eastAsia="ru-RU"/>
              </w:rPr>
              <w:t xml:space="preserve"> pentru încălzir</w:t>
            </w:r>
            <w:r w:rsidR="00CE532A">
              <w:rPr>
                <w:rFonts w:ascii="Times New Roman" w:eastAsia="Times New Roman" w:hAnsi="Times New Roman" w:cs="Times New Roman"/>
                <w:bCs/>
                <w:sz w:val="24"/>
                <w:szCs w:val="24"/>
                <w:lang w:val="ro-RO" w:eastAsia="ru-RU"/>
              </w:rPr>
              <w:t xml:space="preserve">ea incintelor </w:t>
            </w:r>
            <w:proofErr w:type="spellStart"/>
            <w:r w:rsidR="00CE532A">
              <w:rPr>
                <w:rFonts w:ascii="Times New Roman" w:eastAsia="Times New Roman" w:hAnsi="Times New Roman" w:cs="Times New Roman"/>
                <w:bCs/>
                <w:sz w:val="24"/>
                <w:szCs w:val="24"/>
                <w:lang w:val="ro-RO" w:eastAsia="ru-RU"/>
              </w:rPr>
              <w:t>şi</w:t>
            </w:r>
            <w:proofErr w:type="spellEnd"/>
            <w:r w:rsidR="00CE532A">
              <w:rPr>
                <w:rFonts w:ascii="Times New Roman" w:eastAsia="Times New Roman" w:hAnsi="Times New Roman" w:cs="Times New Roman"/>
                <w:bCs/>
                <w:sz w:val="24"/>
                <w:szCs w:val="24"/>
                <w:lang w:val="ro-RO" w:eastAsia="ru-RU"/>
              </w:rPr>
              <w:t xml:space="preserve"> instalațiilor</w:t>
            </w:r>
            <w:r w:rsidR="00CE532A" w:rsidRPr="00CE532A">
              <w:rPr>
                <w:rFonts w:ascii="Times New Roman" w:eastAsia="Times New Roman" w:hAnsi="Times New Roman" w:cs="Times New Roman"/>
                <w:bCs/>
                <w:sz w:val="24"/>
                <w:szCs w:val="24"/>
                <w:lang w:val="ro-RO" w:eastAsia="ru-RU"/>
              </w:rPr>
              <w:t xml:space="preserve"> de încălzire cu funcție dublă,</w:t>
            </w:r>
            <w:r w:rsidR="00CE532A">
              <w:rPr>
                <w:rFonts w:ascii="Times New Roman" w:eastAsia="Times New Roman" w:hAnsi="Times New Roman" w:cs="Times New Roman"/>
                <w:bCs/>
                <w:sz w:val="24"/>
                <w:szCs w:val="24"/>
                <w:lang w:val="ro-RO" w:eastAsia="ru-RU"/>
              </w:rPr>
              <w:t xml:space="preserve"> Uniunea Europeană a dezvoltat și mai apoi a aprobat </w:t>
            </w:r>
            <w:r w:rsidR="009121D1" w:rsidRPr="009121D1">
              <w:rPr>
                <w:rFonts w:ascii="Times New Roman" w:eastAsia="Times New Roman" w:hAnsi="Times New Roman" w:cs="Times New Roman"/>
                <w:bCs/>
                <w:sz w:val="24"/>
                <w:szCs w:val="24"/>
                <w:lang w:val="ro-RO" w:eastAsia="ru-RU"/>
              </w:rPr>
              <w:t xml:space="preserve">Regulamentul (UE) nr. 813/2013 a Parlamentului European </w:t>
            </w:r>
            <w:proofErr w:type="spellStart"/>
            <w:r w:rsidR="009121D1" w:rsidRPr="009121D1">
              <w:rPr>
                <w:rFonts w:ascii="Times New Roman" w:eastAsia="Times New Roman" w:hAnsi="Times New Roman" w:cs="Times New Roman"/>
                <w:bCs/>
                <w:sz w:val="24"/>
                <w:szCs w:val="24"/>
                <w:lang w:val="ro-RO" w:eastAsia="ru-RU"/>
              </w:rPr>
              <w:t>şi</w:t>
            </w:r>
            <w:proofErr w:type="spellEnd"/>
            <w:r w:rsidR="009121D1" w:rsidRPr="009121D1">
              <w:rPr>
                <w:rFonts w:ascii="Times New Roman" w:eastAsia="Times New Roman" w:hAnsi="Times New Roman" w:cs="Times New Roman"/>
                <w:bCs/>
                <w:sz w:val="24"/>
                <w:szCs w:val="24"/>
                <w:lang w:val="ro-RO" w:eastAsia="ru-RU"/>
              </w:rPr>
              <w:t xml:space="preserve"> a Consiliului în ceea ce </w:t>
            </w:r>
            <w:proofErr w:type="spellStart"/>
            <w:r w:rsidR="009121D1" w:rsidRPr="009121D1">
              <w:rPr>
                <w:rFonts w:ascii="Times New Roman" w:eastAsia="Times New Roman" w:hAnsi="Times New Roman" w:cs="Times New Roman"/>
                <w:bCs/>
                <w:sz w:val="24"/>
                <w:szCs w:val="24"/>
                <w:lang w:val="ro-RO" w:eastAsia="ru-RU"/>
              </w:rPr>
              <w:t>priveşte</w:t>
            </w:r>
            <w:proofErr w:type="spellEnd"/>
            <w:r w:rsidR="009121D1" w:rsidRPr="009121D1">
              <w:rPr>
                <w:rFonts w:ascii="Times New Roman" w:eastAsia="Times New Roman" w:hAnsi="Times New Roman" w:cs="Times New Roman"/>
                <w:bCs/>
                <w:sz w:val="24"/>
                <w:szCs w:val="24"/>
                <w:lang w:val="ro-RO" w:eastAsia="ru-RU"/>
              </w:rPr>
              <w:t xml:space="preserve"> </w:t>
            </w:r>
            <w:proofErr w:type="spellStart"/>
            <w:r w:rsidR="009121D1" w:rsidRPr="009121D1">
              <w:rPr>
                <w:rFonts w:ascii="Times New Roman" w:eastAsia="Times New Roman" w:hAnsi="Times New Roman" w:cs="Times New Roman"/>
                <w:bCs/>
                <w:sz w:val="24"/>
                <w:szCs w:val="24"/>
                <w:lang w:val="ro-RO" w:eastAsia="ru-RU"/>
              </w:rPr>
              <w:t>cerinţele</w:t>
            </w:r>
            <w:proofErr w:type="spellEnd"/>
            <w:r w:rsidR="009121D1" w:rsidRPr="009121D1">
              <w:rPr>
                <w:rFonts w:ascii="Times New Roman" w:eastAsia="Times New Roman" w:hAnsi="Times New Roman" w:cs="Times New Roman"/>
                <w:bCs/>
                <w:sz w:val="24"/>
                <w:szCs w:val="24"/>
                <w:lang w:val="ro-RO" w:eastAsia="ru-RU"/>
              </w:rPr>
              <w:t xml:space="preserve"> de proiectare ecologică pentru </w:t>
            </w:r>
            <w:proofErr w:type="spellStart"/>
            <w:r w:rsidR="009121D1" w:rsidRPr="009121D1">
              <w:rPr>
                <w:rFonts w:ascii="Times New Roman" w:eastAsia="Times New Roman" w:hAnsi="Times New Roman" w:cs="Times New Roman"/>
                <w:bCs/>
                <w:sz w:val="24"/>
                <w:szCs w:val="24"/>
                <w:lang w:val="ro-RO" w:eastAsia="ru-RU"/>
              </w:rPr>
              <w:t>instalaţiile</w:t>
            </w:r>
            <w:proofErr w:type="spellEnd"/>
            <w:r w:rsidR="009121D1" w:rsidRPr="009121D1">
              <w:rPr>
                <w:rFonts w:ascii="Times New Roman" w:eastAsia="Times New Roman" w:hAnsi="Times New Roman" w:cs="Times New Roman"/>
                <w:bCs/>
                <w:sz w:val="24"/>
                <w:szCs w:val="24"/>
                <w:lang w:val="ro-RO" w:eastAsia="ru-RU"/>
              </w:rPr>
              <w:t xml:space="preserve"> pentru încălzirea incintelor </w:t>
            </w:r>
            <w:proofErr w:type="spellStart"/>
            <w:r w:rsidR="009121D1" w:rsidRPr="009121D1">
              <w:rPr>
                <w:rFonts w:ascii="Times New Roman" w:eastAsia="Times New Roman" w:hAnsi="Times New Roman" w:cs="Times New Roman"/>
                <w:bCs/>
                <w:sz w:val="24"/>
                <w:szCs w:val="24"/>
                <w:lang w:val="ro-RO" w:eastAsia="ru-RU"/>
              </w:rPr>
              <w:t>şi</w:t>
            </w:r>
            <w:proofErr w:type="spellEnd"/>
            <w:r w:rsidR="009121D1" w:rsidRPr="009121D1">
              <w:rPr>
                <w:rFonts w:ascii="Times New Roman" w:eastAsia="Times New Roman" w:hAnsi="Times New Roman" w:cs="Times New Roman"/>
                <w:bCs/>
                <w:sz w:val="24"/>
                <w:szCs w:val="24"/>
                <w:lang w:val="ro-RO" w:eastAsia="ru-RU"/>
              </w:rPr>
              <w:t xml:space="preserve"> </w:t>
            </w:r>
            <w:proofErr w:type="spellStart"/>
            <w:r w:rsidR="009121D1" w:rsidRPr="009121D1">
              <w:rPr>
                <w:rFonts w:ascii="Times New Roman" w:eastAsia="Times New Roman" w:hAnsi="Times New Roman" w:cs="Times New Roman"/>
                <w:bCs/>
                <w:sz w:val="24"/>
                <w:szCs w:val="24"/>
                <w:lang w:val="ro-RO" w:eastAsia="ru-RU"/>
              </w:rPr>
              <w:t>instalaţiile</w:t>
            </w:r>
            <w:proofErr w:type="spellEnd"/>
            <w:r w:rsidR="009121D1" w:rsidRPr="009121D1">
              <w:rPr>
                <w:rFonts w:ascii="Times New Roman" w:eastAsia="Times New Roman" w:hAnsi="Times New Roman" w:cs="Times New Roman"/>
                <w:bCs/>
                <w:sz w:val="24"/>
                <w:szCs w:val="24"/>
                <w:lang w:val="ro-RO" w:eastAsia="ru-RU"/>
              </w:rPr>
              <w:t xml:space="preserve"> de încălzire cu </w:t>
            </w:r>
            <w:proofErr w:type="spellStart"/>
            <w:r w:rsidR="009121D1" w:rsidRPr="009121D1">
              <w:rPr>
                <w:rFonts w:ascii="Times New Roman" w:eastAsia="Times New Roman" w:hAnsi="Times New Roman" w:cs="Times New Roman"/>
                <w:bCs/>
                <w:sz w:val="24"/>
                <w:szCs w:val="24"/>
                <w:lang w:val="ro-RO" w:eastAsia="ru-RU"/>
              </w:rPr>
              <w:t>funcţie</w:t>
            </w:r>
            <w:proofErr w:type="spellEnd"/>
            <w:r w:rsidR="009121D1" w:rsidRPr="009121D1">
              <w:rPr>
                <w:rFonts w:ascii="Times New Roman" w:eastAsia="Times New Roman" w:hAnsi="Times New Roman" w:cs="Times New Roman"/>
                <w:bCs/>
                <w:sz w:val="24"/>
                <w:szCs w:val="24"/>
                <w:lang w:val="ro-RO" w:eastAsia="ru-RU"/>
              </w:rPr>
              <w:t xml:space="preserve"> dublă, </w:t>
            </w:r>
            <w:r w:rsidR="009121D1">
              <w:rPr>
                <w:rFonts w:ascii="Times New Roman" w:eastAsia="Times New Roman" w:hAnsi="Times New Roman" w:cs="Times New Roman"/>
                <w:bCs/>
                <w:sz w:val="24"/>
                <w:szCs w:val="24"/>
                <w:lang w:val="ro-RO" w:eastAsia="ru-RU"/>
              </w:rPr>
              <w:t xml:space="preserve"> care stabilește </w:t>
            </w:r>
            <w:r w:rsidR="00CE532A">
              <w:rPr>
                <w:rFonts w:ascii="Times New Roman" w:eastAsia="Times New Roman" w:hAnsi="Times New Roman" w:cs="Times New Roman"/>
                <w:bCs/>
                <w:sz w:val="24"/>
                <w:szCs w:val="24"/>
                <w:lang w:val="ro-RO" w:eastAsia="ru-RU"/>
              </w:rPr>
              <w:t>noi cerințe</w:t>
            </w:r>
            <w:r w:rsidR="00C34C10">
              <w:rPr>
                <w:rFonts w:ascii="Times New Roman" w:eastAsia="Times New Roman" w:hAnsi="Times New Roman" w:cs="Times New Roman"/>
                <w:bCs/>
                <w:sz w:val="24"/>
                <w:szCs w:val="24"/>
                <w:lang w:val="ro-RO" w:eastAsia="ru-RU"/>
              </w:rPr>
              <w:t xml:space="preserve"> tehnice aplicabile acestora, care corespund tendințelor și priorităților actuale în domeniul eficienței energetice și protecției mediului.</w:t>
            </w:r>
          </w:p>
        </w:tc>
      </w:tr>
      <w:tr w:rsidR="00B468B6" w:rsidRPr="00B76CED" w14:paraId="5FA0AA57" w14:textId="77777777" w:rsidTr="003319EB">
        <w:trPr>
          <w:jc w:val="center"/>
        </w:trPr>
        <w:tc>
          <w:tcPr>
            <w:tcW w:w="5000" w:type="pct"/>
            <w:gridSpan w:val="2"/>
            <w:shd w:val="clear" w:color="auto" w:fill="auto"/>
            <w:tcMar>
              <w:top w:w="15" w:type="dxa"/>
              <w:left w:w="45" w:type="dxa"/>
              <w:bottom w:w="15" w:type="dxa"/>
              <w:right w:w="45" w:type="dxa"/>
            </w:tcMar>
          </w:tcPr>
          <w:p w14:paraId="4B99A01F" w14:textId="0067F41D" w:rsidR="00D225AE" w:rsidRPr="00EB1C0D" w:rsidRDefault="00F11344"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d) </w:t>
            </w:r>
            <w:r w:rsidR="00CE0E52"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cum a evoluat problema </w:t>
            </w:r>
            <w:r w:rsidR="00CE0E5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cum va evolua fără o </w:t>
            </w:r>
            <w:r w:rsidR="00CE0E52" w:rsidRPr="00EB1C0D">
              <w:rPr>
                <w:rFonts w:ascii="Times New Roman" w:eastAsia="Calibri" w:hAnsi="Times New Roman" w:cs="Times New Roman"/>
                <w:b/>
                <w:sz w:val="24"/>
                <w:szCs w:val="24"/>
                <w:lang w:val="ro-RO" w:eastAsia="en-GB"/>
              </w:rPr>
              <w:t>intervenție</w:t>
            </w:r>
          </w:p>
        </w:tc>
      </w:tr>
      <w:tr w:rsidR="00B468B6" w:rsidRPr="00B76CED" w14:paraId="540FB5E3" w14:textId="77777777" w:rsidTr="004A1235">
        <w:tblPrEx>
          <w:tblCellMar>
            <w:left w:w="108" w:type="dxa"/>
            <w:right w:w="108" w:type="dxa"/>
          </w:tblCellMar>
        </w:tblPrEx>
        <w:trPr>
          <w:trHeight w:val="2668"/>
          <w:jc w:val="center"/>
        </w:trPr>
        <w:tc>
          <w:tcPr>
            <w:tcW w:w="5000" w:type="pct"/>
            <w:gridSpan w:val="2"/>
          </w:tcPr>
          <w:p w14:paraId="42EF8CF5" w14:textId="5340C3E8" w:rsidR="002D09CB" w:rsidRPr="002D09CB" w:rsidRDefault="00CC0C1B" w:rsidP="002D09CB">
            <w:pPr>
              <w:spacing w:before="120" w:after="0" w:line="240" w:lineRule="auto"/>
              <w:jc w:val="both"/>
              <w:rPr>
                <w:rFonts w:ascii="Times New Roman" w:eastAsia="Times New Roman" w:hAnsi="Times New Roman" w:cs="Times New Roman"/>
                <w:bCs/>
                <w:sz w:val="24"/>
                <w:szCs w:val="24"/>
                <w:lang w:val="ro-RO" w:eastAsia="ja-JP"/>
              </w:rPr>
            </w:pPr>
            <w:proofErr w:type="spellStart"/>
            <w:r>
              <w:rPr>
                <w:rFonts w:ascii="Times New Roman" w:eastAsia="Times New Roman" w:hAnsi="Times New Roman" w:cs="Times New Roman"/>
                <w:bCs/>
                <w:sz w:val="24"/>
                <w:szCs w:val="24"/>
                <w:lang w:val="en-US" w:eastAsia="ja-JP"/>
              </w:rPr>
              <w:t>Păstrarea</w:t>
            </w:r>
            <w:proofErr w:type="spellEnd"/>
            <w:r>
              <w:rPr>
                <w:rFonts w:ascii="Times New Roman" w:eastAsia="Times New Roman" w:hAnsi="Times New Roman" w:cs="Times New Roman"/>
                <w:bCs/>
                <w:sz w:val="24"/>
                <w:szCs w:val="24"/>
                <w:lang w:val="en-US" w:eastAsia="ja-JP"/>
              </w:rPr>
              <w:t xml:space="preserve"> </w:t>
            </w:r>
            <w:proofErr w:type="spellStart"/>
            <w:r>
              <w:rPr>
                <w:rFonts w:ascii="Times New Roman" w:eastAsia="Times New Roman" w:hAnsi="Times New Roman" w:cs="Times New Roman"/>
                <w:bCs/>
                <w:sz w:val="24"/>
                <w:szCs w:val="24"/>
                <w:lang w:val="en-US" w:eastAsia="ja-JP"/>
              </w:rPr>
              <w:t>situației</w:t>
            </w:r>
            <w:proofErr w:type="spellEnd"/>
            <w:r>
              <w:rPr>
                <w:rFonts w:ascii="Times New Roman" w:eastAsia="Times New Roman" w:hAnsi="Times New Roman" w:cs="Times New Roman"/>
                <w:bCs/>
                <w:sz w:val="24"/>
                <w:szCs w:val="24"/>
                <w:lang w:val="en-US" w:eastAsia="ja-JP"/>
              </w:rPr>
              <w:t xml:space="preserve"> </w:t>
            </w:r>
            <w:proofErr w:type="spellStart"/>
            <w:r>
              <w:rPr>
                <w:rFonts w:ascii="Times New Roman" w:eastAsia="Times New Roman" w:hAnsi="Times New Roman" w:cs="Times New Roman"/>
                <w:bCs/>
                <w:sz w:val="24"/>
                <w:szCs w:val="24"/>
                <w:lang w:val="en-US" w:eastAsia="ja-JP"/>
              </w:rPr>
              <w:t>curente</w:t>
            </w:r>
            <w:proofErr w:type="spellEnd"/>
            <w:r>
              <w:rPr>
                <w:rFonts w:ascii="Times New Roman" w:eastAsia="Times New Roman" w:hAnsi="Times New Roman" w:cs="Times New Roman"/>
                <w:bCs/>
                <w:sz w:val="24"/>
                <w:szCs w:val="24"/>
                <w:lang w:val="en-US" w:eastAsia="ja-JP"/>
              </w:rPr>
              <w:t xml:space="preserve"> </w:t>
            </w:r>
            <w:r w:rsidR="002D09CB" w:rsidRPr="002D09CB">
              <w:rPr>
                <w:rFonts w:ascii="Times New Roman" w:eastAsia="Times New Roman" w:hAnsi="Times New Roman" w:cs="Times New Roman"/>
                <w:bCs/>
                <w:sz w:val="24"/>
                <w:szCs w:val="24"/>
                <w:lang w:val="ro-RO" w:eastAsia="ja-JP"/>
              </w:rPr>
              <w:t xml:space="preserve">poate conduce la un șir de </w:t>
            </w:r>
            <w:r w:rsidR="003B39E2">
              <w:rPr>
                <w:rFonts w:ascii="Times New Roman" w:eastAsia="Times New Roman" w:hAnsi="Times New Roman" w:cs="Times New Roman"/>
                <w:bCs/>
                <w:sz w:val="24"/>
                <w:szCs w:val="24"/>
                <w:lang w:val="ro-RO" w:eastAsia="ja-JP"/>
              </w:rPr>
              <w:t>efecte negative</w:t>
            </w:r>
            <w:r w:rsidR="002D09CB" w:rsidRPr="002D09CB">
              <w:rPr>
                <w:rFonts w:ascii="Times New Roman" w:eastAsia="Times New Roman" w:hAnsi="Times New Roman" w:cs="Times New Roman"/>
                <w:bCs/>
                <w:sz w:val="24"/>
                <w:szCs w:val="24"/>
                <w:lang w:val="ro-RO" w:eastAsia="ja-JP"/>
              </w:rPr>
              <w:t>, cum ar fi:</w:t>
            </w:r>
          </w:p>
          <w:p w14:paraId="352CDADF" w14:textId="77777777" w:rsidR="00B16025" w:rsidRDefault="00E47323" w:rsidP="002D09CB">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
                <w:bCs/>
                <w:sz w:val="24"/>
                <w:szCs w:val="24"/>
                <w:lang w:val="ro-RO" w:eastAsia="ja-JP"/>
              </w:rPr>
              <w:t>Consum de energie sporit și f</w:t>
            </w:r>
            <w:r w:rsidR="002D09CB" w:rsidRPr="002D09CB">
              <w:rPr>
                <w:rFonts w:ascii="Times New Roman" w:eastAsia="Times New Roman" w:hAnsi="Times New Roman" w:cs="Times New Roman"/>
                <w:b/>
                <w:bCs/>
                <w:sz w:val="24"/>
                <w:szCs w:val="24"/>
                <w:lang w:val="ro-RO" w:eastAsia="ja-JP"/>
              </w:rPr>
              <w:t>acturi exagerate:</w:t>
            </w:r>
            <w:r w:rsidR="002D09CB" w:rsidRPr="002D09CB">
              <w:rPr>
                <w:rFonts w:ascii="Times New Roman" w:eastAsia="Times New Roman" w:hAnsi="Times New Roman" w:cs="Times New Roman"/>
                <w:bCs/>
                <w:sz w:val="24"/>
                <w:szCs w:val="24"/>
                <w:lang w:val="ro-RO" w:eastAsia="ja-JP"/>
              </w:rPr>
              <w:t xml:space="preserve"> Utilizarea </w:t>
            </w:r>
            <w:r w:rsidR="00ED1C11">
              <w:rPr>
                <w:rFonts w:ascii="Times New Roman" w:eastAsia="Times New Roman" w:hAnsi="Times New Roman" w:cs="Times New Roman"/>
                <w:bCs/>
                <w:sz w:val="24"/>
                <w:szCs w:val="24"/>
                <w:lang w:val="ro-RO" w:eastAsia="ru-RU"/>
              </w:rPr>
              <w:t>instalațiilor</w:t>
            </w:r>
            <w:r w:rsidR="000A09BA" w:rsidRPr="009121D1">
              <w:rPr>
                <w:rFonts w:ascii="Times New Roman" w:eastAsia="Times New Roman" w:hAnsi="Times New Roman" w:cs="Times New Roman"/>
                <w:bCs/>
                <w:sz w:val="24"/>
                <w:szCs w:val="24"/>
                <w:lang w:val="ro-RO" w:eastAsia="ru-RU"/>
              </w:rPr>
              <w:t xml:space="preserve"> pentru încălzirea incintelor </w:t>
            </w:r>
            <w:proofErr w:type="spellStart"/>
            <w:r w:rsidR="000A09BA" w:rsidRPr="009121D1">
              <w:rPr>
                <w:rFonts w:ascii="Times New Roman" w:eastAsia="Times New Roman" w:hAnsi="Times New Roman" w:cs="Times New Roman"/>
                <w:bCs/>
                <w:sz w:val="24"/>
                <w:szCs w:val="24"/>
                <w:lang w:val="ro-RO" w:eastAsia="ru-RU"/>
              </w:rPr>
              <w:t>şi</w:t>
            </w:r>
            <w:proofErr w:type="spellEnd"/>
            <w:r w:rsidR="000A09BA" w:rsidRPr="009121D1">
              <w:rPr>
                <w:rFonts w:ascii="Times New Roman" w:eastAsia="Times New Roman" w:hAnsi="Times New Roman" w:cs="Times New Roman"/>
                <w:bCs/>
                <w:sz w:val="24"/>
                <w:szCs w:val="24"/>
                <w:lang w:val="ro-RO" w:eastAsia="ru-RU"/>
              </w:rPr>
              <w:t xml:space="preserve"> </w:t>
            </w:r>
            <w:r w:rsidR="00ED1C11" w:rsidRPr="009121D1">
              <w:rPr>
                <w:rFonts w:ascii="Times New Roman" w:eastAsia="Times New Roman" w:hAnsi="Times New Roman" w:cs="Times New Roman"/>
                <w:bCs/>
                <w:sz w:val="24"/>
                <w:szCs w:val="24"/>
                <w:lang w:val="ro-RO" w:eastAsia="ru-RU"/>
              </w:rPr>
              <w:t>instalațiil</w:t>
            </w:r>
            <w:r w:rsidR="00ED1C11">
              <w:rPr>
                <w:rFonts w:ascii="Times New Roman" w:eastAsia="Times New Roman" w:hAnsi="Times New Roman" w:cs="Times New Roman"/>
                <w:bCs/>
                <w:sz w:val="24"/>
                <w:szCs w:val="24"/>
                <w:lang w:val="ro-RO" w:eastAsia="ru-RU"/>
              </w:rPr>
              <w:t>or</w:t>
            </w:r>
            <w:r w:rsidR="000A09BA" w:rsidRPr="009121D1">
              <w:rPr>
                <w:rFonts w:ascii="Times New Roman" w:eastAsia="Times New Roman" w:hAnsi="Times New Roman" w:cs="Times New Roman"/>
                <w:bCs/>
                <w:sz w:val="24"/>
                <w:szCs w:val="24"/>
                <w:lang w:val="ro-RO" w:eastAsia="ru-RU"/>
              </w:rPr>
              <w:t xml:space="preserve"> de încălzire cu </w:t>
            </w:r>
            <w:proofErr w:type="spellStart"/>
            <w:r w:rsidR="000A09BA" w:rsidRPr="009121D1">
              <w:rPr>
                <w:rFonts w:ascii="Times New Roman" w:eastAsia="Times New Roman" w:hAnsi="Times New Roman" w:cs="Times New Roman"/>
                <w:bCs/>
                <w:sz w:val="24"/>
                <w:szCs w:val="24"/>
                <w:lang w:val="ro-RO" w:eastAsia="ru-RU"/>
              </w:rPr>
              <w:t>funcţie</w:t>
            </w:r>
            <w:proofErr w:type="spellEnd"/>
            <w:r w:rsidR="000A09BA" w:rsidRPr="009121D1">
              <w:rPr>
                <w:rFonts w:ascii="Times New Roman" w:eastAsia="Times New Roman" w:hAnsi="Times New Roman" w:cs="Times New Roman"/>
                <w:bCs/>
                <w:sz w:val="24"/>
                <w:szCs w:val="24"/>
                <w:lang w:val="ro-RO" w:eastAsia="ru-RU"/>
              </w:rPr>
              <w:t xml:space="preserve"> dublă</w:t>
            </w:r>
            <w:r w:rsidR="00651542">
              <w:rPr>
                <w:rFonts w:ascii="Times New Roman" w:eastAsia="Times New Roman" w:hAnsi="Times New Roman" w:cs="Times New Roman"/>
                <w:bCs/>
                <w:sz w:val="24"/>
                <w:szCs w:val="24"/>
                <w:lang w:val="ro-RO" w:eastAsia="ru-RU"/>
              </w:rPr>
              <w:t xml:space="preserve"> care nu corespund cerințelor tehnice minime</w:t>
            </w:r>
            <w:r w:rsidR="002D09CB" w:rsidRPr="002D09CB">
              <w:rPr>
                <w:rFonts w:ascii="Times New Roman" w:eastAsia="Times New Roman" w:hAnsi="Times New Roman" w:cs="Times New Roman"/>
                <w:bCs/>
                <w:sz w:val="24"/>
                <w:szCs w:val="24"/>
                <w:lang w:val="ro-RO" w:eastAsia="ja-JP"/>
              </w:rPr>
              <w:t>, atrag după sine cheltuieli suplimentare</w:t>
            </w:r>
            <w:r w:rsidR="00B16025">
              <w:rPr>
                <w:rFonts w:ascii="Times New Roman" w:eastAsia="Times New Roman" w:hAnsi="Times New Roman" w:cs="Times New Roman"/>
                <w:bCs/>
                <w:sz w:val="24"/>
                <w:szCs w:val="24"/>
                <w:lang w:val="ro-RO" w:eastAsia="ja-JP"/>
              </w:rPr>
              <w:t>,</w:t>
            </w:r>
            <w:r>
              <w:rPr>
                <w:rFonts w:ascii="Times New Roman" w:eastAsia="Times New Roman" w:hAnsi="Times New Roman" w:cs="Times New Roman"/>
                <w:bCs/>
                <w:sz w:val="24"/>
                <w:szCs w:val="24"/>
                <w:lang w:val="ro-RO" w:eastAsia="ja-JP"/>
              </w:rPr>
              <w:t xml:space="preserve"> inclusiv slăbesc securitatea energetică a statului</w:t>
            </w:r>
            <w:r w:rsidR="002D09CB" w:rsidRPr="002D09CB">
              <w:rPr>
                <w:rFonts w:ascii="Times New Roman" w:eastAsia="Times New Roman" w:hAnsi="Times New Roman" w:cs="Times New Roman"/>
                <w:bCs/>
                <w:sz w:val="24"/>
                <w:szCs w:val="24"/>
                <w:lang w:val="ro-RO" w:eastAsia="ja-JP"/>
              </w:rPr>
              <w:t xml:space="preserve">. </w:t>
            </w:r>
          </w:p>
          <w:p w14:paraId="7AFF7DA0" w14:textId="14D5671E" w:rsidR="002D09CB" w:rsidRPr="002D09CB" w:rsidRDefault="005266BB" w:rsidP="002D09CB">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Instalațiile </w:t>
            </w:r>
            <w:r w:rsidR="002D09CB" w:rsidRPr="002D09CB">
              <w:rPr>
                <w:rFonts w:ascii="Times New Roman" w:eastAsia="Times New Roman" w:hAnsi="Times New Roman" w:cs="Times New Roman"/>
                <w:bCs/>
                <w:sz w:val="24"/>
                <w:szCs w:val="24"/>
                <w:lang w:val="ro-RO" w:eastAsia="ja-JP"/>
              </w:rPr>
              <w:t xml:space="preserve">cu un consum excesiv afectează cel mai mult </w:t>
            </w:r>
            <w:r>
              <w:rPr>
                <w:rFonts w:ascii="Times New Roman" w:eastAsia="Times New Roman" w:hAnsi="Times New Roman" w:cs="Times New Roman"/>
                <w:bCs/>
                <w:sz w:val="24"/>
                <w:szCs w:val="24"/>
                <w:lang w:val="ro-RO" w:eastAsia="ja-JP"/>
              </w:rPr>
              <w:t xml:space="preserve">veniturile consumatorilor </w:t>
            </w:r>
            <w:r w:rsidR="002D09CB" w:rsidRPr="002D09CB">
              <w:rPr>
                <w:rFonts w:ascii="Times New Roman" w:eastAsia="Times New Roman" w:hAnsi="Times New Roman" w:cs="Times New Roman"/>
                <w:bCs/>
                <w:sz w:val="24"/>
                <w:szCs w:val="24"/>
                <w:lang w:val="ro-RO" w:eastAsia="ja-JP"/>
              </w:rPr>
              <w:t xml:space="preserve">și împiedică </w:t>
            </w:r>
            <w:r>
              <w:rPr>
                <w:rFonts w:ascii="Times New Roman" w:eastAsia="Times New Roman" w:hAnsi="Times New Roman" w:cs="Times New Roman"/>
                <w:bCs/>
                <w:sz w:val="24"/>
                <w:szCs w:val="24"/>
                <w:lang w:val="ro-RO" w:eastAsia="ja-JP"/>
              </w:rPr>
              <w:t xml:space="preserve">la </w:t>
            </w:r>
            <w:r w:rsidR="002D09CB" w:rsidRPr="002D09CB">
              <w:rPr>
                <w:rFonts w:ascii="Times New Roman" w:eastAsia="Times New Roman" w:hAnsi="Times New Roman" w:cs="Times New Roman"/>
                <w:bCs/>
                <w:sz w:val="24"/>
                <w:szCs w:val="24"/>
                <w:lang w:val="ro-RO" w:eastAsia="ja-JP"/>
              </w:rPr>
              <w:t>ridicarea nivelului de trai</w:t>
            </w:r>
            <w:r w:rsidR="00697995">
              <w:rPr>
                <w:rFonts w:ascii="Times New Roman" w:eastAsia="Times New Roman" w:hAnsi="Times New Roman" w:cs="Times New Roman"/>
                <w:bCs/>
                <w:sz w:val="24"/>
                <w:szCs w:val="24"/>
                <w:lang w:val="ro-RO" w:eastAsia="ja-JP"/>
              </w:rPr>
              <w:t xml:space="preserve"> al acestora</w:t>
            </w:r>
            <w:r w:rsidR="002D09CB" w:rsidRPr="002D09CB">
              <w:rPr>
                <w:rFonts w:ascii="Times New Roman" w:eastAsia="Times New Roman" w:hAnsi="Times New Roman" w:cs="Times New Roman"/>
                <w:bCs/>
                <w:sz w:val="24"/>
                <w:szCs w:val="24"/>
                <w:lang w:val="ro-RO" w:eastAsia="ja-JP"/>
              </w:rPr>
              <w:t xml:space="preserve">. </w:t>
            </w:r>
          </w:p>
          <w:p w14:paraId="390F066B" w14:textId="59E1B606" w:rsidR="002D09CB" w:rsidRPr="002D09CB" w:rsidRDefault="004A1235" w:rsidP="002D09CB">
            <w:pPr>
              <w:spacing w:before="120" w:after="0" w:line="240" w:lineRule="auto"/>
              <w:jc w:val="both"/>
              <w:rPr>
                <w:rFonts w:ascii="Times New Roman" w:eastAsia="Times New Roman" w:hAnsi="Times New Roman" w:cs="Times New Roman"/>
                <w:bCs/>
                <w:sz w:val="24"/>
                <w:szCs w:val="24"/>
                <w:lang w:val="ro-RO" w:eastAsia="ja-JP"/>
              </w:rPr>
            </w:pPr>
            <w:r>
              <w:rPr>
                <w:noProof/>
                <w:lang w:val="en-US"/>
              </w:rPr>
              <w:lastRenderedPageBreak/>
              <w:drawing>
                <wp:anchor distT="0" distB="0" distL="114300" distR="114300" simplePos="0" relativeHeight="251658240" behindDoc="0" locked="0" layoutInCell="1" allowOverlap="1" wp14:anchorId="2AA6C1E2" wp14:editId="01FEC6D3">
                  <wp:simplePos x="0" y="0"/>
                  <wp:positionH relativeFrom="column">
                    <wp:posOffset>3110230</wp:posOffset>
                  </wp:positionH>
                  <wp:positionV relativeFrom="paragraph">
                    <wp:posOffset>372341</wp:posOffset>
                  </wp:positionV>
                  <wp:extent cx="2789382" cy="2161309"/>
                  <wp:effectExtent l="0" t="0" r="11430" b="10795"/>
                  <wp:wrapThrough wrapText="bothSides">
                    <wp:wrapPolygon edited="0">
                      <wp:start x="0" y="0"/>
                      <wp:lineTo x="0" y="21517"/>
                      <wp:lineTo x="21541" y="21517"/>
                      <wp:lineTo x="21541"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roofErr w:type="spellStart"/>
            <w:r w:rsidR="002D09CB" w:rsidRPr="002D09CB">
              <w:rPr>
                <w:rFonts w:ascii="Times New Roman" w:eastAsia="Times New Roman" w:hAnsi="Times New Roman" w:cs="Times New Roman"/>
                <w:b/>
                <w:bCs/>
                <w:sz w:val="24"/>
                <w:szCs w:val="24"/>
                <w:lang w:val="ro-RO" w:eastAsia="ja-JP"/>
              </w:rPr>
              <w:t>abelul</w:t>
            </w:r>
            <w:proofErr w:type="spellEnd"/>
            <w:r w:rsidR="00680DB2">
              <w:rPr>
                <w:rFonts w:ascii="Times New Roman" w:eastAsia="Times New Roman" w:hAnsi="Times New Roman" w:cs="Times New Roman"/>
                <w:b/>
                <w:bCs/>
                <w:sz w:val="24"/>
                <w:szCs w:val="24"/>
                <w:lang w:val="ro-RO" w:eastAsia="ja-JP"/>
              </w:rPr>
              <w:t xml:space="preserve"> 1</w:t>
            </w:r>
            <w:r w:rsidR="002D09CB" w:rsidRPr="002D09CB">
              <w:rPr>
                <w:rFonts w:ascii="Times New Roman" w:eastAsia="Times New Roman" w:hAnsi="Times New Roman" w:cs="Times New Roman"/>
                <w:b/>
                <w:bCs/>
                <w:sz w:val="24"/>
                <w:szCs w:val="24"/>
                <w:lang w:val="ro-RO" w:eastAsia="ja-JP"/>
              </w:rPr>
              <w:t xml:space="preserve">. </w:t>
            </w:r>
            <w:r w:rsidR="002D09CB" w:rsidRPr="002D09CB">
              <w:rPr>
                <w:rFonts w:ascii="Times New Roman" w:eastAsia="Times New Roman" w:hAnsi="Times New Roman" w:cs="Times New Roman"/>
                <w:bCs/>
                <w:sz w:val="24"/>
                <w:szCs w:val="24"/>
                <w:lang w:val="ro-RO" w:eastAsia="ja-JP"/>
              </w:rPr>
              <w:t>Cheltuieli de consum medii lunare pe o persoan</w:t>
            </w:r>
            <w:r w:rsidR="00DC084F">
              <w:rPr>
                <w:rFonts w:ascii="Times New Roman" w:eastAsia="Times New Roman" w:hAnsi="Times New Roman" w:cs="Times New Roman"/>
                <w:bCs/>
                <w:sz w:val="24"/>
                <w:szCs w:val="24"/>
                <w:lang w:val="ro-RO" w:eastAsia="ja-JP"/>
              </w:rPr>
              <w:t>ă</w:t>
            </w:r>
            <w:r w:rsidR="002D09CB" w:rsidRPr="002D09CB">
              <w:rPr>
                <w:rFonts w:ascii="Times New Roman" w:eastAsia="Times New Roman" w:hAnsi="Times New Roman" w:cs="Times New Roman"/>
                <w:bCs/>
                <w:sz w:val="24"/>
                <w:szCs w:val="24"/>
                <w:lang w:val="ro-RO" w:eastAsia="ja-JP"/>
              </w:rPr>
              <w:t xml:space="preserve"> </w:t>
            </w:r>
            <w:r w:rsidR="00DC084F">
              <w:rPr>
                <w:rFonts w:ascii="Times New Roman" w:eastAsia="Times New Roman" w:hAnsi="Times New Roman" w:cs="Times New Roman"/>
                <w:bCs/>
                <w:sz w:val="24"/>
                <w:szCs w:val="24"/>
                <w:lang w:val="ro-RO" w:eastAsia="ja-JP"/>
              </w:rPr>
              <w:t>(2019)</w:t>
            </w:r>
          </w:p>
          <w:tbl>
            <w:tblPr>
              <w:tblW w:w="4602" w:type="dxa"/>
              <w:tblLook w:val="04A0" w:firstRow="1" w:lastRow="0" w:firstColumn="1" w:lastColumn="0" w:noHBand="0" w:noVBand="1"/>
            </w:tblPr>
            <w:tblGrid>
              <w:gridCol w:w="3458"/>
              <w:gridCol w:w="1144"/>
            </w:tblGrid>
            <w:tr w:rsidR="003218CC" w:rsidRPr="00B76CED" w14:paraId="2C7E501D"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0C1FA8A9" w14:textId="77777777" w:rsidR="003218CC" w:rsidRPr="00AE4445" w:rsidRDefault="003218CC" w:rsidP="00AE4445">
                  <w:pPr>
                    <w:spacing w:after="0" w:line="240" w:lineRule="auto"/>
                    <w:rPr>
                      <w:rFonts w:ascii="Times New Roman" w:eastAsia="Times New Roman" w:hAnsi="Times New Roman" w:cs="Times New Roman"/>
                      <w:b/>
                      <w:bCs/>
                      <w:lang w:val="en-US"/>
                    </w:rPr>
                  </w:pPr>
                  <w:proofErr w:type="spellStart"/>
                  <w:r w:rsidRPr="00AE4445">
                    <w:rPr>
                      <w:rFonts w:ascii="Times New Roman" w:eastAsia="Times New Roman" w:hAnsi="Times New Roman" w:cs="Times New Roman"/>
                      <w:b/>
                      <w:bCs/>
                      <w:lang w:val="en-US"/>
                    </w:rPr>
                    <w:t>Tipul</w:t>
                  </w:r>
                  <w:proofErr w:type="spellEnd"/>
                  <w:r w:rsidRPr="00AE4445">
                    <w:rPr>
                      <w:rFonts w:ascii="Times New Roman" w:eastAsia="Times New Roman" w:hAnsi="Times New Roman" w:cs="Times New Roman"/>
                      <w:b/>
                      <w:bCs/>
                      <w:lang w:val="en-US"/>
                    </w:rPr>
                    <w:t xml:space="preserve"> de </w:t>
                  </w:r>
                  <w:proofErr w:type="spellStart"/>
                  <w:r w:rsidRPr="00AE4445">
                    <w:rPr>
                      <w:rFonts w:ascii="Times New Roman" w:eastAsia="Times New Roman" w:hAnsi="Times New Roman" w:cs="Times New Roman"/>
                      <w:b/>
                      <w:bCs/>
                      <w:lang w:val="en-US"/>
                    </w:rPr>
                    <w:t>cheltuieli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5961E88" w14:textId="77777777" w:rsidR="003218CC" w:rsidRPr="00AE4445" w:rsidRDefault="003218CC" w:rsidP="00AE4445">
                  <w:pPr>
                    <w:spacing w:after="0" w:line="240" w:lineRule="auto"/>
                    <w:rPr>
                      <w:rFonts w:ascii="Times New Roman" w:eastAsia="Times New Roman" w:hAnsi="Times New Roman" w:cs="Times New Roman"/>
                      <w:b/>
                      <w:bCs/>
                      <w:lang w:val="en-US"/>
                    </w:rPr>
                  </w:pPr>
                  <w:r w:rsidRPr="00AE4445">
                    <w:rPr>
                      <w:rFonts w:ascii="Times New Roman" w:eastAsia="Times New Roman" w:hAnsi="Times New Roman" w:cs="Times New Roman"/>
                      <w:b/>
                      <w:bCs/>
                      <w:lang w:val="en-US"/>
                    </w:rPr>
                    <w:t>MDL</w:t>
                  </w:r>
                </w:p>
              </w:tc>
            </w:tr>
            <w:tr w:rsidR="003218CC" w:rsidRPr="00B76CED" w14:paraId="3D5B8C4E"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04D43856"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Cheltuieli</w:t>
                  </w:r>
                  <w:proofErr w:type="spellEnd"/>
                  <w:r w:rsidRPr="00AE4445">
                    <w:rPr>
                      <w:rFonts w:ascii="Times New Roman" w:eastAsia="Times New Roman" w:hAnsi="Times New Roman" w:cs="Times New Roman"/>
                      <w:b/>
                      <w:bCs/>
                      <w:color w:val="000000"/>
                      <w:lang w:val="en-US"/>
                    </w:rPr>
                    <w:t xml:space="preserve"> de </w:t>
                  </w:r>
                  <w:proofErr w:type="spellStart"/>
                  <w:r w:rsidRPr="00AE4445">
                    <w:rPr>
                      <w:rFonts w:ascii="Times New Roman" w:eastAsia="Times New Roman" w:hAnsi="Times New Roman" w:cs="Times New Roman"/>
                      <w:b/>
                      <w:bCs/>
                      <w:color w:val="000000"/>
                      <w:lang w:val="en-US"/>
                    </w:rPr>
                    <w:t>consum</w:t>
                  </w:r>
                  <w:proofErr w:type="spellEnd"/>
                  <w:r w:rsidRPr="00AE4445">
                    <w:rPr>
                      <w:rFonts w:ascii="Times New Roman" w:eastAsia="Times New Roman" w:hAnsi="Times New Roman" w:cs="Times New Roman"/>
                      <w:b/>
                      <w:bCs/>
                      <w:color w:val="000000"/>
                      <w:lang w:val="en-US"/>
                    </w:rPr>
                    <w:t xml:space="preserve"> - total</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C81FFE0" w14:textId="19BD3CC0"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2786.6</w:t>
                  </w:r>
                </w:p>
              </w:tc>
            </w:tr>
            <w:tr w:rsidR="003218CC" w:rsidRPr="00B76CED" w14:paraId="441497E4"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263A0"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Produse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alimentare</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F96B" w14:textId="50E84923" w:rsidR="003218CC" w:rsidRPr="00AE4445" w:rsidRDefault="00CA7C68" w:rsidP="00AE4445">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1130.9</w:t>
                  </w:r>
                </w:p>
              </w:tc>
            </w:tr>
            <w:tr w:rsidR="003218CC" w:rsidRPr="00B76CED" w14:paraId="5BFE2D09"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513D207"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Intretinerea</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locuintei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446D4C55" w14:textId="03BD4B5C"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451.1</w:t>
                  </w:r>
                </w:p>
              </w:tc>
            </w:tr>
            <w:tr w:rsidR="003218CC" w:rsidRPr="00B76CED" w14:paraId="21F25B6F"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9925"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Imbracaminte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incaltaminte</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0958" w14:textId="089C8811"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269.1</w:t>
                  </w:r>
                </w:p>
              </w:tc>
            </w:tr>
            <w:tr w:rsidR="003218CC" w:rsidRPr="00B76CED" w14:paraId="329A7F83"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9AA6343"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r w:rsidRPr="00AE4445">
                    <w:rPr>
                      <w:rFonts w:ascii="Times New Roman" w:eastAsia="Times New Roman" w:hAnsi="Times New Roman" w:cs="Times New Roman"/>
                      <w:b/>
                      <w:bCs/>
                      <w:color w:val="000000"/>
                      <w:lang w:val="en-US"/>
                    </w:rPr>
                    <w:t>Transport</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48AEF0CC" w14:textId="38D068AC"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170</w:t>
                  </w:r>
                </w:p>
              </w:tc>
            </w:tr>
            <w:tr w:rsidR="003218CC" w:rsidRPr="00B76CED" w14:paraId="71E34AC9"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A120"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Ingrijire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medicala</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si</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sanatate</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42EFA" w14:textId="4535BAC1"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145.</w:t>
                  </w:r>
                  <w:r w:rsidR="00CA7C68">
                    <w:rPr>
                      <w:rFonts w:ascii="Times New Roman" w:eastAsia="Times New Roman" w:hAnsi="Times New Roman" w:cs="Times New Roman"/>
                      <w:color w:val="000000"/>
                      <w:lang w:val="en-US"/>
                    </w:rPr>
                    <w:t>3</w:t>
                  </w:r>
                </w:p>
              </w:tc>
            </w:tr>
            <w:tr w:rsidR="003218CC" w:rsidRPr="00B76CED" w14:paraId="514A5F5D" w14:textId="77777777" w:rsidTr="00617E87">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7B90592"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Dotarea</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locuintei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01771F4" w14:textId="74C695AE"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142.2</w:t>
                  </w:r>
                </w:p>
              </w:tc>
            </w:tr>
            <w:tr w:rsidR="003218CC" w:rsidRPr="00B76CED" w14:paraId="3D9FCBC7"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58D7"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Comunicatii</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1F2B8" w14:textId="6B3008D6"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125.7</w:t>
                  </w:r>
                </w:p>
              </w:tc>
            </w:tr>
            <w:tr w:rsidR="003218CC" w:rsidRPr="00B76CED" w14:paraId="7943F0FE" w14:textId="77777777" w:rsidTr="00CC0C1B">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6595E78"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r w:rsidRPr="00AE4445">
                    <w:rPr>
                      <w:rFonts w:ascii="Times New Roman" w:eastAsia="Times New Roman" w:hAnsi="Times New Roman" w:cs="Times New Roman"/>
                      <w:b/>
                      <w:bCs/>
                      <w:color w:val="000000"/>
                      <w:lang w:val="en-US"/>
                    </w:rPr>
                    <w:t>Diverse</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1D89FEE2" w14:textId="7C4C8214"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119.</w:t>
                  </w:r>
                  <w:r w:rsidR="00CA7C68">
                    <w:rPr>
                      <w:rFonts w:ascii="Times New Roman" w:eastAsia="Times New Roman" w:hAnsi="Times New Roman" w:cs="Times New Roman"/>
                      <w:color w:val="000000"/>
                      <w:lang w:val="en-US"/>
                    </w:rPr>
                    <w:t>4</w:t>
                  </w:r>
                </w:p>
              </w:tc>
            </w:tr>
            <w:tr w:rsidR="003218CC" w:rsidRPr="00B76CED" w14:paraId="398920F9"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14619"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Agrement</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AF072" w14:textId="3BB37FB2"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78.6</w:t>
                  </w:r>
                </w:p>
              </w:tc>
            </w:tr>
            <w:tr w:rsidR="003218CC" w:rsidRPr="00B76CED" w14:paraId="1B502923" w14:textId="77777777" w:rsidTr="00CC0C1B">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CC2CCE1"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Hoteluri</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restaurante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cafenele</w:t>
                  </w:r>
                  <w:proofErr w:type="spellEnd"/>
                  <w:r w:rsidRPr="00AE4445">
                    <w:rPr>
                      <w:rFonts w:ascii="Times New Roman" w:eastAsia="Times New Roman" w:hAnsi="Times New Roman" w:cs="Times New Roman"/>
                      <w:b/>
                      <w:bCs/>
                      <w:color w:val="000000"/>
                      <w:lang w:val="en-US"/>
                    </w:rPr>
                    <w:t xml:space="preserve"> etc.</w:t>
                  </w:r>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383AC2C8" w14:textId="12F61DE9" w:rsidR="003218CC" w:rsidRPr="00AE4445" w:rsidRDefault="00CA7C68" w:rsidP="00CA7C68">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72.6</w:t>
                  </w:r>
                </w:p>
              </w:tc>
            </w:tr>
            <w:tr w:rsidR="003218CC" w:rsidRPr="00B76CED" w14:paraId="04706728" w14:textId="77777777" w:rsidTr="003218CC">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E8DF" w14:textId="77777777" w:rsidR="003218CC" w:rsidRPr="00AE4445" w:rsidRDefault="003218CC" w:rsidP="00AE4445">
                  <w:pPr>
                    <w:spacing w:after="0" w:line="240" w:lineRule="auto"/>
                    <w:rPr>
                      <w:rFonts w:ascii="Times New Roman" w:eastAsia="Times New Roman" w:hAnsi="Times New Roman" w:cs="Times New Roman"/>
                      <w:b/>
                      <w:bCs/>
                      <w:color w:val="000000"/>
                      <w:lang w:val="en-US"/>
                    </w:rPr>
                  </w:pPr>
                  <w:proofErr w:type="spellStart"/>
                  <w:r w:rsidRPr="00AE4445">
                    <w:rPr>
                      <w:rFonts w:ascii="Times New Roman" w:eastAsia="Times New Roman" w:hAnsi="Times New Roman" w:cs="Times New Roman"/>
                      <w:b/>
                      <w:bCs/>
                      <w:color w:val="000000"/>
                      <w:lang w:val="en-US"/>
                    </w:rPr>
                    <w:t>Bauturi</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alcoolice</w:t>
                  </w:r>
                  <w:proofErr w:type="spellEnd"/>
                  <w:r w:rsidRPr="00AE4445">
                    <w:rPr>
                      <w:rFonts w:ascii="Times New Roman" w:eastAsia="Times New Roman" w:hAnsi="Times New Roman" w:cs="Times New Roman"/>
                      <w:b/>
                      <w:bCs/>
                      <w:color w:val="000000"/>
                      <w:lang w:val="en-US"/>
                    </w:rPr>
                    <w:t xml:space="preserve">, </w:t>
                  </w:r>
                  <w:proofErr w:type="spellStart"/>
                  <w:r w:rsidRPr="00AE4445">
                    <w:rPr>
                      <w:rFonts w:ascii="Times New Roman" w:eastAsia="Times New Roman" w:hAnsi="Times New Roman" w:cs="Times New Roman"/>
                      <w:b/>
                      <w:bCs/>
                      <w:color w:val="000000"/>
                      <w:lang w:val="en-US"/>
                    </w:rPr>
                    <w:t>tutun</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0A5F3" w14:textId="12674194" w:rsidR="003218CC" w:rsidRPr="00AE4445" w:rsidRDefault="003218CC" w:rsidP="00CA7C68">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50.</w:t>
                  </w:r>
                  <w:r w:rsidR="00CA7C68">
                    <w:rPr>
                      <w:rFonts w:ascii="Times New Roman" w:eastAsia="Times New Roman" w:hAnsi="Times New Roman" w:cs="Times New Roman"/>
                      <w:color w:val="000000"/>
                      <w:lang w:val="en-US"/>
                    </w:rPr>
                    <w:t>4</w:t>
                  </w:r>
                </w:p>
              </w:tc>
            </w:tr>
            <w:tr w:rsidR="003218CC" w:rsidRPr="00B76CED" w14:paraId="61E7E317" w14:textId="77777777" w:rsidTr="00CC0C1B">
              <w:trPr>
                <w:trHeight w:val="260"/>
              </w:trPr>
              <w:tc>
                <w:tcPr>
                  <w:tcW w:w="345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7321390" w14:textId="139C04E2" w:rsidR="003218CC" w:rsidRPr="00AE4445" w:rsidRDefault="00CA7C68" w:rsidP="00AE4445">
                  <w:pPr>
                    <w:spacing w:after="0" w:line="240" w:lineRule="auto"/>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Invațămâ</w:t>
                  </w:r>
                  <w:r w:rsidR="003218CC" w:rsidRPr="00AE4445">
                    <w:rPr>
                      <w:rFonts w:ascii="Times New Roman" w:eastAsia="Times New Roman" w:hAnsi="Times New Roman" w:cs="Times New Roman"/>
                      <w:b/>
                      <w:bCs/>
                      <w:color w:val="000000"/>
                      <w:lang w:val="en-US"/>
                    </w:rPr>
                    <w:t>nt</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072577B2" w14:textId="77777777" w:rsidR="003218CC" w:rsidRPr="00AE4445" w:rsidRDefault="003218CC" w:rsidP="00AE4445">
                  <w:pPr>
                    <w:spacing w:after="0" w:line="240" w:lineRule="auto"/>
                    <w:jc w:val="right"/>
                    <w:rPr>
                      <w:rFonts w:ascii="Times New Roman" w:eastAsia="Times New Roman" w:hAnsi="Times New Roman" w:cs="Times New Roman"/>
                      <w:color w:val="000000"/>
                      <w:lang w:val="en-US"/>
                    </w:rPr>
                  </w:pPr>
                  <w:r w:rsidRPr="00AE4445">
                    <w:rPr>
                      <w:rFonts w:ascii="Times New Roman" w:eastAsia="Times New Roman" w:hAnsi="Times New Roman" w:cs="Times New Roman"/>
                      <w:color w:val="000000"/>
                      <w:lang w:val="en-US"/>
                    </w:rPr>
                    <w:t>31.4</w:t>
                  </w:r>
                </w:p>
              </w:tc>
            </w:tr>
          </w:tbl>
          <w:p w14:paraId="6A2C20B3" w14:textId="4D812AD3" w:rsidR="002D09CB" w:rsidRPr="002D09CB" w:rsidRDefault="00DC084F" w:rsidP="002D09CB">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Conform informației de mai sus, </w:t>
            </w:r>
            <w:r w:rsidR="002D09CB" w:rsidRPr="002D09CB">
              <w:rPr>
                <w:rFonts w:ascii="Times New Roman" w:eastAsia="Times New Roman" w:hAnsi="Times New Roman" w:cs="Times New Roman"/>
                <w:bCs/>
                <w:sz w:val="24"/>
                <w:szCs w:val="24"/>
                <w:lang w:val="ro-RO" w:eastAsia="ja-JP"/>
              </w:rPr>
              <w:t>pentru întreținerea locuințelor cetățeanul achită în medie 1</w:t>
            </w:r>
            <w:r>
              <w:rPr>
                <w:rFonts w:ascii="Times New Roman" w:eastAsia="Times New Roman" w:hAnsi="Times New Roman" w:cs="Times New Roman"/>
                <w:bCs/>
                <w:sz w:val="24"/>
                <w:szCs w:val="24"/>
                <w:lang w:val="ro-RO" w:eastAsia="ja-JP"/>
              </w:rPr>
              <w:t>6</w:t>
            </w:r>
            <w:r w:rsidR="002D09CB" w:rsidRPr="002D09CB">
              <w:rPr>
                <w:rFonts w:ascii="Times New Roman" w:eastAsia="Times New Roman" w:hAnsi="Times New Roman" w:cs="Times New Roman"/>
                <w:bCs/>
                <w:sz w:val="24"/>
                <w:szCs w:val="24"/>
                <w:lang w:val="ro-RO" w:eastAsia="ja-JP"/>
              </w:rPr>
              <w:t>,</w:t>
            </w:r>
            <w:r w:rsidR="00003A6E">
              <w:rPr>
                <w:rFonts w:ascii="Times New Roman" w:eastAsia="Times New Roman" w:hAnsi="Times New Roman" w:cs="Times New Roman"/>
                <w:bCs/>
                <w:sz w:val="24"/>
                <w:szCs w:val="24"/>
                <w:lang w:val="ro-RO" w:eastAsia="ja-JP"/>
              </w:rPr>
              <w:t>% din venitul său, și doar 5</w:t>
            </w:r>
            <w:r w:rsidR="002D09CB" w:rsidRPr="002D09CB">
              <w:rPr>
                <w:rFonts w:ascii="Times New Roman" w:eastAsia="Times New Roman" w:hAnsi="Times New Roman" w:cs="Times New Roman"/>
                <w:bCs/>
                <w:sz w:val="24"/>
                <w:szCs w:val="24"/>
                <w:lang w:val="ro-RO" w:eastAsia="ja-JP"/>
              </w:rPr>
              <w:t>% pentru dotarea acesteia.</w:t>
            </w:r>
          </w:p>
          <w:p w14:paraId="77A45274" w14:textId="09EF778F" w:rsidR="00680DB2" w:rsidRDefault="002D09CB" w:rsidP="002D09CB">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Cs/>
                <w:sz w:val="24"/>
                <w:szCs w:val="24"/>
                <w:lang w:val="ro-RO" w:eastAsia="ja-JP"/>
              </w:rPr>
              <w:t xml:space="preserve">Prin urmare fără o intervenție adițională aceste consumuri vor continua să </w:t>
            </w:r>
            <w:r w:rsidR="00003A6E">
              <w:rPr>
                <w:rFonts w:ascii="Times New Roman" w:eastAsia="Times New Roman" w:hAnsi="Times New Roman" w:cs="Times New Roman"/>
                <w:bCs/>
                <w:sz w:val="24"/>
                <w:szCs w:val="24"/>
                <w:lang w:val="ro-RO" w:eastAsia="ja-JP"/>
              </w:rPr>
              <w:t>fie ridicate</w:t>
            </w:r>
            <w:r w:rsidR="00CA7C68">
              <w:rPr>
                <w:rFonts w:ascii="Times New Roman" w:eastAsia="Times New Roman" w:hAnsi="Times New Roman" w:cs="Times New Roman"/>
                <w:bCs/>
                <w:sz w:val="24"/>
                <w:szCs w:val="24"/>
                <w:lang w:val="ro-RO" w:eastAsia="ja-JP"/>
              </w:rPr>
              <w:t>.</w:t>
            </w:r>
            <w:r w:rsidR="001F301A">
              <w:rPr>
                <w:rFonts w:ascii="Times New Roman" w:eastAsia="Times New Roman" w:hAnsi="Times New Roman" w:cs="Times New Roman"/>
                <w:bCs/>
                <w:sz w:val="24"/>
                <w:szCs w:val="24"/>
                <w:lang w:val="ro-RO" w:eastAsia="ja-JP"/>
              </w:rPr>
              <w:t xml:space="preserve"> În același timp, va continua să fie ridicată și dependența </w:t>
            </w:r>
            <w:r w:rsidR="006B7E5D">
              <w:rPr>
                <w:rFonts w:ascii="Times New Roman" w:eastAsia="Times New Roman" w:hAnsi="Times New Roman" w:cs="Times New Roman"/>
                <w:bCs/>
                <w:sz w:val="24"/>
                <w:szCs w:val="24"/>
                <w:lang w:val="ro-RO" w:eastAsia="ja-JP"/>
              </w:rPr>
              <w:t xml:space="preserve">Republicii Moldova de importul de resurse energetice, ca urmare a creșterii consumului de resurse energetice.  </w:t>
            </w:r>
          </w:p>
          <w:p w14:paraId="04DD86CE" w14:textId="45E830C8" w:rsidR="00680DB2" w:rsidRPr="002D09CB" w:rsidRDefault="00680DB2" w:rsidP="00680DB2">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
                <w:bCs/>
                <w:sz w:val="24"/>
                <w:szCs w:val="24"/>
                <w:lang w:val="ro-RO" w:eastAsia="ja-JP"/>
              </w:rPr>
              <w:t xml:space="preserve">Tabelul </w:t>
            </w:r>
            <w:r>
              <w:rPr>
                <w:rFonts w:ascii="Times New Roman" w:eastAsia="Times New Roman" w:hAnsi="Times New Roman" w:cs="Times New Roman"/>
                <w:b/>
                <w:bCs/>
                <w:sz w:val="24"/>
                <w:szCs w:val="24"/>
                <w:lang w:val="ro-RO" w:eastAsia="ja-JP"/>
              </w:rPr>
              <w:t>2</w:t>
            </w:r>
            <w:r w:rsidRPr="002D09CB">
              <w:rPr>
                <w:rFonts w:ascii="Times New Roman" w:eastAsia="Times New Roman" w:hAnsi="Times New Roman" w:cs="Times New Roman"/>
                <w:b/>
                <w:bCs/>
                <w:sz w:val="24"/>
                <w:szCs w:val="24"/>
                <w:lang w:val="ro-RO" w:eastAsia="ja-JP"/>
              </w:rPr>
              <w:t>.</w:t>
            </w:r>
            <w:r w:rsidRPr="002D09CB">
              <w:rPr>
                <w:rFonts w:ascii="Times New Roman" w:eastAsia="Times New Roman" w:hAnsi="Times New Roman" w:cs="Times New Roman"/>
                <w:sz w:val="20"/>
                <w:szCs w:val="20"/>
                <w:lang w:val="ro-RO"/>
              </w:rPr>
              <w:t xml:space="preserve"> </w:t>
            </w:r>
            <w:r w:rsidRPr="002D09CB">
              <w:rPr>
                <w:rFonts w:ascii="Times New Roman" w:eastAsia="Times New Roman" w:hAnsi="Times New Roman" w:cs="Times New Roman"/>
                <w:bCs/>
                <w:sz w:val="24"/>
                <w:szCs w:val="24"/>
                <w:lang w:val="ro-RO" w:eastAsia="ja-JP"/>
              </w:rPr>
              <w:t xml:space="preserve">Consumul final de </w:t>
            </w:r>
            <w:r>
              <w:rPr>
                <w:rFonts w:ascii="Times New Roman" w:eastAsia="Times New Roman" w:hAnsi="Times New Roman" w:cs="Times New Roman"/>
                <w:bCs/>
                <w:sz w:val="24"/>
                <w:szCs w:val="24"/>
                <w:lang w:val="ro-RO" w:eastAsia="ja-JP"/>
              </w:rPr>
              <w:t>energie electrică și gaze naturale</w:t>
            </w:r>
            <w:r w:rsidRPr="002D09CB">
              <w:rPr>
                <w:rFonts w:ascii="Times New Roman" w:eastAsia="Times New Roman" w:hAnsi="Times New Roman" w:cs="Times New Roman"/>
                <w:bCs/>
                <w:sz w:val="24"/>
                <w:szCs w:val="24"/>
                <w:lang w:val="ro-RO" w:eastAsia="ja-JP"/>
              </w:rPr>
              <w:t xml:space="preserve"> în sectorul rezidențial(</w:t>
            </w:r>
            <w:proofErr w:type="spellStart"/>
            <w:r w:rsidRPr="002D09CB">
              <w:rPr>
                <w:rFonts w:ascii="Times New Roman" w:eastAsia="Times New Roman" w:hAnsi="Times New Roman" w:cs="Times New Roman"/>
                <w:bCs/>
                <w:sz w:val="24"/>
                <w:szCs w:val="24"/>
                <w:lang w:val="ro-RO" w:eastAsia="ja-JP"/>
              </w:rPr>
              <w:t>ktep</w:t>
            </w:r>
            <w:proofErr w:type="spellEnd"/>
            <w:r w:rsidRPr="002D09CB">
              <w:rPr>
                <w:rFonts w:ascii="Times New Roman" w:eastAsia="Times New Roman" w:hAnsi="Times New Roman" w:cs="Times New Roman"/>
                <w:bCs/>
                <w:sz w:val="24"/>
                <w:szCs w:val="24"/>
                <w:lang w:val="ro-RO" w:eastAsia="ja-JP"/>
              </w:rPr>
              <w:t>)</w:t>
            </w:r>
            <w:r w:rsidRPr="002D09CB">
              <w:rPr>
                <w:rFonts w:ascii="Times New Roman" w:eastAsia="Times New Roman" w:hAnsi="Times New Roman" w:cs="Times New Roman"/>
                <w:bCs/>
                <w:sz w:val="24"/>
                <w:szCs w:val="24"/>
                <w:vertAlign w:val="superscript"/>
                <w:lang w:val="ro-RO" w:eastAsia="ja-JP"/>
              </w:rPr>
              <w:footnoteReference w:id="4"/>
            </w:r>
          </w:p>
          <w:tbl>
            <w:tblPr>
              <w:tblW w:w="7722" w:type="dxa"/>
              <w:tblLook w:val="04A0" w:firstRow="1" w:lastRow="0" w:firstColumn="1" w:lastColumn="0" w:noHBand="0" w:noVBand="1"/>
            </w:tblPr>
            <w:tblGrid>
              <w:gridCol w:w="3780"/>
              <w:gridCol w:w="1314"/>
              <w:gridCol w:w="1314"/>
              <w:gridCol w:w="1314"/>
            </w:tblGrid>
            <w:tr w:rsidR="00680DB2" w:rsidRPr="00B76CED" w14:paraId="6F3DD324" w14:textId="77777777" w:rsidTr="00B43C6D">
              <w:trPr>
                <w:trHeight w:val="412"/>
              </w:trPr>
              <w:tc>
                <w:tcPr>
                  <w:tcW w:w="3780" w:type="dxa"/>
                  <w:tcBorders>
                    <w:top w:val="single" w:sz="4" w:space="0" w:color="auto"/>
                    <w:left w:val="single" w:sz="4" w:space="0" w:color="auto"/>
                    <w:bottom w:val="single" w:sz="4" w:space="0" w:color="auto"/>
                    <w:right w:val="single" w:sz="4" w:space="0" w:color="auto"/>
                  </w:tcBorders>
                  <w:shd w:val="clear" w:color="auto" w:fill="4F81BD" w:themeFill="accent1"/>
                  <w:vAlign w:val="bottom"/>
                  <w:hideMark/>
                </w:tcPr>
                <w:p w14:paraId="41893D17"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sidRPr="002D09CB">
                    <w:rPr>
                      <w:rFonts w:ascii="Times New Roman" w:eastAsia="Times New Roman" w:hAnsi="Times New Roman" w:cs="Times New Roman"/>
                      <w:b/>
                      <w:color w:val="000000"/>
                      <w:lang w:val="ro-RO"/>
                    </w:rPr>
                    <w:t xml:space="preserve">Consumul final de resurse energetice în sectorul rezidențial( </w:t>
                  </w:r>
                  <w:proofErr w:type="spellStart"/>
                  <w:r w:rsidRPr="002D09CB">
                    <w:rPr>
                      <w:rFonts w:ascii="Times New Roman" w:eastAsia="Times New Roman" w:hAnsi="Times New Roman" w:cs="Times New Roman"/>
                      <w:b/>
                      <w:color w:val="000000"/>
                      <w:lang w:val="ro-RO"/>
                    </w:rPr>
                    <w:t>ktep</w:t>
                  </w:r>
                  <w:proofErr w:type="spellEnd"/>
                  <w:r w:rsidRPr="002D09CB">
                    <w:rPr>
                      <w:rFonts w:ascii="Times New Roman" w:eastAsia="Times New Roman" w:hAnsi="Times New Roman" w:cs="Times New Roman"/>
                      <w:b/>
                      <w:color w:val="000000"/>
                      <w:lang w:val="ro-RO"/>
                    </w:rPr>
                    <w:t>)</w:t>
                  </w:r>
                </w:p>
              </w:tc>
              <w:tc>
                <w:tcPr>
                  <w:tcW w:w="1314"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48F9744C"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2017</w:t>
                  </w:r>
                </w:p>
              </w:tc>
              <w:tc>
                <w:tcPr>
                  <w:tcW w:w="1314"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24EF5264"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2018</w:t>
                  </w:r>
                </w:p>
              </w:tc>
              <w:tc>
                <w:tcPr>
                  <w:tcW w:w="1314"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0C388472"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2019</w:t>
                  </w:r>
                </w:p>
              </w:tc>
            </w:tr>
            <w:tr w:rsidR="00680DB2" w:rsidRPr="00B76CED" w14:paraId="79233392" w14:textId="77777777" w:rsidTr="00B43C6D">
              <w:trPr>
                <w:trHeight w:val="196"/>
              </w:trPr>
              <w:tc>
                <w:tcPr>
                  <w:tcW w:w="378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31DA0217"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Energie electrică</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138F097F"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141</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716BF825"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14</w:t>
                  </w:r>
                  <w:r>
                    <w:rPr>
                      <w:rFonts w:ascii="Times New Roman" w:eastAsia="Times New Roman" w:hAnsi="Times New Roman" w:cs="Times New Roman"/>
                      <w:color w:val="000000"/>
                      <w:lang w:val="ro-RO"/>
                    </w:rPr>
                    <w:t>2</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561B8752"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14</w:t>
                  </w:r>
                  <w:r>
                    <w:rPr>
                      <w:rFonts w:ascii="Times New Roman" w:eastAsia="Times New Roman" w:hAnsi="Times New Roman" w:cs="Times New Roman"/>
                      <w:color w:val="000000"/>
                      <w:lang w:val="ro-RO"/>
                    </w:rPr>
                    <w:t>4</w:t>
                  </w:r>
                </w:p>
              </w:tc>
            </w:tr>
            <w:tr w:rsidR="00680DB2" w:rsidRPr="00B76CED" w14:paraId="15F79BE2" w14:textId="77777777" w:rsidTr="00B43C6D">
              <w:trPr>
                <w:trHeight w:val="196"/>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67E5FA0"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2D09CB">
                    <w:rPr>
                      <w:rFonts w:ascii="Times New Roman" w:eastAsia="Times New Roman" w:hAnsi="Times New Roman" w:cs="Times New Roman"/>
                      <w:color w:val="000000"/>
                      <w:lang w:val="ro-RO"/>
                    </w:rPr>
                    <w:t>Gaze naturale</w:t>
                  </w:r>
                </w:p>
              </w:tc>
              <w:tc>
                <w:tcPr>
                  <w:tcW w:w="1314" w:type="dxa"/>
                  <w:tcBorders>
                    <w:top w:val="nil"/>
                    <w:left w:val="nil"/>
                    <w:bottom w:val="single" w:sz="4" w:space="0" w:color="auto"/>
                    <w:right w:val="single" w:sz="4" w:space="0" w:color="auto"/>
                  </w:tcBorders>
                  <w:shd w:val="clear" w:color="auto" w:fill="auto"/>
                  <w:noWrap/>
                  <w:hideMark/>
                </w:tcPr>
                <w:p w14:paraId="49275311"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5266BB">
                    <w:rPr>
                      <w:rFonts w:ascii="Times New Roman" w:eastAsia="Times New Roman" w:hAnsi="Times New Roman" w:cs="Times New Roman"/>
                      <w:color w:val="000000"/>
                      <w:lang w:val="ro-RO"/>
                    </w:rPr>
                    <w:t>250</w:t>
                  </w:r>
                </w:p>
              </w:tc>
              <w:tc>
                <w:tcPr>
                  <w:tcW w:w="1314" w:type="dxa"/>
                  <w:tcBorders>
                    <w:top w:val="nil"/>
                    <w:left w:val="nil"/>
                    <w:bottom w:val="single" w:sz="4" w:space="0" w:color="auto"/>
                    <w:right w:val="single" w:sz="4" w:space="0" w:color="auto"/>
                  </w:tcBorders>
                  <w:shd w:val="clear" w:color="auto" w:fill="auto"/>
                  <w:noWrap/>
                  <w:hideMark/>
                </w:tcPr>
                <w:p w14:paraId="04AA9A22"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5266BB">
                    <w:rPr>
                      <w:rFonts w:ascii="Times New Roman" w:eastAsia="Times New Roman" w:hAnsi="Times New Roman" w:cs="Times New Roman"/>
                      <w:color w:val="000000"/>
                      <w:lang w:val="ro-RO"/>
                    </w:rPr>
                    <w:t>286</w:t>
                  </w:r>
                </w:p>
              </w:tc>
              <w:tc>
                <w:tcPr>
                  <w:tcW w:w="1314" w:type="dxa"/>
                  <w:tcBorders>
                    <w:top w:val="nil"/>
                    <w:left w:val="nil"/>
                    <w:bottom w:val="single" w:sz="4" w:space="0" w:color="auto"/>
                    <w:right w:val="single" w:sz="4" w:space="0" w:color="auto"/>
                  </w:tcBorders>
                  <w:shd w:val="clear" w:color="auto" w:fill="auto"/>
                  <w:noWrap/>
                  <w:hideMark/>
                </w:tcPr>
                <w:p w14:paraId="1FE7AD7F" w14:textId="77777777" w:rsidR="00680DB2" w:rsidRPr="002D09CB" w:rsidRDefault="00680DB2" w:rsidP="00680DB2">
                  <w:pPr>
                    <w:spacing w:after="0" w:line="240" w:lineRule="auto"/>
                    <w:jc w:val="both"/>
                    <w:rPr>
                      <w:rFonts w:ascii="Times New Roman" w:eastAsia="Times New Roman" w:hAnsi="Times New Roman" w:cs="Times New Roman"/>
                      <w:color w:val="000000"/>
                      <w:lang w:val="ro-RO"/>
                    </w:rPr>
                  </w:pPr>
                  <w:r w:rsidRPr="005266BB">
                    <w:rPr>
                      <w:rFonts w:ascii="Times New Roman" w:eastAsia="Times New Roman" w:hAnsi="Times New Roman" w:cs="Times New Roman"/>
                      <w:color w:val="000000"/>
                      <w:lang w:val="ro-RO"/>
                    </w:rPr>
                    <w:t>293</w:t>
                  </w:r>
                </w:p>
              </w:tc>
            </w:tr>
            <w:tr w:rsidR="00680DB2" w:rsidRPr="00B76CED" w14:paraId="53293047" w14:textId="77777777" w:rsidTr="00B43C6D">
              <w:trPr>
                <w:trHeight w:val="196"/>
              </w:trPr>
              <w:tc>
                <w:tcPr>
                  <w:tcW w:w="378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5723F029"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sidRPr="002D09CB">
                    <w:rPr>
                      <w:rFonts w:ascii="Times New Roman" w:eastAsia="Times New Roman" w:hAnsi="Times New Roman" w:cs="Times New Roman"/>
                      <w:b/>
                      <w:color w:val="000000"/>
                      <w:lang w:val="ro-RO"/>
                    </w:rPr>
                    <w:t>Total</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18C1448A"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391</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496F2E56"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428</w:t>
                  </w:r>
                </w:p>
              </w:tc>
              <w:tc>
                <w:tcPr>
                  <w:tcW w:w="1314" w:type="dxa"/>
                  <w:tcBorders>
                    <w:top w:val="nil"/>
                    <w:left w:val="nil"/>
                    <w:bottom w:val="single" w:sz="4" w:space="0" w:color="auto"/>
                    <w:right w:val="single" w:sz="4" w:space="0" w:color="auto"/>
                  </w:tcBorders>
                  <w:shd w:val="clear" w:color="auto" w:fill="DAEEF3" w:themeFill="accent5" w:themeFillTint="33"/>
                  <w:noWrap/>
                  <w:vAlign w:val="center"/>
                  <w:hideMark/>
                </w:tcPr>
                <w:p w14:paraId="495168AA" w14:textId="77777777" w:rsidR="00680DB2" w:rsidRPr="002D09CB" w:rsidRDefault="00680DB2" w:rsidP="00680DB2">
                  <w:pPr>
                    <w:spacing w:after="0" w:line="240" w:lineRule="auto"/>
                    <w:jc w:val="both"/>
                    <w:rPr>
                      <w:rFonts w:ascii="Times New Roman" w:eastAsia="Times New Roman" w:hAnsi="Times New Roman" w:cs="Times New Roman"/>
                      <w:b/>
                      <w:color w:val="000000"/>
                      <w:lang w:val="ro-RO"/>
                    </w:rPr>
                  </w:pPr>
                  <w:r>
                    <w:rPr>
                      <w:rFonts w:ascii="Times New Roman" w:eastAsia="Times New Roman" w:hAnsi="Times New Roman" w:cs="Times New Roman"/>
                      <w:b/>
                      <w:color w:val="000000"/>
                      <w:lang w:val="ro-RO"/>
                    </w:rPr>
                    <w:t>437</w:t>
                  </w:r>
                </w:p>
              </w:tc>
            </w:tr>
          </w:tbl>
          <w:p w14:paraId="4C47A7EA" w14:textId="3D0BB993" w:rsidR="00B43C6D" w:rsidRDefault="002D09CB" w:rsidP="002D09CB">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
                <w:bCs/>
                <w:sz w:val="24"/>
                <w:szCs w:val="24"/>
                <w:lang w:val="ro-RO" w:eastAsia="ja-JP"/>
              </w:rPr>
              <w:t>Concurență neloială</w:t>
            </w:r>
            <w:r w:rsidR="00007E41">
              <w:rPr>
                <w:rFonts w:ascii="Times New Roman" w:eastAsia="Times New Roman" w:hAnsi="Times New Roman" w:cs="Times New Roman"/>
                <w:bCs/>
                <w:sz w:val="24"/>
                <w:szCs w:val="24"/>
                <w:lang w:val="ro-RO" w:eastAsia="ja-JP"/>
              </w:rPr>
              <w:t>: Instalațiile</w:t>
            </w:r>
            <w:r w:rsidR="00007E41" w:rsidRPr="009121D1">
              <w:rPr>
                <w:rFonts w:ascii="Times New Roman" w:eastAsia="Times New Roman" w:hAnsi="Times New Roman" w:cs="Times New Roman"/>
                <w:bCs/>
                <w:sz w:val="24"/>
                <w:szCs w:val="24"/>
                <w:lang w:val="ro-RO" w:eastAsia="ru-RU"/>
              </w:rPr>
              <w:t xml:space="preserve"> pentru încălzirea incintelor </w:t>
            </w:r>
            <w:proofErr w:type="spellStart"/>
            <w:r w:rsidR="00007E41" w:rsidRPr="009121D1">
              <w:rPr>
                <w:rFonts w:ascii="Times New Roman" w:eastAsia="Times New Roman" w:hAnsi="Times New Roman" w:cs="Times New Roman"/>
                <w:bCs/>
                <w:sz w:val="24"/>
                <w:szCs w:val="24"/>
                <w:lang w:val="ro-RO" w:eastAsia="ru-RU"/>
              </w:rPr>
              <w:t>şi</w:t>
            </w:r>
            <w:proofErr w:type="spellEnd"/>
            <w:r w:rsidR="00007E41" w:rsidRPr="009121D1">
              <w:rPr>
                <w:rFonts w:ascii="Times New Roman" w:eastAsia="Times New Roman" w:hAnsi="Times New Roman" w:cs="Times New Roman"/>
                <w:bCs/>
                <w:sz w:val="24"/>
                <w:szCs w:val="24"/>
                <w:lang w:val="ro-RO" w:eastAsia="ru-RU"/>
              </w:rPr>
              <w:t xml:space="preserve"> </w:t>
            </w:r>
            <w:r w:rsidR="002D2DB2" w:rsidRPr="009121D1">
              <w:rPr>
                <w:rFonts w:ascii="Times New Roman" w:eastAsia="Times New Roman" w:hAnsi="Times New Roman" w:cs="Times New Roman"/>
                <w:bCs/>
                <w:sz w:val="24"/>
                <w:szCs w:val="24"/>
                <w:lang w:val="ro-RO" w:eastAsia="ru-RU"/>
              </w:rPr>
              <w:t>instalațiile</w:t>
            </w:r>
            <w:r w:rsidR="00007E41" w:rsidRPr="009121D1">
              <w:rPr>
                <w:rFonts w:ascii="Times New Roman" w:eastAsia="Times New Roman" w:hAnsi="Times New Roman" w:cs="Times New Roman"/>
                <w:bCs/>
                <w:sz w:val="24"/>
                <w:szCs w:val="24"/>
                <w:lang w:val="ro-RO" w:eastAsia="ru-RU"/>
              </w:rPr>
              <w:t xml:space="preserve"> de încălzire cu </w:t>
            </w:r>
            <w:proofErr w:type="spellStart"/>
            <w:r w:rsidR="00007E41" w:rsidRPr="009121D1">
              <w:rPr>
                <w:rFonts w:ascii="Times New Roman" w:eastAsia="Times New Roman" w:hAnsi="Times New Roman" w:cs="Times New Roman"/>
                <w:bCs/>
                <w:sz w:val="24"/>
                <w:szCs w:val="24"/>
                <w:lang w:val="ro-RO" w:eastAsia="ru-RU"/>
              </w:rPr>
              <w:t>funcţie</w:t>
            </w:r>
            <w:proofErr w:type="spellEnd"/>
            <w:r w:rsidR="00007E41" w:rsidRPr="009121D1">
              <w:rPr>
                <w:rFonts w:ascii="Times New Roman" w:eastAsia="Times New Roman" w:hAnsi="Times New Roman" w:cs="Times New Roman"/>
                <w:bCs/>
                <w:sz w:val="24"/>
                <w:szCs w:val="24"/>
                <w:lang w:val="ro-RO" w:eastAsia="ru-RU"/>
              </w:rPr>
              <w:t xml:space="preserve"> dublă</w:t>
            </w:r>
            <w:r w:rsidRPr="002D09CB">
              <w:rPr>
                <w:rFonts w:ascii="Times New Roman" w:eastAsia="Times New Roman" w:hAnsi="Times New Roman" w:cs="Times New Roman"/>
                <w:bCs/>
                <w:sz w:val="24"/>
                <w:szCs w:val="24"/>
                <w:lang w:val="ro-RO" w:eastAsia="ja-JP"/>
              </w:rPr>
              <w:t xml:space="preserve"> care </w:t>
            </w:r>
            <w:r w:rsidR="00007E41">
              <w:rPr>
                <w:rFonts w:ascii="Times New Roman" w:eastAsia="Times New Roman" w:hAnsi="Times New Roman" w:cs="Times New Roman"/>
                <w:bCs/>
                <w:sz w:val="24"/>
                <w:szCs w:val="24"/>
                <w:lang w:val="ro-RO" w:eastAsia="ja-JP"/>
              </w:rPr>
              <w:t xml:space="preserve">sunt proiectate fără a respecta cerințele minime, </w:t>
            </w:r>
            <w:r w:rsidRPr="002D09CB">
              <w:rPr>
                <w:rFonts w:ascii="Times New Roman" w:eastAsia="Times New Roman" w:hAnsi="Times New Roman" w:cs="Times New Roman"/>
                <w:bCs/>
                <w:sz w:val="24"/>
                <w:szCs w:val="24"/>
                <w:lang w:val="ro-RO" w:eastAsia="ja-JP"/>
              </w:rPr>
              <w:t xml:space="preserve">impun consumuri mari de resurse energetice, </w:t>
            </w:r>
            <w:r w:rsidR="00007E41">
              <w:rPr>
                <w:rFonts w:ascii="Times New Roman" w:eastAsia="Times New Roman" w:hAnsi="Times New Roman" w:cs="Times New Roman"/>
                <w:bCs/>
                <w:sz w:val="24"/>
                <w:szCs w:val="24"/>
                <w:lang w:val="ro-RO" w:eastAsia="ja-JP"/>
              </w:rPr>
              <w:t xml:space="preserve">dar totodată </w:t>
            </w:r>
            <w:r w:rsidRPr="002D09CB">
              <w:rPr>
                <w:rFonts w:ascii="Times New Roman" w:eastAsia="Times New Roman" w:hAnsi="Times New Roman" w:cs="Times New Roman"/>
                <w:bCs/>
                <w:sz w:val="24"/>
                <w:szCs w:val="24"/>
                <w:lang w:val="ro-RO" w:eastAsia="ja-JP"/>
              </w:rPr>
              <w:t xml:space="preserve">sunt </w:t>
            </w:r>
            <w:r w:rsidR="00007E41">
              <w:rPr>
                <w:rFonts w:ascii="Times New Roman" w:eastAsia="Times New Roman" w:hAnsi="Times New Roman" w:cs="Times New Roman"/>
                <w:bCs/>
                <w:sz w:val="24"/>
                <w:szCs w:val="24"/>
                <w:lang w:val="ro-RO" w:eastAsia="ja-JP"/>
              </w:rPr>
              <w:t xml:space="preserve">și </w:t>
            </w:r>
            <w:r w:rsidRPr="002D09CB">
              <w:rPr>
                <w:rFonts w:ascii="Times New Roman" w:eastAsia="Times New Roman" w:hAnsi="Times New Roman" w:cs="Times New Roman"/>
                <w:bCs/>
                <w:sz w:val="24"/>
                <w:szCs w:val="24"/>
                <w:lang w:val="ro-RO" w:eastAsia="ja-JP"/>
              </w:rPr>
              <w:t xml:space="preserve">mai ieftine, fapt care expune producătorii, importatorii și distribuitorii de </w:t>
            </w:r>
            <w:r w:rsidR="0025478C">
              <w:rPr>
                <w:rFonts w:ascii="Times New Roman" w:eastAsia="Times New Roman" w:hAnsi="Times New Roman" w:cs="Times New Roman"/>
                <w:bCs/>
                <w:sz w:val="24"/>
                <w:szCs w:val="24"/>
                <w:lang w:val="ro-RO" w:eastAsia="ja-JP"/>
              </w:rPr>
              <w:t xml:space="preserve">astfel de </w:t>
            </w:r>
            <w:r w:rsidRPr="002D09CB">
              <w:rPr>
                <w:rFonts w:ascii="Times New Roman" w:eastAsia="Times New Roman" w:hAnsi="Times New Roman" w:cs="Times New Roman"/>
                <w:bCs/>
                <w:sz w:val="24"/>
                <w:szCs w:val="24"/>
                <w:lang w:val="ro-RO" w:eastAsia="ja-JP"/>
              </w:rPr>
              <w:t xml:space="preserve">produse unei concurențe neloiale, în condițiile în care lipsește elementul de </w:t>
            </w:r>
            <w:r w:rsidR="00A409F9">
              <w:rPr>
                <w:rFonts w:ascii="Times New Roman" w:eastAsia="Times New Roman" w:hAnsi="Times New Roman" w:cs="Times New Roman"/>
                <w:bCs/>
                <w:sz w:val="24"/>
                <w:szCs w:val="24"/>
                <w:lang w:val="ro-RO" w:eastAsia="ja-JP"/>
              </w:rPr>
              <w:t xml:space="preserve">control a pieței în vederea corespunderii produselor distribuite cu cerințele tehnice minime stabilite în </w:t>
            </w:r>
            <w:r w:rsidR="006D7561">
              <w:rPr>
                <w:rFonts w:ascii="Times New Roman" w:eastAsia="Times New Roman" w:hAnsi="Times New Roman" w:cs="Times New Roman"/>
                <w:bCs/>
                <w:sz w:val="24"/>
                <w:szCs w:val="24"/>
                <w:lang w:val="ro-RO" w:eastAsia="ja-JP"/>
              </w:rPr>
              <w:t>prezentul Regulament.</w:t>
            </w:r>
          </w:p>
          <w:p w14:paraId="7108C373" w14:textId="309C0F82" w:rsidR="00846EC7"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Conform </w:t>
            </w:r>
            <w:r w:rsidR="006B6AA8">
              <w:rPr>
                <w:rFonts w:ascii="Times New Roman" w:eastAsia="Times New Roman" w:hAnsi="Times New Roman" w:cs="Times New Roman"/>
                <w:bCs/>
                <w:sz w:val="24"/>
                <w:szCs w:val="24"/>
                <w:lang w:val="ro-RO" w:eastAsia="ja-JP"/>
              </w:rPr>
              <w:t>inf</w:t>
            </w:r>
            <w:r>
              <w:rPr>
                <w:rFonts w:ascii="Times New Roman" w:eastAsia="Times New Roman" w:hAnsi="Times New Roman" w:cs="Times New Roman"/>
                <w:bCs/>
                <w:sz w:val="24"/>
                <w:szCs w:val="24"/>
                <w:lang w:val="ro-RO" w:eastAsia="ja-JP"/>
              </w:rPr>
              <w:t>ormației prezentate de Agenția pentru Protecția Consumatorilor și Supravegherea Pieței, în anul 2020 au fost planificate 2</w:t>
            </w:r>
            <w:r w:rsidR="00780E0F">
              <w:rPr>
                <w:rFonts w:ascii="Times New Roman" w:eastAsia="Times New Roman" w:hAnsi="Times New Roman" w:cs="Times New Roman"/>
                <w:bCs/>
                <w:sz w:val="24"/>
                <w:szCs w:val="24"/>
                <w:lang w:val="ro-RO" w:eastAsia="ja-JP"/>
              </w:rPr>
              <w:t>4</w:t>
            </w:r>
            <w:r>
              <w:rPr>
                <w:rFonts w:ascii="Times New Roman" w:eastAsia="Times New Roman" w:hAnsi="Times New Roman" w:cs="Times New Roman"/>
                <w:bCs/>
                <w:sz w:val="24"/>
                <w:szCs w:val="24"/>
                <w:lang w:val="ro-RO" w:eastAsia="ja-JP"/>
              </w:rPr>
              <w:t xml:space="preserve"> de controale </w:t>
            </w:r>
            <w:r w:rsidR="00780E0F">
              <w:rPr>
                <w:rFonts w:ascii="Times New Roman" w:eastAsia="Times New Roman" w:hAnsi="Times New Roman" w:cs="Times New Roman"/>
                <w:bCs/>
                <w:sz w:val="24"/>
                <w:szCs w:val="24"/>
                <w:lang w:val="ro-RO" w:eastAsia="ja-JP"/>
              </w:rPr>
              <w:t>de stat la etapa comercializării, inclusiv  a aparatelor consumatoare de combustib</w:t>
            </w:r>
            <w:r w:rsidRPr="001D3AB9">
              <w:rPr>
                <w:rFonts w:ascii="Times New Roman" w:eastAsia="Times New Roman" w:hAnsi="Times New Roman" w:cs="Times New Roman"/>
                <w:bCs/>
                <w:sz w:val="24"/>
                <w:szCs w:val="24"/>
                <w:lang w:val="ro-RO" w:eastAsia="ja-JP"/>
              </w:rPr>
              <w:t>ili gazo</w:t>
            </w:r>
            <w:r w:rsidR="00780E0F">
              <w:rPr>
                <w:rFonts w:ascii="Times New Roman" w:eastAsia="Times New Roman" w:hAnsi="Times New Roman" w:cs="Times New Roman"/>
                <w:bCs/>
                <w:sz w:val="24"/>
                <w:szCs w:val="24"/>
                <w:lang w:val="ro-RO" w:eastAsia="ja-JP"/>
              </w:rPr>
              <w:t xml:space="preserve">și,  cazanelor de </w:t>
            </w:r>
            <w:proofErr w:type="spellStart"/>
            <w:r w:rsidR="00780E0F">
              <w:rPr>
                <w:rFonts w:ascii="Times New Roman" w:eastAsia="Times New Roman" w:hAnsi="Times New Roman" w:cs="Times New Roman"/>
                <w:bCs/>
                <w:sz w:val="24"/>
                <w:szCs w:val="24"/>
                <w:lang w:val="ro-RO" w:eastAsia="ja-JP"/>
              </w:rPr>
              <w:t>арă</w:t>
            </w:r>
            <w:proofErr w:type="spellEnd"/>
            <w:r w:rsidRPr="001D3AB9">
              <w:rPr>
                <w:rFonts w:ascii="Times New Roman" w:eastAsia="Times New Roman" w:hAnsi="Times New Roman" w:cs="Times New Roman"/>
                <w:bCs/>
                <w:sz w:val="24"/>
                <w:szCs w:val="24"/>
                <w:lang w:val="ro-RO" w:eastAsia="ja-JP"/>
              </w:rPr>
              <w:t xml:space="preserve"> cald</w:t>
            </w:r>
            <w:r w:rsidR="00780E0F">
              <w:rPr>
                <w:rFonts w:ascii="Times New Roman" w:eastAsia="Times New Roman" w:hAnsi="Times New Roman" w:cs="Times New Roman"/>
                <w:bCs/>
                <w:sz w:val="24"/>
                <w:szCs w:val="24"/>
                <w:lang w:val="ro-RO" w:eastAsia="ja-JP"/>
              </w:rPr>
              <w:t>ă cu combustie lichidă și</w:t>
            </w:r>
            <w:r w:rsidRPr="001D3AB9">
              <w:rPr>
                <w:rFonts w:ascii="Times New Roman" w:eastAsia="Times New Roman" w:hAnsi="Times New Roman" w:cs="Times New Roman"/>
                <w:bCs/>
                <w:sz w:val="24"/>
                <w:szCs w:val="24"/>
                <w:lang w:val="ro-RO" w:eastAsia="ja-JP"/>
              </w:rPr>
              <w:t xml:space="preserve">  gazoas</w:t>
            </w:r>
            <w:r w:rsidR="00780E0F">
              <w:rPr>
                <w:rFonts w:ascii="Times New Roman" w:eastAsia="Times New Roman" w:hAnsi="Times New Roman" w:cs="Times New Roman"/>
                <w:bCs/>
                <w:sz w:val="24"/>
                <w:szCs w:val="24"/>
                <w:lang w:val="ro-RO" w:eastAsia="ja-JP"/>
              </w:rPr>
              <w:t>ă</w:t>
            </w:r>
            <w:r w:rsidR="00846EC7">
              <w:rPr>
                <w:rFonts w:ascii="Times New Roman" w:eastAsia="Times New Roman" w:hAnsi="Times New Roman" w:cs="Times New Roman"/>
                <w:bCs/>
                <w:sz w:val="24"/>
                <w:szCs w:val="24"/>
                <w:lang w:val="ro-RO" w:eastAsia="ja-JP"/>
              </w:rPr>
              <w:t xml:space="preserve">., fiind luate în considerare petițiile depuse la Agenție </w:t>
            </w:r>
            <w:proofErr w:type="spellStart"/>
            <w:r w:rsidR="00846EC7">
              <w:rPr>
                <w:rFonts w:ascii="Times New Roman" w:eastAsia="Times New Roman" w:hAnsi="Times New Roman" w:cs="Times New Roman"/>
                <w:bCs/>
                <w:sz w:val="24"/>
                <w:szCs w:val="24"/>
                <w:lang w:val="ro-RO" w:eastAsia="ja-JP"/>
              </w:rPr>
              <w:t>ре</w:t>
            </w:r>
            <w:proofErr w:type="spellEnd"/>
            <w:r w:rsidR="00846EC7">
              <w:rPr>
                <w:rFonts w:ascii="Times New Roman" w:eastAsia="Times New Roman" w:hAnsi="Times New Roman" w:cs="Times New Roman"/>
                <w:bCs/>
                <w:sz w:val="24"/>
                <w:szCs w:val="24"/>
                <w:lang w:val="ro-RO" w:eastAsia="ja-JP"/>
              </w:rPr>
              <w:t xml:space="preserve"> parcursul anului 2020.</w:t>
            </w:r>
          </w:p>
          <w:p w14:paraId="7A802F6B" w14:textId="3A3D9F61" w:rsidR="001D3AB9" w:rsidRPr="001D3AB9" w:rsidRDefault="00846EC7"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Din </w:t>
            </w:r>
            <w:r w:rsidR="001D3AB9" w:rsidRPr="001D3AB9">
              <w:rPr>
                <w:rFonts w:ascii="Times New Roman" w:eastAsia="Times New Roman" w:hAnsi="Times New Roman" w:cs="Times New Roman"/>
                <w:bCs/>
                <w:sz w:val="24"/>
                <w:szCs w:val="24"/>
                <w:lang w:val="ro-RO" w:eastAsia="ja-JP"/>
              </w:rPr>
              <w:t xml:space="preserve">cauza </w:t>
            </w:r>
            <w:r w:rsidRPr="001D3AB9">
              <w:rPr>
                <w:rFonts w:ascii="Times New Roman" w:eastAsia="Times New Roman" w:hAnsi="Times New Roman" w:cs="Times New Roman"/>
                <w:bCs/>
                <w:sz w:val="24"/>
                <w:szCs w:val="24"/>
                <w:lang w:val="ro-RO" w:eastAsia="ja-JP"/>
              </w:rPr>
              <w:t>restricțiilor</w:t>
            </w:r>
            <w:r>
              <w:rPr>
                <w:rFonts w:ascii="Times New Roman" w:eastAsia="Times New Roman" w:hAnsi="Times New Roman" w:cs="Times New Roman"/>
                <w:bCs/>
                <w:sz w:val="24"/>
                <w:szCs w:val="24"/>
                <w:lang w:val="ro-RO" w:eastAsia="ja-JP"/>
              </w:rPr>
              <w:t xml:space="preserve"> impuse de pandemie, </w:t>
            </w:r>
            <w:proofErr w:type="spellStart"/>
            <w:r>
              <w:rPr>
                <w:rFonts w:ascii="Times New Roman" w:eastAsia="Times New Roman" w:hAnsi="Times New Roman" w:cs="Times New Roman"/>
                <w:bCs/>
                <w:sz w:val="24"/>
                <w:szCs w:val="24"/>
                <w:lang w:val="ro-RO" w:eastAsia="ja-JP"/>
              </w:rPr>
              <w:t>ре</w:t>
            </w:r>
            <w:proofErr w:type="spellEnd"/>
            <w:r>
              <w:rPr>
                <w:rFonts w:ascii="Times New Roman" w:eastAsia="Times New Roman" w:hAnsi="Times New Roman" w:cs="Times New Roman"/>
                <w:bCs/>
                <w:sz w:val="24"/>
                <w:szCs w:val="24"/>
                <w:lang w:val="ro-RO" w:eastAsia="ja-JP"/>
              </w:rPr>
              <w:t xml:space="preserve"> parcursul anului, </w:t>
            </w:r>
            <w:r w:rsidR="001D3AB9" w:rsidRPr="001D3AB9">
              <w:rPr>
                <w:rFonts w:ascii="Times New Roman" w:eastAsia="Times New Roman" w:hAnsi="Times New Roman" w:cs="Times New Roman"/>
                <w:bCs/>
                <w:sz w:val="24"/>
                <w:szCs w:val="24"/>
                <w:lang w:val="ro-RO" w:eastAsia="ja-JP"/>
              </w:rPr>
              <w:t xml:space="preserve">aparatele consumatoare de </w:t>
            </w:r>
            <w:r w:rsidRPr="001D3AB9">
              <w:rPr>
                <w:rFonts w:ascii="Times New Roman" w:eastAsia="Times New Roman" w:hAnsi="Times New Roman" w:cs="Times New Roman"/>
                <w:bCs/>
                <w:sz w:val="24"/>
                <w:szCs w:val="24"/>
                <w:lang w:val="ro-RO" w:eastAsia="ja-JP"/>
              </w:rPr>
              <w:t>combustibili</w:t>
            </w:r>
            <w:r w:rsidR="001D3AB9" w:rsidRPr="001D3AB9">
              <w:rPr>
                <w:rFonts w:ascii="Times New Roman" w:eastAsia="Times New Roman" w:hAnsi="Times New Roman" w:cs="Times New Roman"/>
                <w:bCs/>
                <w:sz w:val="24"/>
                <w:szCs w:val="24"/>
                <w:lang w:val="ro-RO" w:eastAsia="ja-JP"/>
              </w:rPr>
              <w:t xml:space="preserve"> </w:t>
            </w:r>
            <w:r w:rsidRPr="001D3AB9">
              <w:rPr>
                <w:rFonts w:ascii="Times New Roman" w:eastAsia="Times New Roman" w:hAnsi="Times New Roman" w:cs="Times New Roman"/>
                <w:bCs/>
                <w:sz w:val="24"/>
                <w:szCs w:val="24"/>
                <w:lang w:val="ro-RO" w:eastAsia="ja-JP"/>
              </w:rPr>
              <w:t>gazo</w:t>
            </w:r>
            <w:r w:rsidRPr="006B6AA8">
              <w:rPr>
                <w:rFonts w:ascii="Times New Roman" w:eastAsia="Times New Roman" w:hAnsi="Times New Roman" w:cs="Times New Roman"/>
                <w:bCs/>
                <w:sz w:val="24"/>
                <w:szCs w:val="24"/>
                <w:lang w:val="ro-RO" w:eastAsia="ja-JP"/>
              </w:rPr>
              <w:t>ș</w:t>
            </w:r>
            <w:r w:rsidRPr="001D3AB9">
              <w:rPr>
                <w:rFonts w:ascii="Times New Roman" w:eastAsia="Times New Roman" w:hAnsi="Times New Roman" w:cs="Times New Roman"/>
                <w:bCs/>
                <w:sz w:val="24"/>
                <w:szCs w:val="24"/>
                <w:lang w:val="ro-RO" w:eastAsia="ja-JP"/>
              </w:rPr>
              <w:t>i</w:t>
            </w:r>
            <w:r w:rsidR="001D3AB9" w:rsidRPr="001D3AB9">
              <w:rPr>
                <w:rFonts w:ascii="Times New Roman" w:eastAsia="Times New Roman" w:hAnsi="Times New Roman" w:cs="Times New Roman"/>
                <w:bCs/>
                <w:sz w:val="24"/>
                <w:szCs w:val="24"/>
                <w:lang w:val="ro-RO" w:eastAsia="ja-JP"/>
              </w:rPr>
              <w:t xml:space="preserve">, cazanele de </w:t>
            </w:r>
            <w:proofErr w:type="spellStart"/>
            <w:r w:rsidR="001D3AB9" w:rsidRPr="001D3AB9">
              <w:rPr>
                <w:rFonts w:ascii="Times New Roman" w:eastAsia="Times New Roman" w:hAnsi="Times New Roman" w:cs="Times New Roman"/>
                <w:bCs/>
                <w:sz w:val="24"/>
                <w:szCs w:val="24"/>
                <w:lang w:val="ro-RO" w:eastAsia="ja-JP"/>
              </w:rPr>
              <w:t>ар</w:t>
            </w:r>
            <w:r w:rsidR="006B6AA8">
              <w:rPr>
                <w:rFonts w:ascii="Times New Roman" w:eastAsia="Times New Roman" w:hAnsi="Times New Roman" w:cs="Times New Roman"/>
                <w:bCs/>
                <w:sz w:val="24"/>
                <w:szCs w:val="24"/>
                <w:lang w:val="ro-RO" w:eastAsia="ja-JP"/>
              </w:rPr>
              <w:t>ă</w:t>
            </w:r>
            <w:proofErr w:type="spellEnd"/>
            <w:r w:rsidR="001D3AB9" w:rsidRPr="001D3AB9">
              <w:rPr>
                <w:rFonts w:ascii="Times New Roman" w:eastAsia="Times New Roman" w:hAnsi="Times New Roman" w:cs="Times New Roman"/>
                <w:bCs/>
                <w:sz w:val="24"/>
                <w:szCs w:val="24"/>
                <w:lang w:val="ro-RO" w:eastAsia="ja-JP"/>
              </w:rPr>
              <w:t xml:space="preserve"> cu combustie </w:t>
            </w:r>
            <w:r w:rsidR="006B6AA8" w:rsidRPr="001D3AB9">
              <w:rPr>
                <w:rFonts w:ascii="Times New Roman" w:eastAsia="Times New Roman" w:hAnsi="Times New Roman" w:cs="Times New Roman"/>
                <w:bCs/>
                <w:sz w:val="24"/>
                <w:szCs w:val="24"/>
                <w:lang w:val="ro-RO" w:eastAsia="ja-JP"/>
              </w:rPr>
              <w:t>Lichidă</w:t>
            </w:r>
            <w:r w:rsidR="001D3AB9" w:rsidRPr="001D3AB9">
              <w:rPr>
                <w:rFonts w:ascii="Times New Roman" w:eastAsia="Times New Roman" w:hAnsi="Times New Roman" w:cs="Times New Roman"/>
                <w:bCs/>
                <w:sz w:val="24"/>
                <w:szCs w:val="24"/>
                <w:lang w:val="ro-RO" w:eastAsia="ja-JP"/>
              </w:rPr>
              <w:t xml:space="preserve"> </w:t>
            </w:r>
            <w:r w:rsidR="006B6AA8" w:rsidRPr="006B6AA8">
              <w:rPr>
                <w:rFonts w:ascii="Times New Roman" w:eastAsia="Times New Roman" w:hAnsi="Times New Roman" w:cs="Times New Roman"/>
                <w:bCs/>
                <w:sz w:val="24"/>
                <w:szCs w:val="24"/>
                <w:lang w:val="ro-RO" w:eastAsia="ja-JP"/>
              </w:rPr>
              <w:t>ș</w:t>
            </w:r>
            <w:r w:rsidR="001D3AB9" w:rsidRPr="001D3AB9">
              <w:rPr>
                <w:rFonts w:ascii="Times New Roman" w:eastAsia="Times New Roman" w:hAnsi="Times New Roman" w:cs="Times New Roman"/>
                <w:bCs/>
                <w:sz w:val="24"/>
                <w:szCs w:val="24"/>
                <w:lang w:val="ro-RO" w:eastAsia="ja-JP"/>
              </w:rPr>
              <w:t>i gazoas</w:t>
            </w:r>
            <w:r w:rsidR="006B6AA8">
              <w:rPr>
                <w:rFonts w:ascii="Times New Roman" w:eastAsia="Times New Roman" w:hAnsi="Times New Roman" w:cs="Times New Roman"/>
                <w:bCs/>
                <w:sz w:val="24"/>
                <w:szCs w:val="24"/>
                <w:lang w:val="ro-RO" w:eastAsia="ja-JP"/>
              </w:rPr>
              <w:t>ă</w:t>
            </w:r>
            <w:r w:rsidR="001D3AB9" w:rsidRPr="001D3AB9">
              <w:rPr>
                <w:rFonts w:ascii="Times New Roman" w:eastAsia="Times New Roman" w:hAnsi="Times New Roman" w:cs="Times New Roman"/>
                <w:bCs/>
                <w:sz w:val="24"/>
                <w:szCs w:val="24"/>
                <w:lang w:val="ro-RO" w:eastAsia="ja-JP"/>
              </w:rPr>
              <w:t>, au fost verificate in cadrul а 18 controale planificate.</w:t>
            </w:r>
          </w:p>
          <w:p w14:paraId="22A812EF" w14:textId="67C2E392" w:rsidR="001D3AB9" w:rsidRPr="001D3AB9" w:rsidRDefault="006B6AA8"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Neconformități</w:t>
            </w:r>
            <w:r w:rsidR="001D3AB9" w:rsidRPr="001D3AB9">
              <w:rPr>
                <w:rFonts w:ascii="Times New Roman" w:eastAsia="Times New Roman" w:hAnsi="Times New Roman" w:cs="Times New Roman"/>
                <w:bCs/>
                <w:sz w:val="24"/>
                <w:szCs w:val="24"/>
                <w:lang w:val="ro-RO" w:eastAsia="ja-JP"/>
              </w:rPr>
              <w:t xml:space="preserve"> au fost </w:t>
            </w:r>
            <w:r w:rsidRPr="001D3AB9">
              <w:rPr>
                <w:rFonts w:ascii="Times New Roman" w:eastAsia="Times New Roman" w:hAnsi="Times New Roman" w:cs="Times New Roman"/>
                <w:bCs/>
                <w:sz w:val="24"/>
                <w:szCs w:val="24"/>
                <w:lang w:val="ro-RO" w:eastAsia="ja-JP"/>
              </w:rPr>
              <w:t>stabilite</w:t>
            </w:r>
            <w:r>
              <w:rPr>
                <w:rFonts w:ascii="Times New Roman" w:eastAsia="Times New Roman" w:hAnsi="Times New Roman" w:cs="Times New Roman"/>
                <w:bCs/>
                <w:sz w:val="24"/>
                <w:szCs w:val="24"/>
                <w:lang w:val="ro-RO" w:eastAsia="ja-JP"/>
              </w:rPr>
              <w:t xml:space="preserve"> î</w:t>
            </w:r>
            <w:r w:rsidR="001D3AB9" w:rsidRPr="001D3AB9">
              <w:rPr>
                <w:rFonts w:ascii="Times New Roman" w:eastAsia="Times New Roman" w:hAnsi="Times New Roman" w:cs="Times New Roman"/>
                <w:bCs/>
                <w:sz w:val="24"/>
                <w:szCs w:val="24"/>
                <w:lang w:val="ro-RO" w:eastAsia="ja-JP"/>
              </w:rPr>
              <w:t xml:space="preserve">n </w:t>
            </w:r>
            <w:r>
              <w:rPr>
                <w:rFonts w:ascii="Times New Roman" w:eastAsia="Times New Roman" w:hAnsi="Times New Roman" w:cs="Times New Roman"/>
                <w:bCs/>
                <w:sz w:val="24"/>
                <w:szCs w:val="24"/>
                <w:lang w:val="ro-RO" w:eastAsia="ja-JP"/>
              </w:rPr>
              <w:t>cadrul а 10</w:t>
            </w:r>
            <w:r w:rsidR="001D3AB9" w:rsidRPr="001D3AB9">
              <w:rPr>
                <w:rFonts w:ascii="Times New Roman" w:eastAsia="Times New Roman" w:hAnsi="Times New Roman" w:cs="Times New Roman"/>
                <w:bCs/>
                <w:sz w:val="24"/>
                <w:szCs w:val="24"/>
                <w:lang w:val="ro-RO" w:eastAsia="ja-JP"/>
              </w:rPr>
              <w:t xml:space="preserve"> controale.</w:t>
            </w:r>
          </w:p>
          <w:p w14:paraId="6C2E0800" w14:textId="19510F92"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Au fost sup</w:t>
            </w:r>
            <w:r w:rsidR="00BD2E29">
              <w:rPr>
                <w:rFonts w:ascii="Times New Roman" w:eastAsia="Times New Roman" w:hAnsi="Times New Roman" w:cs="Times New Roman"/>
                <w:bCs/>
                <w:sz w:val="24"/>
                <w:szCs w:val="24"/>
                <w:lang w:val="ro-RO" w:eastAsia="ja-JP"/>
              </w:rPr>
              <w:t>use controlului 45 Ioturi/481</w:t>
            </w:r>
            <w:r w:rsidR="006B6AA8">
              <w:rPr>
                <w:rFonts w:ascii="Times New Roman" w:eastAsia="Times New Roman" w:hAnsi="Times New Roman" w:cs="Times New Roman"/>
                <w:bCs/>
                <w:sz w:val="24"/>
                <w:szCs w:val="24"/>
                <w:lang w:val="ro-RO" w:eastAsia="ja-JP"/>
              </w:rPr>
              <w:t xml:space="preserve"> </w:t>
            </w:r>
            <w:r w:rsidRPr="001D3AB9">
              <w:rPr>
                <w:rFonts w:ascii="Times New Roman" w:eastAsia="Times New Roman" w:hAnsi="Times New Roman" w:cs="Times New Roman"/>
                <w:bCs/>
                <w:sz w:val="24"/>
                <w:szCs w:val="24"/>
                <w:lang w:val="ro-RO" w:eastAsia="ja-JP"/>
              </w:rPr>
              <w:t>parate (</w:t>
            </w:r>
            <w:r w:rsidR="006B6AA8" w:rsidRPr="001D3AB9">
              <w:rPr>
                <w:rFonts w:ascii="Times New Roman" w:eastAsia="Times New Roman" w:hAnsi="Times New Roman" w:cs="Times New Roman"/>
                <w:bCs/>
                <w:sz w:val="24"/>
                <w:szCs w:val="24"/>
                <w:lang w:val="ro-RO" w:eastAsia="ja-JP"/>
              </w:rPr>
              <w:t>arzătoare</w:t>
            </w:r>
            <w:r w:rsidR="006B6AA8">
              <w:rPr>
                <w:rFonts w:ascii="Times New Roman" w:eastAsia="Times New Roman" w:hAnsi="Times New Roman" w:cs="Times New Roman"/>
                <w:bCs/>
                <w:sz w:val="24"/>
                <w:szCs w:val="24"/>
                <w:lang w:val="ro-RO" w:eastAsia="ja-JP"/>
              </w:rPr>
              <w:t xml:space="preserve"> </w:t>
            </w:r>
            <w:proofErr w:type="spellStart"/>
            <w:r w:rsidR="006B6AA8">
              <w:rPr>
                <w:rFonts w:ascii="Times New Roman" w:eastAsia="Times New Roman" w:hAnsi="Times New Roman" w:cs="Times New Roman"/>
                <w:bCs/>
                <w:sz w:val="24"/>
                <w:szCs w:val="24"/>
                <w:lang w:val="ro-RO" w:eastAsia="ja-JP"/>
              </w:rPr>
              <w:t>ре</w:t>
            </w:r>
            <w:proofErr w:type="spellEnd"/>
            <w:r w:rsidR="006B6AA8">
              <w:rPr>
                <w:rFonts w:ascii="Times New Roman" w:eastAsia="Times New Roman" w:hAnsi="Times New Roman" w:cs="Times New Roman"/>
                <w:bCs/>
                <w:sz w:val="24"/>
                <w:szCs w:val="24"/>
                <w:lang w:val="ro-RO" w:eastAsia="ja-JP"/>
              </w:rPr>
              <w:t xml:space="preserve"> gaz, </w:t>
            </w:r>
            <w:r w:rsidRPr="001D3AB9">
              <w:rPr>
                <w:rFonts w:ascii="Times New Roman" w:eastAsia="Times New Roman" w:hAnsi="Times New Roman" w:cs="Times New Roman"/>
                <w:bCs/>
                <w:sz w:val="24"/>
                <w:szCs w:val="24"/>
                <w:lang w:val="ro-RO" w:eastAsia="ja-JP"/>
              </w:rPr>
              <w:t xml:space="preserve">cazane </w:t>
            </w:r>
            <w:proofErr w:type="spellStart"/>
            <w:r w:rsidRPr="001D3AB9">
              <w:rPr>
                <w:rFonts w:ascii="Times New Roman" w:eastAsia="Times New Roman" w:hAnsi="Times New Roman" w:cs="Times New Roman"/>
                <w:bCs/>
                <w:sz w:val="24"/>
                <w:szCs w:val="24"/>
                <w:lang w:val="ro-RO" w:eastAsia="ja-JP"/>
              </w:rPr>
              <w:t>ре</w:t>
            </w:r>
            <w:proofErr w:type="spellEnd"/>
            <w:r w:rsidRPr="001D3AB9">
              <w:rPr>
                <w:rFonts w:ascii="Times New Roman" w:eastAsia="Times New Roman" w:hAnsi="Times New Roman" w:cs="Times New Roman"/>
                <w:bCs/>
                <w:sz w:val="24"/>
                <w:szCs w:val="24"/>
                <w:lang w:val="ro-RO" w:eastAsia="ja-JP"/>
              </w:rPr>
              <w:t xml:space="preserve"> gaz), din </w:t>
            </w:r>
            <w:proofErr w:type="spellStart"/>
            <w:r w:rsidRPr="001D3AB9">
              <w:rPr>
                <w:rFonts w:ascii="Times New Roman" w:eastAsia="Times New Roman" w:hAnsi="Times New Roman" w:cs="Times New Roman"/>
                <w:bCs/>
                <w:sz w:val="24"/>
                <w:szCs w:val="24"/>
                <w:lang w:val="ro-RO" w:eastAsia="ja-JP"/>
              </w:rPr>
              <w:t>саг</w:t>
            </w:r>
            <w:r w:rsidR="00646D31">
              <w:rPr>
                <w:rFonts w:ascii="Times New Roman" w:eastAsia="Times New Roman" w:hAnsi="Times New Roman" w:cs="Times New Roman"/>
                <w:bCs/>
                <w:sz w:val="24"/>
                <w:szCs w:val="24"/>
                <w:lang w:val="ro-RO" w:eastAsia="ja-JP"/>
              </w:rPr>
              <w:t>е</w:t>
            </w:r>
            <w:proofErr w:type="spellEnd"/>
            <w:r w:rsidR="00646D31">
              <w:rPr>
                <w:rFonts w:ascii="Times New Roman" w:eastAsia="Times New Roman" w:hAnsi="Times New Roman" w:cs="Times New Roman"/>
                <w:bCs/>
                <w:sz w:val="24"/>
                <w:szCs w:val="24"/>
                <w:lang w:val="ro-RO" w:eastAsia="ja-JP"/>
              </w:rPr>
              <w:t xml:space="preserve"> 17 loturi/94 aparate,  erau ne</w:t>
            </w:r>
            <w:r w:rsidRPr="001D3AB9">
              <w:rPr>
                <w:rFonts w:ascii="Times New Roman" w:eastAsia="Times New Roman" w:hAnsi="Times New Roman" w:cs="Times New Roman"/>
                <w:bCs/>
                <w:sz w:val="24"/>
                <w:szCs w:val="24"/>
                <w:lang w:val="ro-RO" w:eastAsia="ja-JP"/>
              </w:rPr>
              <w:t xml:space="preserve">conforme prevederilor </w:t>
            </w:r>
            <w:r w:rsidR="00646D31" w:rsidRPr="001D3AB9">
              <w:rPr>
                <w:rFonts w:ascii="Times New Roman" w:eastAsia="Times New Roman" w:hAnsi="Times New Roman" w:cs="Times New Roman"/>
                <w:bCs/>
                <w:sz w:val="24"/>
                <w:szCs w:val="24"/>
                <w:lang w:val="ro-RO" w:eastAsia="ja-JP"/>
              </w:rPr>
              <w:t>legislației</w:t>
            </w:r>
            <w:r w:rsidRPr="001D3AB9">
              <w:rPr>
                <w:rFonts w:ascii="Times New Roman" w:eastAsia="Times New Roman" w:hAnsi="Times New Roman" w:cs="Times New Roman"/>
                <w:bCs/>
                <w:sz w:val="24"/>
                <w:szCs w:val="24"/>
                <w:lang w:val="ro-RO" w:eastAsia="ja-JP"/>
              </w:rPr>
              <w:t xml:space="preserve"> in vigoare:</w:t>
            </w:r>
          </w:p>
          <w:p w14:paraId="3CF5D120" w14:textId="4C675E13"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  lipsea certificatul de conform</w:t>
            </w:r>
            <w:r w:rsidR="00646D31">
              <w:rPr>
                <w:rFonts w:ascii="Times New Roman" w:eastAsia="Times New Roman" w:hAnsi="Times New Roman" w:cs="Times New Roman"/>
                <w:bCs/>
                <w:sz w:val="24"/>
                <w:szCs w:val="24"/>
                <w:lang w:val="ro-RO" w:eastAsia="ja-JP"/>
              </w:rPr>
              <w:t>itate</w:t>
            </w:r>
            <w:r w:rsidRPr="001D3AB9">
              <w:rPr>
                <w:rFonts w:ascii="Times New Roman" w:eastAsia="Times New Roman" w:hAnsi="Times New Roman" w:cs="Times New Roman"/>
                <w:bCs/>
                <w:sz w:val="24"/>
                <w:szCs w:val="24"/>
                <w:lang w:val="ro-RO" w:eastAsia="ja-JP"/>
              </w:rPr>
              <w:t xml:space="preserve"> pentru </w:t>
            </w:r>
            <w:r w:rsidR="00646D31" w:rsidRPr="001D3AB9">
              <w:rPr>
                <w:rFonts w:ascii="Times New Roman" w:eastAsia="Times New Roman" w:hAnsi="Times New Roman" w:cs="Times New Roman"/>
                <w:bCs/>
                <w:sz w:val="24"/>
                <w:szCs w:val="24"/>
                <w:lang w:val="ro-RO" w:eastAsia="ja-JP"/>
              </w:rPr>
              <w:t>produs</w:t>
            </w:r>
            <w:r w:rsidRPr="001D3AB9">
              <w:rPr>
                <w:rFonts w:ascii="Times New Roman" w:eastAsia="Times New Roman" w:hAnsi="Times New Roman" w:cs="Times New Roman"/>
                <w:bCs/>
                <w:sz w:val="24"/>
                <w:szCs w:val="24"/>
                <w:lang w:val="ro-RO" w:eastAsia="ja-JP"/>
              </w:rPr>
              <w:t>;</w:t>
            </w:r>
          </w:p>
          <w:p w14:paraId="3D648C78" w14:textId="3A6E0154" w:rsidR="001D3AB9" w:rsidRPr="001D3AB9" w:rsidRDefault="00646D31"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  lipsea  instrucțiunea de utilizare tradusă în </w:t>
            </w:r>
            <w:r w:rsidR="001D3AB9" w:rsidRPr="001D3AB9">
              <w:rPr>
                <w:rFonts w:ascii="Times New Roman" w:eastAsia="Times New Roman" w:hAnsi="Times New Roman" w:cs="Times New Roman"/>
                <w:bCs/>
                <w:sz w:val="24"/>
                <w:szCs w:val="24"/>
                <w:lang w:val="ro-RO" w:eastAsia="ja-JP"/>
              </w:rPr>
              <w:t>limba de stat.</w:t>
            </w:r>
          </w:p>
          <w:p w14:paraId="556DBB3F" w14:textId="25F85DAB"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proofErr w:type="spellStart"/>
            <w:r w:rsidRPr="001D3AB9">
              <w:rPr>
                <w:rFonts w:ascii="Times New Roman" w:eastAsia="Times New Roman" w:hAnsi="Times New Roman" w:cs="Times New Roman"/>
                <w:bCs/>
                <w:sz w:val="24"/>
                <w:szCs w:val="24"/>
                <w:lang w:val="ro-RO" w:eastAsia="ja-JP"/>
              </w:rPr>
              <w:t>ln</w:t>
            </w:r>
            <w:proofErr w:type="spellEnd"/>
            <w:r w:rsidRPr="001D3AB9">
              <w:rPr>
                <w:rFonts w:ascii="Times New Roman" w:eastAsia="Times New Roman" w:hAnsi="Times New Roman" w:cs="Times New Roman"/>
                <w:bCs/>
                <w:sz w:val="24"/>
                <w:szCs w:val="24"/>
                <w:lang w:val="ro-RO" w:eastAsia="ja-JP"/>
              </w:rPr>
              <w:t xml:space="preserve"> rezultat, au fost eliberate </w:t>
            </w:r>
            <w:r w:rsidR="00646D31" w:rsidRPr="001D3AB9">
              <w:rPr>
                <w:rFonts w:ascii="Times New Roman" w:eastAsia="Times New Roman" w:hAnsi="Times New Roman" w:cs="Times New Roman"/>
                <w:bCs/>
                <w:sz w:val="24"/>
                <w:szCs w:val="24"/>
                <w:lang w:val="ro-RO" w:eastAsia="ja-JP"/>
              </w:rPr>
              <w:t>prescripții</w:t>
            </w:r>
            <w:r w:rsidRPr="001D3AB9">
              <w:rPr>
                <w:rFonts w:ascii="Times New Roman" w:eastAsia="Times New Roman" w:hAnsi="Times New Roman" w:cs="Times New Roman"/>
                <w:bCs/>
                <w:sz w:val="24"/>
                <w:szCs w:val="24"/>
                <w:lang w:val="ro-RO" w:eastAsia="ja-JP"/>
              </w:rPr>
              <w:t xml:space="preserve"> in ved</w:t>
            </w:r>
            <w:r w:rsidR="00646D31">
              <w:rPr>
                <w:rFonts w:ascii="Times New Roman" w:eastAsia="Times New Roman" w:hAnsi="Times New Roman" w:cs="Times New Roman"/>
                <w:bCs/>
                <w:sz w:val="24"/>
                <w:szCs w:val="24"/>
                <w:lang w:val="ro-RO" w:eastAsia="ja-JP"/>
              </w:rPr>
              <w:t>erea conformării, aplicate sancți</w:t>
            </w:r>
            <w:r w:rsidRPr="001D3AB9">
              <w:rPr>
                <w:rFonts w:ascii="Times New Roman" w:eastAsia="Times New Roman" w:hAnsi="Times New Roman" w:cs="Times New Roman"/>
                <w:bCs/>
                <w:sz w:val="24"/>
                <w:szCs w:val="24"/>
                <w:lang w:val="ro-RO" w:eastAsia="ja-JP"/>
              </w:rPr>
              <w:t>uni:</w:t>
            </w:r>
          </w:p>
          <w:p w14:paraId="6DB5500D" w14:textId="6C5951FB" w:rsidR="001D3AB9" w:rsidRPr="001D3AB9"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 xml:space="preserve">-  4 </w:t>
            </w:r>
            <w:r w:rsidR="00646D31">
              <w:rPr>
                <w:rFonts w:ascii="Times New Roman" w:eastAsia="Times New Roman" w:hAnsi="Times New Roman" w:cs="Times New Roman"/>
                <w:bCs/>
                <w:sz w:val="24"/>
                <w:szCs w:val="24"/>
                <w:lang w:val="ro-RO" w:eastAsia="ja-JP"/>
              </w:rPr>
              <w:t xml:space="preserve">prescripții </w:t>
            </w:r>
            <w:r w:rsidRPr="001D3AB9">
              <w:rPr>
                <w:rFonts w:ascii="Times New Roman" w:eastAsia="Times New Roman" w:hAnsi="Times New Roman" w:cs="Times New Roman"/>
                <w:bCs/>
                <w:sz w:val="24"/>
                <w:szCs w:val="24"/>
                <w:lang w:val="ro-RO" w:eastAsia="ja-JP"/>
              </w:rPr>
              <w:t xml:space="preserve">privind  interzicerea loturilor de produse </w:t>
            </w:r>
            <w:r w:rsidR="00646D31" w:rsidRPr="001D3AB9">
              <w:rPr>
                <w:rFonts w:ascii="Times New Roman" w:eastAsia="Times New Roman" w:hAnsi="Times New Roman" w:cs="Times New Roman"/>
                <w:bCs/>
                <w:sz w:val="24"/>
                <w:szCs w:val="24"/>
                <w:lang w:val="ro-RO" w:eastAsia="ja-JP"/>
              </w:rPr>
              <w:t>neconforme</w:t>
            </w:r>
            <w:r w:rsidRPr="001D3AB9">
              <w:rPr>
                <w:rFonts w:ascii="Times New Roman" w:eastAsia="Times New Roman" w:hAnsi="Times New Roman" w:cs="Times New Roman"/>
                <w:bCs/>
                <w:sz w:val="24"/>
                <w:szCs w:val="24"/>
                <w:lang w:val="ro-RO" w:eastAsia="ja-JP"/>
              </w:rPr>
              <w:t>;</w:t>
            </w:r>
          </w:p>
          <w:p w14:paraId="5FCCFFB4" w14:textId="3E7DA664" w:rsidR="001D3AB9" w:rsidRPr="001D3AB9" w:rsidRDefault="00646D31" w:rsidP="001D3AB9">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lastRenderedPageBreak/>
              <w:t>-  6 prescripți</w:t>
            </w:r>
            <w:r w:rsidR="001D3AB9" w:rsidRPr="001D3AB9">
              <w:rPr>
                <w:rFonts w:ascii="Times New Roman" w:eastAsia="Times New Roman" w:hAnsi="Times New Roman" w:cs="Times New Roman"/>
                <w:bCs/>
                <w:sz w:val="24"/>
                <w:szCs w:val="24"/>
                <w:lang w:val="ro-RO" w:eastAsia="ja-JP"/>
              </w:rPr>
              <w:t xml:space="preserve">i  privind </w:t>
            </w:r>
            <w:r w:rsidRPr="001D3AB9">
              <w:rPr>
                <w:rFonts w:ascii="Times New Roman" w:eastAsia="Times New Roman" w:hAnsi="Times New Roman" w:cs="Times New Roman"/>
                <w:bCs/>
                <w:sz w:val="24"/>
                <w:szCs w:val="24"/>
                <w:lang w:val="ro-RO" w:eastAsia="ja-JP"/>
              </w:rPr>
              <w:t>înlăturarea</w:t>
            </w:r>
            <w:r w:rsidR="001D3AB9" w:rsidRPr="001D3AB9">
              <w:rPr>
                <w:rFonts w:ascii="Times New Roman" w:eastAsia="Times New Roman" w:hAnsi="Times New Roman" w:cs="Times New Roman"/>
                <w:bCs/>
                <w:sz w:val="24"/>
                <w:szCs w:val="24"/>
                <w:lang w:val="ro-RO" w:eastAsia="ja-JP"/>
              </w:rPr>
              <w:t xml:space="preserve"> </w:t>
            </w:r>
            <w:r w:rsidRPr="001D3AB9">
              <w:rPr>
                <w:rFonts w:ascii="Times New Roman" w:eastAsia="Times New Roman" w:hAnsi="Times New Roman" w:cs="Times New Roman"/>
                <w:bCs/>
                <w:sz w:val="24"/>
                <w:szCs w:val="24"/>
                <w:lang w:val="ro-RO" w:eastAsia="ja-JP"/>
              </w:rPr>
              <w:t>neconformit</w:t>
            </w:r>
            <w:r>
              <w:rPr>
                <w:rFonts w:ascii="Times New Roman" w:eastAsia="Times New Roman" w:hAnsi="Times New Roman" w:cs="Times New Roman"/>
                <w:bCs/>
                <w:sz w:val="24"/>
                <w:szCs w:val="24"/>
                <w:lang w:val="ro-RO" w:eastAsia="ja-JP"/>
              </w:rPr>
              <w:t>ățil</w:t>
            </w:r>
            <w:r w:rsidRPr="001D3AB9">
              <w:rPr>
                <w:rFonts w:ascii="Times New Roman" w:eastAsia="Times New Roman" w:hAnsi="Times New Roman" w:cs="Times New Roman"/>
                <w:bCs/>
                <w:sz w:val="24"/>
                <w:szCs w:val="24"/>
                <w:lang w:val="ro-RO" w:eastAsia="ja-JP"/>
              </w:rPr>
              <w:t>or</w:t>
            </w:r>
            <w:r w:rsidR="001D3AB9" w:rsidRPr="001D3AB9">
              <w:rPr>
                <w:rFonts w:ascii="Times New Roman" w:eastAsia="Times New Roman" w:hAnsi="Times New Roman" w:cs="Times New Roman"/>
                <w:bCs/>
                <w:sz w:val="24"/>
                <w:szCs w:val="24"/>
                <w:lang w:val="ro-RO" w:eastAsia="ja-JP"/>
              </w:rPr>
              <w:t>;</w:t>
            </w:r>
          </w:p>
          <w:p w14:paraId="091E1360" w14:textId="60B050AC" w:rsidR="007853BC" w:rsidRPr="002D09CB" w:rsidRDefault="001D3AB9" w:rsidP="001D3AB9">
            <w:pPr>
              <w:spacing w:before="120" w:after="0" w:line="240" w:lineRule="auto"/>
              <w:jc w:val="both"/>
              <w:rPr>
                <w:rFonts w:ascii="Times New Roman" w:eastAsia="Times New Roman" w:hAnsi="Times New Roman" w:cs="Times New Roman"/>
                <w:bCs/>
                <w:sz w:val="24"/>
                <w:szCs w:val="24"/>
                <w:lang w:val="ro-RO" w:eastAsia="ja-JP"/>
              </w:rPr>
            </w:pPr>
            <w:r w:rsidRPr="001D3AB9">
              <w:rPr>
                <w:rFonts w:ascii="Times New Roman" w:eastAsia="Times New Roman" w:hAnsi="Times New Roman" w:cs="Times New Roman"/>
                <w:bCs/>
                <w:sz w:val="24"/>
                <w:szCs w:val="24"/>
                <w:lang w:val="ro-RO" w:eastAsia="ja-JP"/>
              </w:rPr>
              <w:t>-  16 procese-v</w:t>
            </w:r>
            <w:r w:rsidR="00646D31">
              <w:rPr>
                <w:rFonts w:ascii="Times New Roman" w:eastAsia="Times New Roman" w:hAnsi="Times New Roman" w:cs="Times New Roman"/>
                <w:bCs/>
                <w:sz w:val="24"/>
                <w:szCs w:val="24"/>
                <w:lang w:val="ro-RO" w:eastAsia="ja-JP"/>
              </w:rPr>
              <w:t>erbale cu privire la contravențiile</w:t>
            </w:r>
            <w:r w:rsidRPr="001D3AB9">
              <w:rPr>
                <w:rFonts w:ascii="Times New Roman" w:eastAsia="Times New Roman" w:hAnsi="Times New Roman" w:cs="Times New Roman"/>
                <w:bCs/>
                <w:sz w:val="24"/>
                <w:szCs w:val="24"/>
                <w:lang w:val="ro-RO" w:eastAsia="ja-JP"/>
              </w:rPr>
              <w:t xml:space="preserve"> </w:t>
            </w:r>
            <w:r w:rsidR="00646D31" w:rsidRPr="001D3AB9">
              <w:rPr>
                <w:rFonts w:ascii="Times New Roman" w:eastAsia="Times New Roman" w:hAnsi="Times New Roman" w:cs="Times New Roman"/>
                <w:bCs/>
                <w:sz w:val="24"/>
                <w:szCs w:val="24"/>
                <w:lang w:val="ro-RO" w:eastAsia="ja-JP"/>
              </w:rPr>
              <w:t>încheiate</w:t>
            </w:r>
            <w:r w:rsidR="00646D31">
              <w:rPr>
                <w:rFonts w:ascii="Times New Roman" w:eastAsia="Times New Roman" w:hAnsi="Times New Roman" w:cs="Times New Roman"/>
                <w:bCs/>
                <w:sz w:val="24"/>
                <w:szCs w:val="24"/>
                <w:lang w:val="ro-RO" w:eastAsia="ja-JP"/>
              </w:rPr>
              <w:t>,</w:t>
            </w:r>
          </w:p>
          <w:p w14:paraId="368F7C71" w14:textId="0F673C67" w:rsidR="002D09CB" w:rsidRDefault="002D09CB" w:rsidP="006D7561">
            <w:pPr>
              <w:spacing w:before="120" w:after="0" w:line="240" w:lineRule="auto"/>
              <w:jc w:val="both"/>
              <w:rPr>
                <w:rFonts w:ascii="Times New Roman" w:eastAsia="Times New Roman" w:hAnsi="Times New Roman" w:cs="Times New Roman"/>
                <w:bCs/>
                <w:sz w:val="24"/>
                <w:szCs w:val="24"/>
                <w:lang w:val="ro-RO" w:eastAsia="ja-JP"/>
              </w:rPr>
            </w:pPr>
            <w:r w:rsidRPr="002D09CB">
              <w:rPr>
                <w:rFonts w:ascii="Times New Roman" w:eastAsia="Times New Roman" w:hAnsi="Times New Roman" w:cs="Times New Roman"/>
                <w:b/>
                <w:bCs/>
                <w:sz w:val="24"/>
                <w:szCs w:val="24"/>
                <w:lang w:val="ro-RO" w:eastAsia="ja-JP"/>
              </w:rPr>
              <w:t>Poluarea mediului</w:t>
            </w:r>
            <w:r w:rsidR="0065307E">
              <w:rPr>
                <w:rStyle w:val="FootnoteReference"/>
                <w:rFonts w:ascii="Times New Roman" w:eastAsia="Times New Roman" w:hAnsi="Times New Roman" w:cs="Times New Roman"/>
                <w:b/>
                <w:bCs/>
                <w:sz w:val="24"/>
                <w:szCs w:val="24"/>
                <w:lang w:val="ro-RO" w:eastAsia="ja-JP"/>
              </w:rPr>
              <w:footnoteReference w:id="5"/>
            </w:r>
            <w:r w:rsidRPr="002D09CB">
              <w:rPr>
                <w:rFonts w:ascii="Times New Roman" w:eastAsia="Times New Roman" w:hAnsi="Times New Roman" w:cs="Times New Roman"/>
                <w:b/>
                <w:bCs/>
                <w:sz w:val="24"/>
                <w:szCs w:val="24"/>
                <w:lang w:val="ro-RO" w:eastAsia="ja-JP"/>
              </w:rPr>
              <w:t>:</w:t>
            </w:r>
            <w:r w:rsidRPr="002D09CB">
              <w:rPr>
                <w:rFonts w:ascii="Times New Roman" w:eastAsia="Times New Roman" w:hAnsi="Times New Roman" w:cs="Times New Roman"/>
                <w:bCs/>
                <w:sz w:val="24"/>
                <w:szCs w:val="24"/>
                <w:lang w:val="ro-RO" w:eastAsia="ja-JP"/>
              </w:rPr>
              <w:t xml:space="preserve"> </w:t>
            </w:r>
            <w:r w:rsidR="006D7561">
              <w:rPr>
                <w:rFonts w:ascii="Times New Roman" w:eastAsia="Times New Roman" w:hAnsi="Times New Roman" w:cs="Times New Roman"/>
                <w:bCs/>
                <w:sz w:val="24"/>
                <w:szCs w:val="24"/>
                <w:lang w:val="ro-RO" w:eastAsia="ja-JP"/>
              </w:rPr>
              <w:t xml:space="preserve">Noul regulament stabilește cerințe </w:t>
            </w:r>
            <w:r w:rsidR="006D7561" w:rsidRPr="006D7561">
              <w:rPr>
                <w:rFonts w:ascii="Times New Roman" w:eastAsia="Times New Roman" w:hAnsi="Times New Roman" w:cs="Times New Roman"/>
                <w:bCs/>
                <w:sz w:val="24"/>
                <w:szCs w:val="24"/>
                <w:lang w:val="ro-RO" w:eastAsia="ja-JP"/>
              </w:rPr>
              <w:t>privind nivelul de pute</w:t>
            </w:r>
            <w:r w:rsidR="00B6698F">
              <w:rPr>
                <w:rFonts w:ascii="Times New Roman" w:eastAsia="Times New Roman" w:hAnsi="Times New Roman" w:cs="Times New Roman"/>
                <w:bCs/>
                <w:sz w:val="24"/>
                <w:szCs w:val="24"/>
                <w:lang w:val="ro-RO" w:eastAsia="ja-JP"/>
              </w:rPr>
              <w:t>re acustică (nivelul de zgomot) și</w:t>
            </w:r>
            <w:r w:rsidR="006D7561" w:rsidRPr="006D7561">
              <w:rPr>
                <w:rFonts w:ascii="Times New Roman" w:eastAsia="Times New Roman" w:hAnsi="Times New Roman" w:cs="Times New Roman"/>
                <w:bCs/>
                <w:sz w:val="24"/>
                <w:szCs w:val="24"/>
                <w:lang w:val="ro-RO" w:eastAsia="ja-JP"/>
              </w:rPr>
              <w:t xml:space="preserve"> privind emisiile de oxizi de azot.</w:t>
            </w:r>
          </w:p>
          <w:p w14:paraId="0684F065" w14:textId="29B290ED" w:rsidR="00B6698F" w:rsidRDefault="00223573" w:rsidP="006D7561">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Este demonstrată dependența</w:t>
            </w:r>
            <w:r w:rsidR="00B6698F">
              <w:rPr>
                <w:rFonts w:ascii="Times New Roman" w:eastAsia="Times New Roman" w:hAnsi="Times New Roman" w:cs="Times New Roman"/>
                <w:bCs/>
                <w:sz w:val="24"/>
                <w:szCs w:val="24"/>
                <w:lang w:val="ro-RO" w:eastAsia="ja-JP"/>
              </w:rPr>
              <w:t xml:space="preserve"> directă dintre </w:t>
            </w:r>
            <w:r w:rsidR="00BD2E29">
              <w:rPr>
                <w:rFonts w:ascii="Times New Roman" w:eastAsia="Times New Roman" w:hAnsi="Times New Roman" w:cs="Times New Roman"/>
                <w:bCs/>
                <w:sz w:val="24"/>
                <w:szCs w:val="24"/>
                <w:lang w:val="ro-RO" w:eastAsia="ja-JP"/>
              </w:rPr>
              <w:t>funcționarea instalațiilor</w:t>
            </w:r>
            <w:r w:rsidR="00BD2E29" w:rsidRPr="00BD2E29">
              <w:rPr>
                <w:rFonts w:ascii="Times New Roman" w:eastAsia="Times New Roman" w:hAnsi="Times New Roman" w:cs="Times New Roman"/>
                <w:bCs/>
                <w:sz w:val="24"/>
                <w:szCs w:val="24"/>
                <w:lang w:val="ro-RO" w:eastAsia="ja-JP"/>
              </w:rPr>
              <w:t xml:space="preserve"> pentru încălzirea incintelor </w:t>
            </w:r>
            <w:proofErr w:type="spellStart"/>
            <w:r w:rsidR="00BD2E29" w:rsidRPr="00BD2E29">
              <w:rPr>
                <w:rFonts w:ascii="Times New Roman" w:eastAsia="Times New Roman" w:hAnsi="Times New Roman" w:cs="Times New Roman"/>
                <w:bCs/>
                <w:sz w:val="24"/>
                <w:szCs w:val="24"/>
                <w:lang w:val="ro-RO" w:eastAsia="ja-JP"/>
              </w:rPr>
              <w:t>şi</w:t>
            </w:r>
            <w:proofErr w:type="spellEnd"/>
            <w:r w:rsidR="00BD2E29" w:rsidRPr="00BD2E29">
              <w:rPr>
                <w:rFonts w:ascii="Times New Roman" w:eastAsia="Times New Roman" w:hAnsi="Times New Roman" w:cs="Times New Roman"/>
                <w:bCs/>
                <w:sz w:val="24"/>
                <w:szCs w:val="24"/>
                <w:lang w:val="ro-RO" w:eastAsia="ja-JP"/>
              </w:rPr>
              <w:t xml:space="preserve"> instalațiil</w:t>
            </w:r>
            <w:r w:rsidR="00BD2E29">
              <w:rPr>
                <w:rFonts w:ascii="Times New Roman" w:eastAsia="Times New Roman" w:hAnsi="Times New Roman" w:cs="Times New Roman"/>
                <w:bCs/>
                <w:sz w:val="24"/>
                <w:szCs w:val="24"/>
                <w:lang w:val="ro-RO" w:eastAsia="ja-JP"/>
              </w:rPr>
              <w:t>or</w:t>
            </w:r>
            <w:r w:rsidR="00BD2E29" w:rsidRPr="00BD2E29">
              <w:rPr>
                <w:rFonts w:ascii="Times New Roman" w:eastAsia="Times New Roman" w:hAnsi="Times New Roman" w:cs="Times New Roman"/>
                <w:bCs/>
                <w:sz w:val="24"/>
                <w:szCs w:val="24"/>
                <w:lang w:val="ro-RO" w:eastAsia="ja-JP"/>
              </w:rPr>
              <w:t xml:space="preserve"> de încălzire cu funcție dublă</w:t>
            </w:r>
            <w:r w:rsidR="00BD2E29">
              <w:rPr>
                <w:rFonts w:ascii="Times New Roman" w:eastAsia="Times New Roman" w:hAnsi="Times New Roman" w:cs="Times New Roman"/>
                <w:bCs/>
                <w:sz w:val="24"/>
                <w:szCs w:val="24"/>
                <w:lang w:val="ro-RO" w:eastAsia="ja-JP"/>
              </w:rPr>
              <w:t xml:space="preserve"> </w:t>
            </w:r>
            <w:r w:rsidR="00CB795C">
              <w:rPr>
                <w:rFonts w:ascii="Times New Roman" w:eastAsia="Times New Roman" w:hAnsi="Times New Roman" w:cs="Times New Roman"/>
                <w:bCs/>
                <w:sz w:val="24"/>
                <w:szCs w:val="24"/>
                <w:lang w:val="ro-RO" w:eastAsia="ja-JP"/>
              </w:rPr>
              <w:t xml:space="preserve">și nivelul emisiilor, mai jos </w:t>
            </w:r>
            <w:r w:rsidR="002A6F87">
              <w:rPr>
                <w:rFonts w:ascii="Times New Roman" w:eastAsia="Times New Roman" w:hAnsi="Times New Roman" w:cs="Times New Roman"/>
                <w:bCs/>
                <w:sz w:val="24"/>
                <w:szCs w:val="24"/>
                <w:lang w:val="ro-RO" w:eastAsia="ja-JP"/>
              </w:rPr>
              <w:t>este</w:t>
            </w:r>
            <w:r w:rsidR="00CB795C">
              <w:rPr>
                <w:rFonts w:ascii="Times New Roman" w:eastAsia="Times New Roman" w:hAnsi="Times New Roman" w:cs="Times New Roman"/>
                <w:bCs/>
                <w:sz w:val="24"/>
                <w:szCs w:val="24"/>
                <w:lang w:val="ro-RO" w:eastAsia="ja-JP"/>
              </w:rPr>
              <w:t xml:space="preserve"> prezentată harta orașului C</w:t>
            </w:r>
            <w:r>
              <w:rPr>
                <w:rFonts w:ascii="Times New Roman" w:eastAsia="Times New Roman" w:hAnsi="Times New Roman" w:cs="Times New Roman"/>
                <w:bCs/>
                <w:sz w:val="24"/>
                <w:szCs w:val="24"/>
                <w:lang w:val="ro-RO" w:eastAsia="ja-JP"/>
              </w:rPr>
              <w:t xml:space="preserve">hișinău și nivelul de poluare cu </w:t>
            </w:r>
            <w:r w:rsidR="002A6F87">
              <w:rPr>
                <w:rFonts w:ascii="Times New Roman" w:eastAsia="Times New Roman" w:hAnsi="Times New Roman" w:cs="Times New Roman"/>
                <w:bCs/>
                <w:sz w:val="24"/>
                <w:szCs w:val="24"/>
                <w:lang w:val="ro-RO" w:eastAsia="ja-JP"/>
              </w:rPr>
              <w:t>oxizi de azot, fenoli și alte substanțe la 14.03.2021</w:t>
            </w:r>
          </w:p>
          <w:p w14:paraId="69354B49" w14:textId="3A142978" w:rsidR="00223573" w:rsidRDefault="002A6F87" w:rsidP="002A6F87">
            <w:pPr>
              <w:spacing w:before="120" w:after="0" w:line="240" w:lineRule="auto"/>
              <w:jc w:val="center"/>
              <w:rPr>
                <w:rFonts w:ascii="Times New Roman" w:eastAsia="Times New Roman" w:hAnsi="Times New Roman" w:cs="Times New Roman"/>
                <w:bCs/>
                <w:sz w:val="24"/>
                <w:szCs w:val="24"/>
                <w:lang w:val="ro-RO" w:eastAsia="ja-JP"/>
              </w:rPr>
            </w:pPr>
            <w:r>
              <w:rPr>
                <w:noProof/>
                <w:lang w:val="en-US"/>
              </w:rPr>
              <w:drawing>
                <wp:inline distT="0" distB="0" distL="0" distR="0" wp14:anchorId="3287C5D3" wp14:editId="56A5E95A">
                  <wp:extent cx="5086350" cy="735114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0593" cy="7415089"/>
                          </a:xfrm>
                          <a:prstGeom prst="rect">
                            <a:avLst/>
                          </a:prstGeom>
                        </pic:spPr>
                      </pic:pic>
                    </a:graphicData>
                  </a:graphic>
                </wp:inline>
              </w:drawing>
            </w:r>
          </w:p>
          <w:p w14:paraId="46428947" w14:textId="593044AA" w:rsidR="007D37E2" w:rsidRDefault="00732385" w:rsidP="006D7561">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lastRenderedPageBreak/>
              <w:t>D</w:t>
            </w:r>
            <w:r w:rsidR="002D62B3">
              <w:rPr>
                <w:rFonts w:ascii="Times New Roman" w:eastAsia="Times New Roman" w:hAnsi="Times New Roman" w:cs="Times New Roman"/>
                <w:bCs/>
                <w:sz w:val="24"/>
                <w:szCs w:val="24"/>
                <w:lang w:val="ro-RO" w:eastAsia="ja-JP"/>
              </w:rPr>
              <w:t xml:space="preserve">in harta prezentată mai sus </w:t>
            </w:r>
            <w:r>
              <w:rPr>
                <w:rFonts w:ascii="Times New Roman" w:eastAsia="Times New Roman" w:hAnsi="Times New Roman" w:cs="Times New Roman"/>
                <w:bCs/>
                <w:sz w:val="24"/>
                <w:szCs w:val="24"/>
                <w:lang w:val="ro-RO" w:eastAsia="ja-JP"/>
              </w:rPr>
              <w:t>putem o</w:t>
            </w:r>
            <w:r w:rsidR="00F54319">
              <w:rPr>
                <w:rFonts w:ascii="Times New Roman" w:eastAsia="Times New Roman" w:hAnsi="Times New Roman" w:cs="Times New Roman"/>
                <w:bCs/>
                <w:sz w:val="24"/>
                <w:szCs w:val="24"/>
                <w:lang w:val="ro-RO" w:eastAsia="ja-JP"/>
              </w:rPr>
              <w:t>bserva că cu cât mai dens este populat orașul (construcții rezidențiale) cu atât mai mare este și nivelul de emisii.</w:t>
            </w:r>
          </w:p>
          <w:p w14:paraId="5A9A50C2" w14:textId="3968F71B" w:rsidR="00AC5FCF" w:rsidRDefault="00AC5FCF" w:rsidP="006D7561">
            <w:pPr>
              <w:spacing w:before="120" w:after="0" w:line="240" w:lineRule="auto"/>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Respectiv, introducerea cerințelor tehnice minime va contribui la reducerea emis</w:t>
            </w:r>
            <w:r w:rsidR="0090199C">
              <w:rPr>
                <w:rFonts w:ascii="Times New Roman" w:eastAsia="Times New Roman" w:hAnsi="Times New Roman" w:cs="Times New Roman"/>
                <w:bCs/>
                <w:sz w:val="24"/>
                <w:szCs w:val="24"/>
                <w:lang w:val="ro-RO" w:eastAsia="ja-JP"/>
              </w:rPr>
              <w:t>iilor și respectiv la evitarea efectelor negative ce le au acestea asupra mediului și sănătății oamenilor.</w:t>
            </w:r>
          </w:p>
          <w:p w14:paraId="31B3A6B8" w14:textId="79FBDE38" w:rsidR="00E151A0" w:rsidRPr="006A1CCC" w:rsidRDefault="009500D1" w:rsidP="006A1CCC">
            <w:pPr>
              <w:spacing w:before="120" w:after="0" w:line="240" w:lineRule="auto"/>
              <w:jc w:val="both"/>
              <w:rPr>
                <w:rFonts w:ascii="Times New Roman" w:eastAsia="Times New Roman" w:hAnsi="Times New Roman" w:cs="Times New Roman"/>
                <w:bCs/>
                <w:sz w:val="24"/>
                <w:szCs w:val="24"/>
                <w:lang w:val="ro-RO" w:eastAsia="ja-JP"/>
              </w:rPr>
            </w:pPr>
            <w:proofErr w:type="spellStart"/>
            <w:r w:rsidRPr="009500D1">
              <w:rPr>
                <w:rFonts w:ascii="Times New Roman" w:eastAsia="Times New Roman" w:hAnsi="Times New Roman" w:cs="Times New Roman"/>
                <w:bCs/>
                <w:sz w:val="24"/>
                <w:szCs w:val="24"/>
                <w:lang w:val="ro-RO" w:eastAsia="ja-JP"/>
              </w:rPr>
              <w:t>Populaţia</w:t>
            </w:r>
            <w:proofErr w:type="spellEnd"/>
            <w:r w:rsidRPr="009500D1">
              <w:rPr>
                <w:rFonts w:ascii="Times New Roman" w:eastAsia="Times New Roman" w:hAnsi="Times New Roman" w:cs="Times New Roman"/>
                <w:bCs/>
                <w:sz w:val="24"/>
                <w:szCs w:val="24"/>
                <w:lang w:val="ro-RO" w:eastAsia="ja-JP"/>
              </w:rPr>
              <w:t xml:space="preserve"> expusă la acest tip de </w:t>
            </w:r>
            <w:proofErr w:type="spellStart"/>
            <w:r w:rsidRPr="009500D1">
              <w:rPr>
                <w:rFonts w:ascii="Times New Roman" w:eastAsia="Times New Roman" w:hAnsi="Times New Roman" w:cs="Times New Roman"/>
                <w:bCs/>
                <w:sz w:val="24"/>
                <w:szCs w:val="24"/>
                <w:lang w:val="ro-RO" w:eastAsia="ja-JP"/>
              </w:rPr>
              <w:t>poluanţi</w:t>
            </w:r>
            <w:proofErr w:type="spellEnd"/>
            <w:r w:rsidR="0090199C">
              <w:rPr>
                <w:rFonts w:ascii="Times New Roman" w:eastAsia="Times New Roman" w:hAnsi="Times New Roman" w:cs="Times New Roman"/>
                <w:bCs/>
                <w:sz w:val="24"/>
                <w:szCs w:val="24"/>
                <w:lang w:val="ro-RO" w:eastAsia="ja-JP"/>
              </w:rPr>
              <w:t xml:space="preserve"> (oxizi de azot)</w:t>
            </w:r>
            <w:r w:rsidRPr="009500D1">
              <w:rPr>
                <w:rFonts w:ascii="Times New Roman" w:eastAsia="Times New Roman" w:hAnsi="Times New Roman" w:cs="Times New Roman"/>
                <w:bCs/>
                <w:sz w:val="24"/>
                <w:szCs w:val="24"/>
                <w:lang w:val="ro-RO" w:eastAsia="ja-JP"/>
              </w:rPr>
              <w:t xml:space="preserve"> poate avea </w:t>
            </w:r>
            <w:proofErr w:type="spellStart"/>
            <w:r w:rsidRPr="009500D1">
              <w:rPr>
                <w:rFonts w:ascii="Times New Roman" w:eastAsia="Times New Roman" w:hAnsi="Times New Roman" w:cs="Times New Roman"/>
                <w:bCs/>
                <w:sz w:val="24"/>
                <w:szCs w:val="24"/>
                <w:lang w:val="ro-RO" w:eastAsia="ja-JP"/>
              </w:rPr>
              <w:t>dificultăţi</w:t>
            </w:r>
            <w:proofErr w:type="spellEnd"/>
            <w:r w:rsidRPr="009500D1">
              <w:rPr>
                <w:rFonts w:ascii="Times New Roman" w:eastAsia="Times New Roman" w:hAnsi="Times New Roman" w:cs="Times New Roman"/>
                <w:bCs/>
                <w:sz w:val="24"/>
                <w:szCs w:val="24"/>
                <w:lang w:val="ro-RO" w:eastAsia="ja-JP"/>
              </w:rPr>
              <w:t xml:space="preserve"> respiratorii, </w:t>
            </w:r>
            <w:proofErr w:type="spellStart"/>
            <w:r w:rsidRPr="009500D1">
              <w:rPr>
                <w:rFonts w:ascii="Times New Roman" w:eastAsia="Times New Roman" w:hAnsi="Times New Roman" w:cs="Times New Roman"/>
                <w:bCs/>
                <w:sz w:val="24"/>
                <w:szCs w:val="24"/>
                <w:lang w:val="ro-RO" w:eastAsia="ja-JP"/>
              </w:rPr>
              <w:t>iritaţii</w:t>
            </w:r>
            <w:proofErr w:type="spellEnd"/>
            <w:r w:rsidRPr="009500D1">
              <w:rPr>
                <w:rFonts w:ascii="Times New Roman" w:eastAsia="Times New Roman" w:hAnsi="Times New Roman" w:cs="Times New Roman"/>
                <w:bCs/>
                <w:sz w:val="24"/>
                <w:szCs w:val="24"/>
                <w:lang w:val="ro-RO" w:eastAsia="ja-JP"/>
              </w:rPr>
              <w:t xml:space="preserve"> ale căilor</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 xml:space="preserve">respiratorii, </w:t>
            </w:r>
            <w:proofErr w:type="spellStart"/>
            <w:r w:rsidRPr="009500D1">
              <w:rPr>
                <w:rFonts w:ascii="Times New Roman" w:eastAsia="Times New Roman" w:hAnsi="Times New Roman" w:cs="Times New Roman"/>
                <w:bCs/>
                <w:sz w:val="24"/>
                <w:szCs w:val="24"/>
                <w:lang w:val="ro-RO" w:eastAsia="ja-JP"/>
              </w:rPr>
              <w:t>disfuncţii</w:t>
            </w:r>
            <w:proofErr w:type="spellEnd"/>
            <w:r w:rsidRPr="009500D1">
              <w:rPr>
                <w:rFonts w:ascii="Times New Roman" w:eastAsia="Times New Roman" w:hAnsi="Times New Roman" w:cs="Times New Roman"/>
                <w:bCs/>
                <w:sz w:val="24"/>
                <w:szCs w:val="24"/>
                <w:lang w:val="ro-RO" w:eastAsia="ja-JP"/>
              </w:rPr>
              <w:t xml:space="preserve"> ale </w:t>
            </w:r>
            <w:proofErr w:type="spellStart"/>
            <w:r w:rsidRPr="009500D1">
              <w:rPr>
                <w:rFonts w:ascii="Times New Roman" w:eastAsia="Times New Roman" w:hAnsi="Times New Roman" w:cs="Times New Roman"/>
                <w:bCs/>
                <w:sz w:val="24"/>
                <w:szCs w:val="24"/>
                <w:lang w:val="ro-RO" w:eastAsia="ja-JP"/>
              </w:rPr>
              <w:t>plamînilor</w:t>
            </w:r>
            <w:proofErr w:type="spellEnd"/>
            <w:r w:rsidRPr="009500D1">
              <w:rPr>
                <w:rFonts w:ascii="Times New Roman" w:eastAsia="Times New Roman" w:hAnsi="Times New Roman" w:cs="Times New Roman"/>
                <w:bCs/>
                <w:sz w:val="24"/>
                <w:szCs w:val="24"/>
                <w:lang w:val="ro-RO" w:eastAsia="ja-JP"/>
              </w:rPr>
              <w:t xml:space="preserve">. Expunerea pe termen lung la o </w:t>
            </w:r>
            <w:proofErr w:type="spellStart"/>
            <w:r w:rsidRPr="009500D1">
              <w:rPr>
                <w:rFonts w:ascii="Times New Roman" w:eastAsia="Times New Roman" w:hAnsi="Times New Roman" w:cs="Times New Roman"/>
                <w:bCs/>
                <w:sz w:val="24"/>
                <w:szCs w:val="24"/>
                <w:lang w:val="ro-RO" w:eastAsia="ja-JP"/>
              </w:rPr>
              <w:t>concentraţie</w:t>
            </w:r>
            <w:proofErr w:type="spellEnd"/>
            <w:r w:rsidRPr="009500D1">
              <w:rPr>
                <w:rFonts w:ascii="Times New Roman" w:eastAsia="Times New Roman" w:hAnsi="Times New Roman" w:cs="Times New Roman"/>
                <w:bCs/>
                <w:sz w:val="24"/>
                <w:szCs w:val="24"/>
                <w:lang w:val="ro-RO" w:eastAsia="ja-JP"/>
              </w:rPr>
              <w:t xml:space="preserve"> redusă poate</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 xml:space="preserve">distruge </w:t>
            </w:r>
            <w:proofErr w:type="spellStart"/>
            <w:r w:rsidRPr="009500D1">
              <w:rPr>
                <w:rFonts w:ascii="Times New Roman" w:eastAsia="Times New Roman" w:hAnsi="Times New Roman" w:cs="Times New Roman"/>
                <w:bCs/>
                <w:sz w:val="24"/>
                <w:szCs w:val="24"/>
                <w:lang w:val="ro-RO" w:eastAsia="ja-JP"/>
              </w:rPr>
              <w:t>ţesuturile</w:t>
            </w:r>
            <w:proofErr w:type="spellEnd"/>
            <w:r w:rsidRPr="009500D1">
              <w:rPr>
                <w:rFonts w:ascii="Times New Roman" w:eastAsia="Times New Roman" w:hAnsi="Times New Roman" w:cs="Times New Roman"/>
                <w:bCs/>
                <w:sz w:val="24"/>
                <w:szCs w:val="24"/>
                <w:lang w:val="ro-RO" w:eastAsia="ja-JP"/>
              </w:rPr>
              <w:t xml:space="preserve"> pulmonare </w:t>
            </w:r>
            <w:proofErr w:type="spellStart"/>
            <w:r w:rsidRPr="009500D1">
              <w:rPr>
                <w:rFonts w:ascii="Times New Roman" w:eastAsia="Times New Roman" w:hAnsi="Times New Roman" w:cs="Times New Roman"/>
                <w:bCs/>
                <w:sz w:val="24"/>
                <w:szCs w:val="24"/>
                <w:lang w:val="ro-RO" w:eastAsia="ja-JP"/>
              </w:rPr>
              <w:t>ducînd</w:t>
            </w:r>
            <w:proofErr w:type="spellEnd"/>
            <w:r w:rsidRPr="009500D1">
              <w:rPr>
                <w:rFonts w:ascii="Times New Roman" w:eastAsia="Times New Roman" w:hAnsi="Times New Roman" w:cs="Times New Roman"/>
                <w:bCs/>
                <w:sz w:val="24"/>
                <w:szCs w:val="24"/>
                <w:lang w:val="ro-RO" w:eastAsia="ja-JP"/>
              </w:rPr>
              <w:t xml:space="preserve"> la emfizem pulmonar. Persoanele cele mai afectate de</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expunerea la acest poluant sunt copiii.</w:t>
            </w:r>
            <w:r>
              <w:rPr>
                <w:rFonts w:ascii="Times New Roman" w:eastAsia="Times New Roman" w:hAnsi="Times New Roman" w:cs="Times New Roman"/>
                <w:bCs/>
                <w:sz w:val="24"/>
                <w:szCs w:val="24"/>
                <w:lang w:val="ro-RO" w:eastAsia="ja-JP"/>
              </w:rPr>
              <w:t xml:space="preserve"> </w:t>
            </w:r>
            <w:r w:rsidRPr="009500D1">
              <w:rPr>
                <w:rFonts w:ascii="Times New Roman" w:eastAsia="Times New Roman" w:hAnsi="Times New Roman" w:cs="Times New Roman"/>
                <w:bCs/>
                <w:sz w:val="24"/>
                <w:szCs w:val="24"/>
                <w:lang w:val="ro-RO" w:eastAsia="ja-JP"/>
              </w:rPr>
              <w:t xml:space="preserve">Efecte asupra plantelor </w:t>
            </w:r>
            <w:proofErr w:type="spellStart"/>
            <w:r w:rsidRPr="009500D1">
              <w:rPr>
                <w:rFonts w:ascii="Times New Roman" w:eastAsia="Times New Roman" w:hAnsi="Times New Roman" w:cs="Times New Roman"/>
                <w:bCs/>
                <w:sz w:val="24"/>
                <w:szCs w:val="24"/>
                <w:lang w:val="ro-RO" w:eastAsia="ja-JP"/>
              </w:rPr>
              <w:t>şi</w:t>
            </w:r>
            <w:proofErr w:type="spellEnd"/>
            <w:r w:rsidRPr="009500D1">
              <w:rPr>
                <w:rFonts w:ascii="Times New Roman" w:eastAsia="Times New Roman" w:hAnsi="Times New Roman" w:cs="Times New Roman"/>
                <w:bCs/>
                <w:sz w:val="24"/>
                <w:szCs w:val="24"/>
                <w:lang w:val="ro-RO" w:eastAsia="ja-JP"/>
              </w:rPr>
              <w:t xml:space="preserve"> animalelor Expunerea la acest poluant produce vătămarea serioasă a </w:t>
            </w:r>
            <w:proofErr w:type="spellStart"/>
            <w:r w:rsidRPr="009500D1">
              <w:rPr>
                <w:rFonts w:ascii="Times New Roman" w:eastAsia="Times New Roman" w:hAnsi="Times New Roman" w:cs="Times New Roman"/>
                <w:bCs/>
                <w:sz w:val="24"/>
                <w:szCs w:val="24"/>
                <w:lang w:val="ro-RO" w:eastAsia="ja-JP"/>
              </w:rPr>
              <w:t>vegetaţiei</w:t>
            </w:r>
            <w:proofErr w:type="spellEnd"/>
            <w:r w:rsidRPr="009500D1">
              <w:rPr>
                <w:rFonts w:ascii="Times New Roman" w:eastAsia="Times New Roman" w:hAnsi="Times New Roman" w:cs="Times New Roman"/>
                <w:bCs/>
                <w:sz w:val="24"/>
                <w:szCs w:val="24"/>
                <w:lang w:val="ro-RO" w:eastAsia="ja-JP"/>
              </w:rPr>
              <w:t xml:space="preserve"> prin albirea sau moartea</w:t>
            </w:r>
            <w:r w:rsidR="0004742E">
              <w:rPr>
                <w:rFonts w:ascii="Times New Roman" w:eastAsia="Times New Roman" w:hAnsi="Times New Roman" w:cs="Times New Roman"/>
                <w:bCs/>
                <w:sz w:val="24"/>
                <w:szCs w:val="24"/>
                <w:lang w:val="ro-RO" w:eastAsia="ja-JP"/>
              </w:rPr>
              <w:t xml:space="preserve"> </w:t>
            </w:r>
            <w:proofErr w:type="spellStart"/>
            <w:r w:rsidRPr="009500D1">
              <w:rPr>
                <w:rFonts w:ascii="Times New Roman" w:eastAsia="Times New Roman" w:hAnsi="Times New Roman" w:cs="Times New Roman"/>
                <w:bCs/>
                <w:sz w:val="24"/>
                <w:szCs w:val="24"/>
                <w:lang w:val="ro-RO" w:eastAsia="ja-JP"/>
              </w:rPr>
              <w:t>ţesuturilor</w:t>
            </w:r>
            <w:proofErr w:type="spellEnd"/>
            <w:r w:rsidRPr="009500D1">
              <w:rPr>
                <w:rFonts w:ascii="Times New Roman" w:eastAsia="Times New Roman" w:hAnsi="Times New Roman" w:cs="Times New Roman"/>
                <w:bCs/>
                <w:sz w:val="24"/>
                <w:szCs w:val="24"/>
                <w:lang w:val="ro-RO" w:eastAsia="ja-JP"/>
              </w:rPr>
              <w:t xml:space="preserve"> plantelor, reducerea ritmului de </w:t>
            </w:r>
            <w:proofErr w:type="spellStart"/>
            <w:r w:rsidRPr="009500D1">
              <w:rPr>
                <w:rFonts w:ascii="Times New Roman" w:eastAsia="Times New Roman" w:hAnsi="Times New Roman" w:cs="Times New Roman"/>
                <w:bCs/>
                <w:sz w:val="24"/>
                <w:szCs w:val="24"/>
                <w:lang w:val="ro-RO" w:eastAsia="ja-JP"/>
              </w:rPr>
              <w:t>creştere</w:t>
            </w:r>
            <w:proofErr w:type="spellEnd"/>
            <w:r w:rsidRPr="009500D1">
              <w:rPr>
                <w:rFonts w:ascii="Times New Roman" w:eastAsia="Times New Roman" w:hAnsi="Times New Roman" w:cs="Times New Roman"/>
                <w:bCs/>
                <w:sz w:val="24"/>
                <w:szCs w:val="24"/>
                <w:lang w:val="ro-RO" w:eastAsia="ja-JP"/>
              </w:rPr>
              <w:t xml:space="preserve"> a acestora.</w:t>
            </w:r>
            <w:r w:rsidR="0004742E">
              <w:rPr>
                <w:rFonts w:ascii="Times New Roman" w:eastAsia="Times New Roman" w:hAnsi="Times New Roman" w:cs="Times New Roman"/>
                <w:bCs/>
                <w:sz w:val="24"/>
                <w:szCs w:val="24"/>
                <w:lang w:val="ro-RO" w:eastAsia="ja-JP"/>
              </w:rPr>
              <w:t xml:space="preserve"> </w:t>
            </w:r>
          </w:p>
        </w:tc>
      </w:tr>
      <w:tr w:rsidR="00B468B6" w:rsidRPr="00B76CED" w14:paraId="14F7DA47" w14:textId="77777777" w:rsidTr="003319EB">
        <w:trPr>
          <w:jc w:val="center"/>
        </w:trPr>
        <w:tc>
          <w:tcPr>
            <w:tcW w:w="5000" w:type="pct"/>
            <w:gridSpan w:val="2"/>
            <w:shd w:val="clear" w:color="auto" w:fill="auto"/>
            <w:tcMar>
              <w:top w:w="15" w:type="dxa"/>
              <w:left w:w="45" w:type="dxa"/>
              <w:bottom w:w="15" w:type="dxa"/>
              <w:right w:w="45" w:type="dxa"/>
            </w:tcMar>
          </w:tcPr>
          <w:p w14:paraId="79C1A585" w14:textId="58AD796C"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e) </w:t>
            </w:r>
            <w:r w:rsidR="00CE0E52"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cadrul juridic actual aplicabil raporturilor analizate </w:t>
            </w:r>
            <w:r w:rsidR="00CE0E5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w:t>
            </w:r>
            <w:r w:rsidR="00CE0E52"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w:t>
            </w:r>
            <w:r w:rsidR="00CE0E52" w:rsidRPr="00EB1C0D">
              <w:rPr>
                <w:rFonts w:ascii="Times New Roman" w:eastAsia="Calibri" w:hAnsi="Times New Roman" w:cs="Times New Roman"/>
                <w:b/>
                <w:sz w:val="24"/>
                <w:szCs w:val="24"/>
                <w:lang w:val="ro-RO" w:eastAsia="en-GB"/>
              </w:rPr>
              <w:t>carențele</w:t>
            </w:r>
            <w:r w:rsidRPr="00EB1C0D">
              <w:rPr>
                <w:rFonts w:ascii="Times New Roman" w:eastAsia="Calibri" w:hAnsi="Times New Roman" w:cs="Times New Roman"/>
                <w:b/>
                <w:sz w:val="24"/>
                <w:szCs w:val="24"/>
                <w:lang w:val="ro-RO" w:eastAsia="en-GB"/>
              </w:rPr>
              <w:t xml:space="preserve"> prevederilor normative în vigoare, </w:t>
            </w:r>
            <w:r w:rsidR="00CE0E52"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documentele de politici </w:t>
            </w:r>
            <w:r w:rsidR="00CE0E5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reglementările existente care </w:t>
            </w:r>
            <w:r w:rsidR="00CE0E52" w:rsidRPr="00EB1C0D">
              <w:rPr>
                <w:rFonts w:ascii="Times New Roman" w:eastAsia="Calibri" w:hAnsi="Times New Roman" w:cs="Times New Roman"/>
                <w:b/>
                <w:sz w:val="24"/>
                <w:szCs w:val="24"/>
                <w:lang w:val="ro-RO" w:eastAsia="en-GB"/>
              </w:rPr>
              <w:t>condiționează</w:t>
            </w:r>
            <w:r w:rsidRPr="00EB1C0D">
              <w:rPr>
                <w:rFonts w:ascii="Times New Roman" w:eastAsia="Calibri" w:hAnsi="Times New Roman" w:cs="Times New Roman"/>
                <w:b/>
                <w:sz w:val="24"/>
                <w:szCs w:val="24"/>
                <w:lang w:val="ro-RO" w:eastAsia="en-GB"/>
              </w:rPr>
              <w:t xml:space="preserve"> </w:t>
            </w:r>
            <w:r w:rsidR="00CE0E52" w:rsidRPr="00EB1C0D">
              <w:rPr>
                <w:rFonts w:ascii="Times New Roman" w:eastAsia="Calibri" w:hAnsi="Times New Roman" w:cs="Times New Roman"/>
                <w:b/>
                <w:sz w:val="24"/>
                <w:szCs w:val="24"/>
                <w:lang w:val="ro-RO" w:eastAsia="en-GB"/>
              </w:rPr>
              <w:t>intervenția</w:t>
            </w:r>
            <w:r w:rsidRPr="00EB1C0D">
              <w:rPr>
                <w:rFonts w:ascii="Times New Roman" w:eastAsia="Calibri" w:hAnsi="Times New Roman" w:cs="Times New Roman"/>
                <w:b/>
                <w:sz w:val="24"/>
                <w:szCs w:val="24"/>
                <w:lang w:val="ro-RO" w:eastAsia="en-GB"/>
              </w:rPr>
              <w:t xml:space="preserve"> statului</w:t>
            </w:r>
          </w:p>
        </w:tc>
      </w:tr>
      <w:tr w:rsidR="00B468B6" w:rsidRPr="00B76CED" w14:paraId="1E67FFC8" w14:textId="77777777" w:rsidTr="003319EB">
        <w:trPr>
          <w:jc w:val="center"/>
        </w:trPr>
        <w:tc>
          <w:tcPr>
            <w:tcW w:w="5000" w:type="pct"/>
            <w:gridSpan w:val="2"/>
            <w:tcMar>
              <w:top w:w="15" w:type="dxa"/>
              <w:left w:w="45" w:type="dxa"/>
              <w:bottom w:w="15" w:type="dxa"/>
              <w:right w:w="45" w:type="dxa"/>
            </w:tcMar>
          </w:tcPr>
          <w:p w14:paraId="59AEFF13" w14:textId="76D52637" w:rsidR="002C61AA" w:rsidRPr="002C61AA" w:rsidRDefault="002C61AA" w:rsidP="002C61AA">
            <w:pPr>
              <w:spacing w:before="120" w:after="120" w:line="259" w:lineRule="auto"/>
              <w:jc w:val="both"/>
              <w:rPr>
                <w:rFonts w:ascii="Times New Roman" w:eastAsia="Times New Roman" w:hAnsi="Times New Roman" w:cs="Times New Roman"/>
                <w:bCs/>
                <w:sz w:val="24"/>
                <w:szCs w:val="24"/>
                <w:lang w:val="ro-RO" w:eastAsia="ru-RU"/>
              </w:rPr>
            </w:pPr>
            <w:r w:rsidRPr="002C61AA">
              <w:rPr>
                <w:rFonts w:ascii="Times New Roman" w:eastAsia="Times New Roman" w:hAnsi="Times New Roman" w:cs="Times New Roman"/>
                <w:bCs/>
                <w:sz w:val="24"/>
                <w:szCs w:val="24"/>
                <w:lang w:val="ro-RO" w:eastAsia="ru-RU"/>
              </w:rPr>
              <w:t xml:space="preserve">În contextul </w:t>
            </w:r>
            <w:r w:rsidR="00E02BFD">
              <w:rPr>
                <w:rFonts w:ascii="Times New Roman" w:eastAsia="Times New Roman" w:hAnsi="Times New Roman" w:cs="Times New Roman"/>
                <w:bCs/>
                <w:sz w:val="24"/>
                <w:szCs w:val="24"/>
                <w:lang w:val="ro-RO" w:eastAsia="ru-RU"/>
              </w:rPr>
              <w:t>executării</w:t>
            </w:r>
            <w:r w:rsidR="00E02BFD" w:rsidRPr="00E02BFD">
              <w:rPr>
                <w:rFonts w:ascii="Times New Roman" w:eastAsia="Times New Roman" w:hAnsi="Times New Roman" w:cs="Times New Roman"/>
                <w:bCs/>
                <w:sz w:val="24"/>
                <w:szCs w:val="24"/>
                <w:lang w:val="ro-RO" w:eastAsia="ru-RU"/>
              </w:rPr>
              <w:t xml:space="preserve"> prevederilor Legii nr. 112 din 02.07.2014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Pr="002C61AA">
              <w:rPr>
                <w:rFonts w:ascii="Times New Roman" w:eastAsia="Times New Roman" w:hAnsi="Times New Roman" w:cs="Times New Roman"/>
                <w:bCs/>
                <w:sz w:val="24"/>
                <w:szCs w:val="24"/>
                <w:lang w:val="ro-RO" w:eastAsia="ru-RU"/>
              </w:rPr>
              <w:t>, armonizării legislației în domeniul eficienței energetice la acquis-</w:t>
            </w:r>
            <w:proofErr w:type="spellStart"/>
            <w:r w:rsidRPr="002C61AA">
              <w:rPr>
                <w:rFonts w:ascii="Times New Roman" w:eastAsia="Times New Roman" w:hAnsi="Times New Roman" w:cs="Times New Roman"/>
                <w:bCs/>
                <w:sz w:val="24"/>
                <w:szCs w:val="24"/>
                <w:lang w:val="ro-RO" w:eastAsia="ru-RU"/>
              </w:rPr>
              <w:t>ul</w:t>
            </w:r>
            <w:proofErr w:type="spellEnd"/>
            <w:r w:rsidRPr="002C61AA">
              <w:rPr>
                <w:rFonts w:ascii="Times New Roman" w:eastAsia="Times New Roman" w:hAnsi="Times New Roman" w:cs="Times New Roman"/>
                <w:bCs/>
                <w:sz w:val="24"/>
                <w:szCs w:val="24"/>
                <w:lang w:val="ro-RO" w:eastAsia="ru-RU"/>
              </w:rPr>
              <w:t xml:space="preserve"> Uniunii Europene din sectorul respectiv, precum și a angajamentelor asumate de către Republica Moldova în cadrul Tratatului Comunității Energetice</w:t>
            </w:r>
            <w:r w:rsidRPr="002C61AA">
              <w:rPr>
                <w:rFonts w:ascii="Times New Roman" w:eastAsia="Times New Roman" w:hAnsi="Times New Roman" w:cs="Times New Roman"/>
                <w:bCs/>
                <w:sz w:val="24"/>
                <w:szCs w:val="24"/>
                <w:vertAlign w:val="superscript"/>
                <w:lang w:val="ro-RO" w:eastAsia="ru-RU"/>
              </w:rPr>
              <w:footnoteReference w:id="6"/>
            </w:r>
            <w:r w:rsidRPr="002C61AA">
              <w:rPr>
                <w:rFonts w:ascii="Times New Roman" w:eastAsia="Times New Roman" w:hAnsi="Times New Roman" w:cs="Times New Roman"/>
                <w:bCs/>
                <w:sz w:val="24"/>
                <w:szCs w:val="24"/>
                <w:lang w:val="ro-RO" w:eastAsia="ru-RU"/>
              </w:rPr>
              <w:t xml:space="preserve">, Parlamentul Republicii Moldova a adoptat Legea nr. 151/2014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w:t>
            </w:r>
            <w:r w:rsidRPr="002C61AA">
              <w:rPr>
                <w:rFonts w:ascii="Times New Roman" w:eastAsia="Times New Roman" w:hAnsi="Times New Roman" w:cs="Times New Roman"/>
                <w:b/>
                <w:bCs/>
                <w:i/>
                <w:sz w:val="24"/>
                <w:szCs w:val="24"/>
                <w:lang w:val="ro-RO" w:eastAsia="ru-RU"/>
              </w:rPr>
              <w:t>,</w:t>
            </w:r>
            <w:r w:rsidRPr="002C61AA">
              <w:rPr>
                <w:rFonts w:ascii="Times New Roman" w:eastAsia="Times New Roman" w:hAnsi="Times New Roman" w:cs="Times New Roman"/>
                <w:bCs/>
                <w:sz w:val="24"/>
                <w:szCs w:val="24"/>
                <w:lang w:val="ro-RO" w:eastAsia="ru-RU"/>
              </w:rPr>
              <w:t xml:space="preserve"> prin care a fost transpusă Directiva 2009/125/CE a Parlamentului European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a Consiliului din 21 octombrie 2009 de instituire a unui cadru pentru stabilirea </w:t>
            </w:r>
            <w:proofErr w:type="spellStart"/>
            <w:r w:rsidRPr="002C61AA">
              <w:rPr>
                <w:rFonts w:ascii="Times New Roman" w:eastAsia="Times New Roman" w:hAnsi="Times New Roman" w:cs="Times New Roman"/>
                <w:bCs/>
                <w:sz w:val="24"/>
                <w:szCs w:val="24"/>
                <w:lang w:val="ro-RO" w:eastAsia="ru-RU"/>
              </w:rPr>
              <w:t>cerinţelor</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297C55E5" w14:textId="77777777" w:rsidR="002C61AA" w:rsidRPr="002C61AA" w:rsidRDefault="002C61AA" w:rsidP="002C61AA">
            <w:pPr>
              <w:spacing w:before="120" w:after="120" w:line="259" w:lineRule="auto"/>
              <w:jc w:val="both"/>
              <w:rPr>
                <w:rFonts w:ascii="Times New Roman" w:eastAsia="Times New Roman" w:hAnsi="Times New Roman" w:cs="Times New Roman"/>
                <w:bCs/>
                <w:sz w:val="24"/>
                <w:szCs w:val="24"/>
                <w:lang w:val="ro-RO" w:eastAsia="ru-RU"/>
              </w:rPr>
            </w:pPr>
            <w:r w:rsidRPr="002C61AA">
              <w:rPr>
                <w:rFonts w:ascii="Times New Roman" w:eastAsia="Times New Roman" w:hAnsi="Times New Roman" w:cs="Times New Roman"/>
                <w:bCs/>
                <w:sz w:val="24"/>
                <w:szCs w:val="24"/>
                <w:lang w:val="ro-RO" w:eastAsia="ru-RU"/>
              </w:rPr>
              <w:t xml:space="preserve">Astfel, în conformitate cu prevederile art. 5, litera a) din Legea nr. 151/2014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 unde se stipulează că Ministerul Economiei și Infrastructurii asigură elaborarea cadrului normativ pentru produsele cu impact energetic aferent proiectării ecologice, Ministerul a elaborat și promovat </w:t>
            </w:r>
            <w:proofErr w:type="spellStart"/>
            <w:r w:rsidRPr="002C61AA">
              <w:rPr>
                <w:rFonts w:ascii="Times New Roman" w:eastAsia="Times New Roman" w:hAnsi="Times New Roman" w:cs="Times New Roman"/>
                <w:bCs/>
                <w:sz w:val="24"/>
                <w:szCs w:val="24"/>
                <w:lang w:val="ro-RO" w:eastAsia="ru-RU"/>
              </w:rPr>
              <w:t>Hotărîrea</w:t>
            </w:r>
            <w:proofErr w:type="spellEnd"/>
            <w:r w:rsidRPr="002C61AA">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energetic.</w:t>
            </w:r>
          </w:p>
          <w:p w14:paraId="21F7EB70" w14:textId="77777777" w:rsidR="002C61AA" w:rsidRPr="002C61AA" w:rsidRDefault="002C61AA" w:rsidP="002C61AA">
            <w:pPr>
              <w:spacing w:before="120" w:after="120" w:line="259" w:lineRule="auto"/>
              <w:jc w:val="both"/>
              <w:rPr>
                <w:rFonts w:ascii="Times New Roman" w:eastAsia="Times New Roman" w:hAnsi="Times New Roman" w:cs="Times New Roman"/>
                <w:b/>
                <w:bCs/>
                <w:i/>
                <w:iCs/>
                <w:sz w:val="24"/>
                <w:szCs w:val="24"/>
                <w:lang w:val="ro-RO" w:eastAsia="ru-RU"/>
              </w:rPr>
            </w:pPr>
            <w:r w:rsidRPr="002C61AA">
              <w:rPr>
                <w:rFonts w:ascii="Times New Roman" w:eastAsia="Times New Roman" w:hAnsi="Times New Roman" w:cs="Times New Roman"/>
                <w:bCs/>
                <w:sz w:val="24"/>
                <w:szCs w:val="24"/>
                <w:lang w:val="ro-RO" w:eastAsia="ru-RU"/>
              </w:rPr>
              <w:t xml:space="preserve">Regulamentele aprobate prin </w:t>
            </w:r>
            <w:proofErr w:type="spellStart"/>
            <w:r w:rsidRPr="002C61AA">
              <w:rPr>
                <w:rFonts w:ascii="Times New Roman" w:eastAsia="Times New Roman" w:hAnsi="Times New Roman" w:cs="Times New Roman"/>
                <w:bCs/>
                <w:sz w:val="24"/>
                <w:szCs w:val="24"/>
                <w:lang w:val="ro-RO" w:eastAsia="ru-RU"/>
              </w:rPr>
              <w:t>Hotărîrea</w:t>
            </w:r>
            <w:proofErr w:type="spellEnd"/>
            <w:r w:rsidRPr="002C61AA">
              <w:rPr>
                <w:rFonts w:ascii="Times New Roman" w:eastAsia="Times New Roman" w:hAnsi="Times New Roman" w:cs="Times New Roman"/>
                <w:bCs/>
                <w:sz w:val="24"/>
                <w:szCs w:val="24"/>
                <w:lang w:val="ro-RO" w:eastAsia="ru-RU"/>
              </w:rPr>
              <w:t xml:space="preserve"> Guvernului 750/2016, transpun Regulamentele/ Directivele UE de punere în aplicare a Directivei 2009/125/CE, în conformitate cu prevederile de la Anexa VIII a Acordului de Asociere Republica Moldova – Uniunea Europeană, cu excepția Directivei 92/42/CEE a Consiliului din 21 mai 1992 privind cerințele de randament pentru cazanele noi de apă caldă cu combustie lichidă sau gazoasă, a cărei prevederi se regăsesc în </w:t>
            </w:r>
            <w:proofErr w:type="spellStart"/>
            <w:r w:rsidRPr="002C61AA">
              <w:rPr>
                <w:rFonts w:ascii="Times New Roman" w:eastAsia="Times New Roman" w:hAnsi="Times New Roman" w:cs="Times New Roman"/>
                <w:bCs/>
                <w:sz w:val="24"/>
                <w:szCs w:val="24"/>
                <w:lang w:val="ro-RO" w:eastAsia="ru-RU"/>
              </w:rPr>
              <w:t>Hotărîrea</w:t>
            </w:r>
            <w:proofErr w:type="spellEnd"/>
            <w:r w:rsidRPr="002C61AA">
              <w:rPr>
                <w:rFonts w:ascii="Times New Roman" w:eastAsia="Times New Roman" w:hAnsi="Times New Roman" w:cs="Times New Roman"/>
                <w:bCs/>
                <w:sz w:val="24"/>
                <w:szCs w:val="24"/>
                <w:lang w:val="ro-RO" w:eastAsia="ru-RU"/>
              </w:rPr>
              <w:t xml:space="preserve"> Guvernului nr. 428/2009 cu privire la aprobarea Reglementării tehnice „</w:t>
            </w:r>
            <w:proofErr w:type="spellStart"/>
            <w:r w:rsidRPr="002C61AA">
              <w:rPr>
                <w:rFonts w:ascii="Times New Roman" w:eastAsia="Times New Roman" w:hAnsi="Times New Roman" w:cs="Times New Roman"/>
                <w:bCs/>
                <w:sz w:val="24"/>
                <w:szCs w:val="24"/>
                <w:lang w:val="ro-RO" w:eastAsia="ru-RU"/>
              </w:rPr>
              <w:t>Cerinţe</w:t>
            </w:r>
            <w:proofErr w:type="spellEnd"/>
            <w:r w:rsidRPr="002C61AA">
              <w:rPr>
                <w:rFonts w:ascii="Times New Roman" w:eastAsia="Times New Roman" w:hAnsi="Times New Roman" w:cs="Times New Roman"/>
                <w:bCs/>
                <w:sz w:val="24"/>
                <w:szCs w:val="24"/>
                <w:lang w:val="ro-RO" w:eastAsia="ru-RU"/>
              </w:rPr>
              <w:t xml:space="preserve"> de randament pentru cazanele noi de apă caldă cu combustie lichidă sau gazoasă”.</w:t>
            </w:r>
          </w:p>
          <w:p w14:paraId="722406B9" w14:textId="5FE3AF28" w:rsidR="008A42EA" w:rsidRPr="008A42EA" w:rsidRDefault="002C61AA" w:rsidP="00AF6BA8">
            <w:pPr>
              <w:spacing w:after="120"/>
              <w:jc w:val="both"/>
              <w:rPr>
                <w:rFonts w:ascii="Times New Roman" w:hAnsi="Times New Roman" w:cs="Times New Roman"/>
                <w:sz w:val="24"/>
                <w:szCs w:val="24"/>
                <w:lang w:val="ro-RO"/>
              </w:rPr>
            </w:pPr>
            <w:r w:rsidRPr="002C61AA">
              <w:rPr>
                <w:rFonts w:ascii="Times New Roman" w:eastAsia="Times New Roman" w:hAnsi="Times New Roman" w:cs="Times New Roman"/>
                <w:bCs/>
                <w:sz w:val="24"/>
                <w:szCs w:val="24"/>
                <w:lang w:val="ro-RO" w:eastAsia="ru-RU"/>
              </w:rPr>
              <w:t xml:space="preserve">Astfel, având în vedere că până în prezent majoritatea articolelor ale Directivei 92/42/CEE au fost abrogate și înlocuite cu Regulamentul (UE) nr. 813/2013 a Parlamentului European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a Consiliului în ceea ce </w:t>
            </w:r>
            <w:proofErr w:type="spellStart"/>
            <w:r w:rsidRPr="002C61AA">
              <w:rPr>
                <w:rFonts w:ascii="Times New Roman" w:eastAsia="Times New Roman" w:hAnsi="Times New Roman" w:cs="Times New Roman"/>
                <w:bCs/>
                <w:sz w:val="24"/>
                <w:szCs w:val="24"/>
                <w:lang w:val="ro-RO" w:eastAsia="ru-RU"/>
              </w:rPr>
              <w:t>priveşte</w:t>
            </w:r>
            <w:proofErr w:type="spellEnd"/>
            <w:r w:rsidRPr="002C61AA">
              <w:rPr>
                <w:rFonts w:ascii="Times New Roman" w:eastAsia="Times New Roman" w:hAnsi="Times New Roman" w:cs="Times New Roman"/>
                <w:bCs/>
                <w:sz w:val="24"/>
                <w:szCs w:val="24"/>
                <w:lang w:val="ro-RO" w:eastAsia="ru-RU"/>
              </w:rPr>
              <w:t xml:space="preserve">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de proiectare ecologică pentru </w:t>
            </w:r>
            <w:proofErr w:type="spellStart"/>
            <w:r w:rsidRPr="002C61AA">
              <w:rPr>
                <w:rFonts w:ascii="Times New Roman" w:eastAsia="Times New Roman" w:hAnsi="Times New Roman" w:cs="Times New Roman"/>
                <w:bCs/>
                <w:sz w:val="24"/>
                <w:szCs w:val="24"/>
                <w:lang w:val="ro-RO" w:eastAsia="ru-RU"/>
              </w:rPr>
              <w:t>instalaţiile</w:t>
            </w:r>
            <w:proofErr w:type="spellEnd"/>
            <w:r w:rsidRPr="002C61AA">
              <w:rPr>
                <w:rFonts w:ascii="Times New Roman" w:eastAsia="Times New Roman" w:hAnsi="Times New Roman" w:cs="Times New Roman"/>
                <w:bCs/>
                <w:sz w:val="24"/>
                <w:szCs w:val="24"/>
                <w:lang w:val="ro-RO" w:eastAsia="ru-RU"/>
              </w:rPr>
              <w:t xml:space="preserve"> pentru încălzirea incintelor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w:t>
            </w:r>
            <w:proofErr w:type="spellStart"/>
            <w:r w:rsidRPr="002C61AA">
              <w:rPr>
                <w:rFonts w:ascii="Times New Roman" w:eastAsia="Times New Roman" w:hAnsi="Times New Roman" w:cs="Times New Roman"/>
                <w:bCs/>
                <w:sz w:val="24"/>
                <w:szCs w:val="24"/>
                <w:lang w:val="ro-RO" w:eastAsia="ru-RU"/>
              </w:rPr>
              <w:t>instalaţiil</w:t>
            </w:r>
            <w:r w:rsidR="00D80DDB">
              <w:rPr>
                <w:rFonts w:ascii="Times New Roman" w:eastAsia="Times New Roman" w:hAnsi="Times New Roman" w:cs="Times New Roman"/>
                <w:bCs/>
                <w:sz w:val="24"/>
                <w:szCs w:val="24"/>
                <w:lang w:val="ro-RO" w:eastAsia="ru-RU"/>
              </w:rPr>
              <w:t>e</w:t>
            </w:r>
            <w:proofErr w:type="spellEnd"/>
            <w:r w:rsidR="00D80DDB">
              <w:rPr>
                <w:rFonts w:ascii="Times New Roman" w:eastAsia="Times New Roman" w:hAnsi="Times New Roman" w:cs="Times New Roman"/>
                <w:bCs/>
                <w:sz w:val="24"/>
                <w:szCs w:val="24"/>
                <w:lang w:val="ro-RO" w:eastAsia="ru-RU"/>
              </w:rPr>
              <w:t xml:space="preserve"> de încălzire cu </w:t>
            </w:r>
            <w:proofErr w:type="spellStart"/>
            <w:r w:rsidR="00D80DDB">
              <w:rPr>
                <w:rFonts w:ascii="Times New Roman" w:eastAsia="Times New Roman" w:hAnsi="Times New Roman" w:cs="Times New Roman"/>
                <w:bCs/>
                <w:sz w:val="24"/>
                <w:szCs w:val="24"/>
                <w:lang w:val="ro-RO" w:eastAsia="ru-RU"/>
              </w:rPr>
              <w:t>funcţie</w:t>
            </w:r>
            <w:proofErr w:type="spellEnd"/>
            <w:r w:rsidR="00D80DDB">
              <w:rPr>
                <w:rFonts w:ascii="Times New Roman" w:eastAsia="Times New Roman" w:hAnsi="Times New Roman" w:cs="Times New Roman"/>
                <w:bCs/>
                <w:sz w:val="24"/>
                <w:szCs w:val="24"/>
                <w:lang w:val="ro-RO" w:eastAsia="ru-RU"/>
              </w:rPr>
              <w:t xml:space="preserve"> dublă</w:t>
            </w:r>
            <w:r w:rsidRPr="002C61AA">
              <w:rPr>
                <w:rFonts w:ascii="Times New Roman" w:eastAsia="Times New Roman" w:hAnsi="Times New Roman" w:cs="Times New Roman"/>
                <w:bCs/>
                <w:sz w:val="24"/>
                <w:szCs w:val="24"/>
                <w:lang w:val="ro-RO" w:eastAsia="ru-RU"/>
              </w:rPr>
              <w:t xml:space="preserve"> și reieșind din prevederile pct. 2 al </w:t>
            </w:r>
            <w:proofErr w:type="spellStart"/>
            <w:r w:rsidRPr="002C61AA">
              <w:rPr>
                <w:rFonts w:ascii="Times New Roman" w:eastAsia="Times New Roman" w:hAnsi="Times New Roman" w:cs="Times New Roman"/>
                <w:bCs/>
                <w:sz w:val="24"/>
                <w:szCs w:val="24"/>
                <w:lang w:val="ro-RO" w:eastAsia="ru-RU"/>
              </w:rPr>
              <w:t>Hotărîrii</w:t>
            </w:r>
            <w:proofErr w:type="spellEnd"/>
            <w:r w:rsidRPr="002C61AA">
              <w:rPr>
                <w:rFonts w:ascii="Times New Roman" w:eastAsia="Times New Roman" w:hAnsi="Times New Roman" w:cs="Times New Roman"/>
                <w:bCs/>
                <w:sz w:val="24"/>
                <w:szCs w:val="24"/>
                <w:lang w:val="ro-RO" w:eastAsia="ru-RU"/>
              </w:rPr>
              <w:t xml:space="preserve"> Guvernului nr. 750/2016 prin care „</w:t>
            </w:r>
            <w:r w:rsidRPr="002C61AA">
              <w:rPr>
                <w:rFonts w:ascii="Calibri" w:eastAsia="Calibri" w:hAnsi="Calibri" w:cs="Times New Roman"/>
                <w:lang w:val="ro-RO"/>
              </w:rPr>
              <w:t xml:space="preserve"> </w:t>
            </w:r>
            <w:r w:rsidRPr="002C61AA">
              <w:rPr>
                <w:rFonts w:ascii="Times New Roman" w:eastAsia="Times New Roman" w:hAnsi="Times New Roman" w:cs="Times New Roman"/>
                <w:bCs/>
                <w:sz w:val="24"/>
                <w:szCs w:val="24"/>
                <w:lang w:val="ro-RO" w:eastAsia="ru-RU"/>
              </w:rPr>
              <w:t xml:space="preserve">Ministerul Economiei </w:t>
            </w:r>
            <w:proofErr w:type="spellStart"/>
            <w:r w:rsidRPr="002C61AA">
              <w:rPr>
                <w:rFonts w:ascii="Times New Roman" w:eastAsia="Times New Roman" w:hAnsi="Times New Roman" w:cs="Times New Roman"/>
                <w:bCs/>
                <w:sz w:val="24"/>
                <w:szCs w:val="24"/>
                <w:lang w:val="ro-RO" w:eastAsia="ru-RU"/>
              </w:rPr>
              <w:t>şi</w:t>
            </w:r>
            <w:proofErr w:type="spellEnd"/>
            <w:r w:rsidRPr="002C61AA">
              <w:rPr>
                <w:rFonts w:ascii="Times New Roman" w:eastAsia="Times New Roman" w:hAnsi="Times New Roman" w:cs="Times New Roman"/>
                <w:bCs/>
                <w:sz w:val="24"/>
                <w:szCs w:val="24"/>
                <w:lang w:val="ro-RO" w:eastAsia="ru-RU"/>
              </w:rPr>
              <w:t xml:space="preserve"> Infrastructurii va prezenta Guvernului propuneri privind revizuirea prezentei </w:t>
            </w:r>
            <w:proofErr w:type="spellStart"/>
            <w:r w:rsidRPr="002C61AA">
              <w:rPr>
                <w:rFonts w:ascii="Times New Roman" w:eastAsia="Times New Roman" w:hAnsi="Times New Roman" w:cs="Times New Roman"/>
                <w:bCs/>
                <w:sz w:val="24"/>
                <w:szCs w:val="24"/>
                <w:lang w:val="ro-RO" w:eastAsia="ru-RU"/>
              </w:rPr>
              <w:t>hotărîri</w:t>
            </w:r>
            <w:proofErr w:type="spellEnd"/>
            <w:r w:rsidRPr="002C61AA">
              <w:rPr>
                <w:rFonts w:ascii="Times New Roman" w:eastAsia="Times New Roman" w:hAnsi="Times New Roman" w:cs="Times New Roman"/>
                <w:bCs/>
                <w:sz w:val="24"/>
                <w:szCs w:val="24"/>
                <w:lang w:val="ro-RO" w:eastAsia="ru-RU"/>
              </w:rPr>
              <w:t xml:space="preserve"> în </w:t>
            </w:r>
            <w:proofErr w:type="spellStart"/>
            <w:r w:rsidRPr="002C61AA">
              <w:rPr>
                <w:rFonts w:ascii="Times New Roman" w:eastAsia="Times New Roman" w:hAnsi="Times New Roman" w:cs="Times New Roman"/>
                <w:bCs/>
                <w:sz w:val="24"/>
                <w:szCs w:val="24"/>
                <w:lang w:val="ro-RO" w:eastAsia="ru-RU"/>
              </w:rPr>
              <w:t>funcţie</w:t>
            </w:r>
            <w:proofErr w:type="spellEnd"/>
            <w:r w:rsidRPr="002C61AA">
              <w:rPr>
                <w:rFonts w:ascii="Times New Roman" w:eastAsia="Times New Roman" w:hAnsi="Times New Roman" w:cs="Times New Roman"/>
                <w:bCs/>
                <w:sz w:val="24"/>
                <w:szCs w:val="24"/>
                <w:lang w:val="ro-RO" w:eastAsia="ru-RU"/>
              </w:rPr>
              <w:t xml:space="preserve"> de progresele tehnologice” a fost elaborat proiectul </w:t>
            </w:r>
            <w:proofErr w:type="spellStart"/>
            <w:r w:rsidRPr="002C61AA">
              <w:rPr>
                <w:rFonts w:ascii="Times New Roman" w:eastAsia="Times New Roman" w:hAnsi="Times New Roman" w:cs="Times New Roman"/>
                <w:bCs/>
                <w:sz w:val="24"/>
                <w:szCs w:val="24"/>
                <w:lang w:val="ro-RO" w:eastAsia="ru-RU"/>
              </w:rPr>
              <w:t>Hotărîrii</w:t>
            </w:r>
            <w:proofErr w:type="spellEnd"/>
            <w:r w:rsidRPr="002C61AA">
              <w:rPr>
                <w:rFonts w:ascii="Times New Roman" w:eastAsia="Times New Roman" w:hAnsi="Times New Roman" w:cs="Times New Roman"/>
                <w:bCs/>
                <w:sz w:val="24"/>
                <w:szCs w:val="24"/>
                <w:lang w:val="ro-RO" w:eastAsia="ru-RU"/>
              </w:rPr>
              <w:t xml:space="preserve"> Guvernului cu privire la modificarea </w:t>
            </w:r>
            <w:proofErr w:type="spellStart"/>
            <w:r w:rsidRPr="002C61AA">
              <w:rPr>
                <w:rFonts w:ascii="Times New Roman" w:eastAsia="Times New Roman" w:hAnsi="Times New Roman" w:cs="Times New Roman"/>
                <w:bCs/>
                <w:sz w:val="24"/>
                <w:szCs w:val="24"/>
                <w:lang w:val="ro-RO" w:eastAsia="ru-RU"/>
              </w:rPr>
              <w:t>Hotărîrii</w:t>
            </w:r>
            <w:proofErr w:type="spellEnd"/>
            <w:r w:rsidRPr="002C61AA">
              <w:rPr>
                <w:rFonts w:ascii="Times New Roman" w:eastAsia="Times New Roman" w:hAnsi="Times New Roman" w:cs="Times New Roman"/>
                <w:bCs/>
                <w:sz w:val="24"/>
                <w:szCs w:val="24"/>
                <w:lang w:val="ro-RO" w:eastAsia="ru-RU"/>
              </w:rPr>
              <w:t xml:space="preserve"> Guvernului nr. 750/2016 pentru aprobarea regulamentelor privind </w:t>
            </w:r>
            <w:proofErr w:type="spellStart"/>
            <w:r w:rsidRPr="002C61AA">
              <w:rPr>
                <w:rFonts w:ascii="Times New Roman" w:eastAsia="Times New Roman" w:hAnsi="Times New Roman" w:cs="Times New Roman"/>
                <w:bCs/>
                <w:sz w:val="24"/>
                <w:szCs w:val="24"/>
                <w:lang w:val="ro-RO" w:eastAsia="ru-RU"/>
              </w:rPr>
              <w:t>cerinţele</w:t>
            </w:r>
            <w:proofErr w:type="spellEnd"/>
            <w:r w:rsidRPr="002C61AA">
              <w:rPr>
                <w:rFonts w:ascii="Times New Roman" w:eastAsia="Times New Roman" w:hAnsi="Times New Roman" w:cs="Times New Roman"/>
                <w:bCs/>
                <w:sz w:val="24"/>
                <w:szCs w:val="24"/>
                <w:lang w:val="ro-RO" w:eastAsia="ru-RU"/>
              </w:rPr>
              <w:t xml:space="preserve"> în materie de proiectare ecologică aplicabile produselor cu impact </w:t>
            </w:r>
            <w:r w:rsidRPr="002C61AA">
              <w:rPr>
                <w:rFonts w:ascii="Times New Roman" w:eastAsia="Times New Roman" w:hAnsi="Times New Roman" w:cs="Times New Roman"/>
                <w:bCs/>
                <w:sz w:val="24"/>
                <w:szCs w:val="24"/>
                <w:lang w:val="ro-RO" w:eastAsia="ru-RU"/>
              </w:rPr>
              <w:lastRenderedPageBreak/>
              <w:t>energetic și ab</w:t>
            </w:r>
            <w:r w:rsidR="00A36E7A">
              <w:rPr>
                <w:rFonts w:ascii="Times New Roman" w:eastAsia="Times New Roman" w:hAnsi="Times New Roman" w:cs="Times New Roman"/>
                <w:bCs/>
                <w:sz w:val="24"/>
                <w:szCs w:val="24"/>
                <w:lang w:val="ro-RO" w:eastAsia="ru-RU"/>
              </w:rPr>
              <w:t xml:space="preserve">rogarea unei hotărâri de guvern care vine să stabilească, prin introducerea anexei nr. 18 la </w:t>
            </w:r>
            <w:proofErr w:type="spellStart"/>
            <w:r w:rsidR="00A36E7A">
              <w:rPr>
                <w:rFonts w:ascii="Times New Roman" w:eastAsia="Times New Roman" w:hAnsi="Times New Roman" w:cs="Times New Roman"/>
                <w:bCs/>
                <w:sz w:val="24"/>
                <w:szCs w:val="24"/>
                <w:lang w:val="ro-RO" w:eastAsia="ru-RU"/>
              </w:rPr>
              <w:t>Hotărîre</w:t>
            </w:r>
            <w:proofErr w:type="spellEnd"/>
            <w:r w:rsidR="00A36E7A">
              <w:rPr>
                <w:rFonts w:ascii="Times New Roman" w:eastAsia="Times New Roman" w:hAnsi="Times New Roman" w:cs="Times New Roman"/>
                <w:bCs/>
                <w:sz w:val="24"/>
                <w:szCs w:val="24"/>
                <w:lang w:val="ro-RO" w:eastAsia="ru-RU"/>
              </w:rPr>
              <w:t>, noi cerințe de proiectare ecologică</w:t>
            </w:r>
            <w:r w:rsidR="00AF6BA8">
              <w:rPr>
                <w:rFonts w:ascii="Times New Roman" w:hAnsi="Times New Roman" w:cs="Times New Roman"/>
                <w:sz w:val="24"/>
                <w:szCs w:val="24"/>
                <w:lang w:val="en-US"/>
              </w:rPr>
              <w:t xml:space="preserve"> a</w:t>
            </w:r>
            <w:r w:rsidR="003F612C">
              <w:rPr>
                <w:rFonts w:ascii="Times New Roman" w:hAnsi="Times New Roman" w:cs="Times New Roman"/>
                <w:sz w:val="24"/>
                <w:szCs w:val="24"/>
                <w:lang w:val="en-US"/>
              </w:rPr>
              <w:t xml:space="preserve"> </w:t>
            </w:r>
            <w:r w:rsidR="003F612C">
              <w:rPr>
                <w:rFonts w:ascii="Times New Roman" w:eastAsia="Times New Roman" w:hAnsi="Times New Roman" w:cs="Times New Roman"/>
                <w:bCs/>
                <w:sz w:val="24"/>
                <w:szCs w:val="24"/>
                <w:lang w:val="ro-RO" w:eastAsia="ru-RU"/>
              </w:rPr>
              <w:t>aplicabile instalațiilor</w:t>
            </w:r>
            <w:r w:rsidR="003F612C" w:rsidRPr="00283E66">
              <w:rPr>
                <w:rFonts w:ascii="Times New Roman" w:eastAsia="Times New Roman" w:hAnsi="Times New Roman" w:cs="Times New Roman"/>
                <w:bCs/>
                <w:sz w:val="24"/>
                <w:szCs w:val="24"/>
                <w:lang w:val="ro-RO" w:eastAsia="ru-RU"/>
              </w:rPr>
              <w:t xml:space="preserve"> pentru încăl</w:t>
            </w:r>
            <w:r w:rsidR="003F612C">
              <w:rPr>
                <w:rFonts w:ascii="Times New Roman" w:eastAsia="Times New Roman" w:hAnsi="Times New Roman" w:cs="Times New Roman"/>
                <w:bCs/>
                <w:sz w:val="24"/>
                <w:szCs w:val="24"/>
                <w:lang w:val="ro-RO" w:eastAsia="ru-RU"/>
              </w:rPr>
              <w:t xml:space="preserve">zirea incintelor </w:t>
            </w:r>
            <w:proofErr w:type="spellStart"/>
            <w:r w:rsidR="003F612C">
              <w:rPr>
                <w:rFonts w:ascii="Times New Roman" w:eastAsia="Times New Roman" w:hAnsi="Times New Roman" w:cs="Times New Roman"/>
                <w:bCs/>
                <w:sz w:val="24"/>
                <w:szCs w:val="24"/>
                <w:lang w:val="ro-RO" w:eastAsia="ru-RU"/>
              </w:rPr>
              <w:t>şi</w:t>
            </w:r>
            <w:proofErr w:type="spellEnd"/>
            <w:r w:rsidR="003F612C">
              <w:rPr>
                <w:rFonts w:ascii="Times New Roman" w:eastAsia="Times New Roman" w:hAnsi="Times New Roman" w:cs="Times New Roman"/>
                <w:bCs/>
                <w:sz w:val="24"/>
                <w:szCs w:val="24"/>
                <w:lang w:val="ro-RO" w:eastAsia="ru-RU"/>
              </w:rPr>
              <w:t xml:space="preserve"> </w:t>
            </w:r>
            <w:r w:rsidR="00181011">
              <w:rPr>
                <w:rFonts w:ascii="Times New Roman" w:eastAsia="Times New Roman" w:hAnsi="Times New Roman" w:cs="Times New Roman"/>
                <w:bCs/>
                <w:sz w:val="24"/>
                <w:szCs w:val="24"/>
                <w:lang w:val="ro-RO" w:eastAsia="ru-RU"/>
              </w:rPr>
              <w:t>instalațiilor</w:t>
            </w:r>
            <w:r w:rsidR="003F612C" w:rsidRPr="00283E66">
              <w:rPr>
                <w:rFonts w:ascii="Times New Roman" w:eastAsia="Times New Roman" w:hAnsi="Times New Roman" w:cs="Times New Roman"/>
                <w:bCs/>
                <w:sz w:val="24"/>
                <w:szCs w:val="24"/>
                <w:lang w:val="ro-RO" w:eastAsia="ru-RU"/>
              </w:rPr>
              <w:t xml:space="preserve"> de încălzire cu </w:t>
            </w:r>
            <w:proofErr w:type="spellStart"/>
            <w:r w:rsidR="003F612C" w:rsidRPr="00283E66">
              <w:rPr>
                <w:rFonts w:ascii="Times New Roman" w:eastAsia="Times New Roman" w:hAnsi="Times New Roman" w:cs="Times New Roman"/>
                <w:bCs/>
                <w:sz w:val="24"/>
                <w:szCs w:val="24"/>
                <w:lang w:val="ro-RO" w:eastAsia="ru-RU"/>
              </w:rPr>
              <w:t>funcţie</w:t>
            </w:r>
            <w:proofErr w:type="spellEnd"/>
            <w:r w:rsidR="003F612C" w:rsidRPr="00283E66">
              <w:rPr>
                <w:rFonts w:ascii="Times New Roman" w:eastAsia="Times New Roman" w:hAnsi="Times New Roman" w:cs="Times New Roman"/>
                <w:bCs/>
                <w:sz w:val="24"/>
                <w:szCs w:val="24"/>
                <w:lang w:val="ro-RO" w:eastAsia="ru-RU"/>
              </w:rPr>
              <w:t xml:space="preserve"> dublă</w:t>
            </w:r>
            <w:r w:rsidR="003F612C">
              <w:rPr>
                <w:rFonts w:ascii="Times New Roman" w:eastAsia="Times New Roman" w:hAnsi="Times New Roman" w:cs="Times New Roman"/>
                <w:bCs/>
                <w:sz w:val="24"/>
                <w:szCs w:val="24"/>
                <w:lang w:val="ro-RO" w:eastAsia="ru-RU"/>
              </w:rPr>
              <w:t xml:space="preserve"> și criterii la</w:t>
            </w:r>
            <w:r w:rsidR="003F612C">
              <w:rPr>
                <w:rFonts w:ascii="Times New Roman" w:hAnsi="Times New Roman" w:cs="Times New Roman"/>
                <w:sz w:val="24"/>
                <w:szCs w:val="24"/>
                <w:lang w:val="ro-RO"/>
              </w:rPr>
              <w:t xml:space="preserve"> evaluare a </w:t>
            </w:r>
            <w:r w:rsidR="008A42EA" w:rsidRPr="008A42EA">
              <w:rPr>
                <w:rFonts w:ascii="Times New Roman" w:hAnsi="Times New Roman" w:cs="Times New Roman"/>
                <w:sz w:val="24"/>
                <w:szCs w:val="24"/>
                <w:lang w:val="ro-RO"/>
              </w:rPr>
              <w:t>produselor conform procedurilor unificate și, ca urmare, produsele plasate pe piață să nu prezinte pericol pentru viața, sănătatea oamenilor, să nu aducă pagubă proprietății consumatorilor.</w:t>
            </w:r>
          </w:p>
          <w:p w14:paraId="6B22CD1B" w14:textId="77777777" w:rsidR="008A42EA" w:rsidRPr="008A42EA" w:rsidRDefault="008A42EA" w:rsidP="008A42EA">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 xml:space="preserve">Coordonarea activității de elaborare a politicii de stat pentru domeniul evaluării conformității la nivel orizontal aparține Ministerului Economiei și Infrastructurii, însă stabilirea regulilor și procedurilor de evaluare a conformității prin reglementări tehnice este atribuită fiecărui organ central de specialitate pentru domeniile gestionate. În domeniul industriei stabilirea regulilor și procedurilor de evaluare a conformității sunt atribuite  Ministerului Economiei și Infrastructurii. </w:t>
            </w:r>
          </w:p>
          <w:p w14:paraId="31238636" w14:textId="77777777" w:rsidR="008A42EA" w:rsidRPr="008A42EA" w:rsidRDefault="008A42EA" w:rsidP="008A42EA">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O atenție deosebită o prezintă faptul că cadrul legal existent deja prevede cerințe, care trebuie să se satisfacă, în vederea punerii la dispoziție pe piață și/sau punerii în funcțiune a aparatelor consumatoare de combustibili lichizi gazoși, pentru a asigura un nivel ridicat de protecție a bunurilor și intereselor publice, cum ar fi sănătatea și siguranța persoanelor și să garanteze o concurență loială pe piață. Aceste cerințe sunt stipulate în Hotărârea Guvernului nr. 1089 din 26.09.2008 ”Cu privire la aprobarea  Reglementării tehnice ”Aparate consumatoare de combustibili gazoși” (Monitorul Oficial al Republicii Moldova 182/1112 din 07.10.2008). Această Hotărâre de Guvern a transpus parțial Directiva 90/396/CEE a Parlamentului și Consiliului European din 29 iunie 1990 referitoare la aparatele consumatoare de combustibili gazoși, precum și Hotărârea Guvernului Nr. 428 din 15-07-2009 cu privire la aprobarea Reglementării tehnice „Cerințe de randament pentru cazanele noi de apă caldă cu combustie lichidă sau gazoasă”.</w:t>
            </w:r>
          </w:p>
          <w:p w14:paraId="6011E141" w14:textId="7AE7BFAB" w:rsidR="008A42EA" w:rsidRPr="008A42EA" w:rsidRDefault="008A42EA" w:rsidP="008A42EA">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Totodată, este de menționat faptul că domeniul</w:t>
            </w:r>
            <w:r w:rsidR="00FC07ED">
              <w:rPr>
                <w:rFonts w:ascii="Times New Roman" w:hAnsi="Times New Roman" w:cs="Times New Roman"/>
                <w:sz w:val="24"/>
                <w:szCs w:val="24"/>
                <w:lang w:val="ro-RO"/>
              </w:rPr>
              <w:t xml:space="preserve"> </w:t>
            </w:r>
            <w:proofErr w:type="spellStart"/>
            <w:r w:rsidR="00FC07ED">
              <w:rPr>
                <w:rFonts w:ascii="Times New Roman" w:eastAsia="Times New Roman" w:hAnsi="Times New Roman" w:cs="Times New Roman"/>
                <w:bCs/>
                <w:sz w:val="24"/>
                <w:szCs w:val="24"/>
                <w:lang w:val="ro-RO" w:eastAsia="ru-RU"/>
              </w:rPr>
              <w:t>cerinţelor</w:t>
            </w:r>
            <w:proofErr w:type="spellEnd"/>
            <w:r w:rsidR="00FC07ED" w:rsidRPr="002C61AA">
              <w:rPr>
                <w:rFonts w:ascii="Times New Roman" w:eastAsia="Times New Roman" w:hAnsi="Times New Roman" w:cs="Times New Roman"/>
                <w:bCs/>
                <w:sz w:val="24"/>
                <w:szCs w:val="24"/>
                <w:lang w:val="ro-RO" w:eastAsia="ru-RU"/>
              </w:rPr>
              <w:t xml:space="preserve"> de proiectare ecologică pentru </w:t>
            </w:r>
            <w:proofErr w:type="spellStart"/>
            <w:r w:rsidR="00FC07ED" w:rsidRPr="002C61AA">
              <w:rPr>
                <w:rFonts w:ascii="Times New Roman" w:eastAsia="Times New Roman" w:hAnsi="Times New Roman" w:cs="Times New Roman"/>
                <w:bCs/>
                <w:sz w:val="24"/>
                <w:szCs w:val="24"/>
                <w:lang w:val="ro-RO" w:eastAsia="ru-RU"/>
              </w:rPr>
              <w:t>instalaţiile</w:t>
            </w:r>
            <w:proofErr w:type="spellEnd"/>
            <w:r w:rsidR="00FC07ED" w:rsidRPr="002C61AA">
              <w:rPr>
                <w:rFonts w:ascii="Times New Roman" w:eastAsia="Times New Roman" w:hAnsi="Times New Roman" w:cs="Times New Roman"/>
                <w:bCs/>
                <w:sz w:val="24"/>
                <w:szCs w:val="24"/>
                <w:lang w:val="ro-RO" w:eastAsia="ru-RU"/>
              </w:rPr>
              <w:t xml:space="preserve"> pentru încălzirea incintelor </w:t>
            </w:r>
            <w:proofErr w:type="spellStart"/>
            <w:r w:rsidR="00FC07ED" w:rsidRPr="002C61AA">
              <w:rPr>
                <w:rFonts w:ascii="Times New Roman" w:eastAsia="Times New Roman" w:hAnsi="Times New Roman" w:cs="Times New Roman"/>
                <w:bCs/>
                <w:sz w:val="24"/>
                <w:szCs w:val="24"/>
                <w:lang w:val="ro-RO" w:eastAsia="ru-RU"/>
              </w:rPr>
              <w:t>şi</w:t>
            </w:r>
            <w:proofErr w:type="spellEnd"/>
            <w:r w:rsidR="00FC07ED" w:rsidRPr="002C61AA">
              <w:rPr>
                <w:rFonts w:ascii="Times New Roman" w:eastAsia="Times New Roman" w:hAnsi="Times New Roman" w:cs="Times New Roman"/>
                <w:bCs/>
                <w:sz w:val="24"/>
                <w:szCs w:val="24"/>
                <w:lang w:val="ro-RO" w:eastAsia="ru-RU"/>
              </w:rPr>
              <w:t xml:space="preserve"> </w:t>
            </w:r>
            <w:proofErr w:type="spellStart"/>
            <w:r w:rsidR="00FC07ED" w:rsidRPr="002C61AA">
              <w:rPr>
                <w:rFonts w:ascii="Times New Roman" w:eastAsia="Times New Roman" w:hAnsi="Times New Roman" w:cs="Times New Roman"/>
                <w:bCs/>
                <w:sz w:val="24"/>
                <w:szCs w:val="24"/>
                <w:lang w:val="ro-RO" w:eastAsia="ru-RU"/>
              </w:rPr>
              <w:t>instalaţiil</w:t>
            </w:r>
            <w:r w:rsidR="00FC07ED">
              <w:rPr>
                <w:rFonts w:ascii="Times New Roman" w:eastAsia="Times New Roman" w:hAnsi="Times New Roman" w:cs="Times New Roman"/>
                <w:bCs/>
                <w:sz w:val="24"/>
                <w:szCs w:val="24"/>
                <w:lang w:val="ro-RO" w:eastAsia="ru-RU"/>
              </w:rPr>
              <w:t>e</w:t>
            </w:r>
            <w:proofErr w:type="spellEnd"/>
            <w:r w:rsidR="00FC07ED">
              <w:rPr>
                <w:rFonts w:ascii="Times New Roman" w:eastAsia="Times New Roman" w:hAnsi="Times New Roman" w:cs="Times New Roman"/>
                <w:bCs/>
                <w:sz w:val="24"/>
                <w:szCs w:val="24"/>
                <w:lang w:val="ro-RO" w:eastAsia="ru-RU"/>
              </w:rPr>
              <w:t xml:space="preserve"> de încălzire cu </w:t>
            </w:r>
            <w:proofErr w:type="spellStart"/>
            <w:r w:rsidR="00FC07ED">
              <w:rPr>
                <w:rFonts w:ascii="Times New Roman" w:eastAsia="Times New Roman" w:hAnsi="Times New Roman" w:cs="Times New Roman"/>
                <w:bCs/>
                <w:sz w:val="24"/>
                <w:szCs w:val="24"/>
                <w:lang w:val="ro-RO" w:eastAsia="ru-RU"/>
              </w:rPr>
              <w:t>funcţie</w:t>
            </w:r>
            <w:proofErr w:type="spellEnd"/>
            <w:r w:rsidR="00FC07ED">
              <w:rPr>
                <w:rFonts w:ascii="Times New Roman" w:eastAsia="Times New Roman" w:hAnsi="Times New Roman" w:cs="Times New Roman"/>
                <w:bCs/>
                <w:sz w:val="24"/>
                <w:szCs w:val="24"/>
                <w:lang w:val="ro-RO" w:eastAsia="ru-RU"/>
              </w:rPr>
              <w:t xml:space="preserve"> dublă</w:t>
            </w:r>
            <w:r w:rsidRPr="008A42EA">
              <w:rPr>
                <w:rFonts w:ascii="Times New Roman" w:hAnsi="Times New Roman" w:cs="Times New Roman"/>
                <w:sz w:val="24"/>
                <w:szCs w:val="24"/>
                <w:lang w:val="ro-RO"/>
              </w:rPr>
              <w:t xml:space="preserve"> este reglementat de un șir de legi, care prevăd cerințe față de produse, cum ar fi:</w:t>
            </w:r>
          </w:p>
          <w:p w14:paraId="3DEABC8C" w14:textId="2DC9E2D8" w:rsidR="008A42EA" w:rsidRPr="008A42EA" w:rsidRDefault="008A42EA" w:rsidP="0015359B">
            <w:pPr>
              <w:spacing w:after="120"/>
              <w:jc w:val="both"/>
              <w:rPr>
                <w:rFonts w:ascii="Times New Roman" w:hAnsi="Times New Roman" w:cs="Times New Roman"/>
                <w:sz w:val="24"/>
                <w:szCs w:val="24"/>
                <w:lang w:val="ro-RO"/>
              </w:rPr>
            </w:pPr>
            <w:r w:rsidRPr="008A42EA">
              <w:rPr>
                <w:rFonts w:ascii="Times New Roman" w:hAnsi="Times New Roman" w:cs="Times New Roman"/>
                <w:sz w:val="24"/>
                <w:szCs w:val="24"/>
                <w:lang w:val="ro-RO"/>
              </w:rPr>
              <w:t xml:space="preserve">- </w:t>
            </w:r>
            <w:r w:rsidRPr="008A42EA">
              <w:rPr>
                <w:rFonts w:ascii="Times New Roman" w:hAnsi="Times New Roman" w:cs="Times New Roman"/>
                <w:i/>
                <w:iCs/>
                <w:sz w:val="24"/>
                <w:szCs w:val="24"/>
                <w:lang w:val="ro-RO"/>
              </w:rPr>
              <w:t>Legea nr.420</w:t>
            </w:r>
            <w:r w:rsidR="00EA2B1F">
              <w:rPr>
                <w:rFonts w:ascii="Times New Roman" w:hAnsi="Times New Roman" w:cs="Times New Roman"/>
                <w:i/>
                <w:iCs/>
                <w:sz w:val="24"/>
                <w:szCs w:val="24"/>
                <w:lang w:val="ro-RO"/>
              </w:rPr>
              <w:t>/</w:t>
            </w:r>
            <w:r w:rsidRPr="008A42EA">
              <w:rPr>
                <w:rFonts w:ascii="Times New Roman" w:hAnsi="Times New Roman" w:cs="Times New Roman"/>
                <w:i/>
                <w:iCs/>
                <w:sz w:val="24"/>
                <w:szCs w:val="24"/>
                <w:lang w:val="ro-RO"/>
              </w:rPr>
              <w:t>2006 privind activitatea de reglementare tehnică</w:t>
            </w:r>
            <w:r w:rsidR="0015359B">
              <w:rPr>
                <w:rFonts w:ascii="Times New Roman" w:hAnsi="Times New Roman" w:cs="Times New Roman"/>
                <w:sz w:val="24"/>
                <w:szCs w:val="24"/>
                <w:lang w:val="ro-RO"/>
              </w:rPr>
              <w:t>;</w:t>
            </w:r>
          </w:p>
          <w:p w14:paraId="3B763FDA" w14:textId="7D62D116" w:rsidR="00EA2B1F" w:rsidRDefault="008A42EA" w:rsidP="0015359B">
            <w:pPr>
              <w:spacing w:after="120"/>
              <w:jc w:val="both"/>
              <w:rPr>
                <w:rFonts w:ascii="Times New Roman" w:hAnsi="Times New Roman" w:cs="Times New Roman"/>
                <w:i/>
                <w:iCs/>
                <w:sz w:val="24"/>
                <w:szCs w:val="24"/>
                <w:lang w:val="ro-RO"/>
              </w:rPr>
            </w:pPr>
            <w:r w:rsidRPr="008A42EA">
              <w:rPr>
                <w:rFonts w:ascii="Times New Roman" w:hAnsi="Times New Roman" w:cs="Times New Roman"/>
                <w:sz w:val="24"/>
                <w:szCs w:val="24"/>
                <w:lang w:val="ro-RO"/>
              </w:rPr>
              <w:t xml:space="preserve">- </w:t>
            </w:r>
            <w:r w:rsidR="00EA2B1F">
              <w:rPr>
                <w:rFonts w:ascii="Times New Roman" w:hAnsi="Times New Roman" w:cs="Times New Roman"/>
                <w:i/>
                <w:iCs/>
                <w:sz w:val="24"/>
                <w:szCs w:val="24"/>
                <w:lang w:val="ro-RO"/>
              </w:rPr>
              <w:t>Legea nr.235/</w:t>
            </w:r>
            <w:r w:rsidRPr="008A42EA">
              <w:rPr>
                <w:rFonts w:ascii="Times New Roman" w:hAnsi="Times New Roman" w:cs="Times New Roman"/>
                <w:i/>
                <w:iCs/>
                <w:sz w:val="24"/>
                <w:szCs w:val="24"/>
                <w:lang w:val="ro-RO"/>
              </w:rPr>
              <w:t>2011 privind activitățile de acreditare si de evaluare a conformității</w:t>
            </w:r>
            <w:r w:rsidR="00EA2B1F">
              <w:rPr>
                <w:rFonts w:ascii="Times New Roman" w:hAnsi="Times New Roman" w:cs="Times New Roman"/>
                <w:i/>
                <w:iCs/>
                <w:sz w:val="24"/>
                <w:szCs w:val="24"/>
                <w:lang w:val="ro-RO"/>
              </w:rPr>
              <w:t>;</w:t>
            </w:r>
          </w:p>
          <w:p w14:paraId="270B0246" w14:textId="77777777" w:rsidR="00EA2B1F" w:rsidRDefault="00EA2B1F" w:rsidP="00EA2B1F">
            <w:pPr>
              <w:spacing w:after="12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Legea </w:t>
            </w:r>
            <w:r w:rsidR="00FC07ED">
              <w:rPr>
                <w:rFonts w:ascii="Times New Roman" w:hAnsi="Times New Roman" w:cs="Times New Roman"/>
                <w:sz w:val="24"/>
                <w:szCs w:val="24"/>
                <w:lang w:val="ro-RO"/>
              </w:rPr>
              <w:t xml:space="preserve"> </w:t>
            </w:r>
            <w:r>
              <w:rPr>
                <w:rFonts w:ascii="Times New Roman" w:hAnsi="Times New Roman" w:cs="Times New Roman"/>
                <w:sz w:val="24"/>
                <w:szCs w:val="24"/>
                <w:lang w:val="ro-RO"/>
              </w:rPr>
              <w:t>n</w:t>
            </w:r>
            <w:r w:rsidRPr="00EA2B1F">
              <w:rPr>
                <w:rFonts w:ascii="Times New Roman" w:hAnsi="Times New Roman" w:cs="Times New Roman"/>
                <w:sz w:val="24"/>
                <w:szCs w:val="24"/>
                <w:lang w:val="ro-RO"/>
              </w:rPr>
              <w:t>r. 44</w:t>
            </w:r>
            <w:r>
              <w:rPr>
                <w:rFonts w:ascii="Times New Roman" w:hAnsi="Times New Roman" w:cs="Times New Roman"/>
                <w:sz w:val="24"/>
                <w:szCs w:val="24"/>
                <w:lang w:val="ro-RO"/>
              </w:rPr>
              <w:t xml:space="preserve"> /</w:t>
            </w:r>
            <w:r w:rsidRPr="00EA2B1F">
              <w:rPr>
                <w:rFonts w:ascii="Times New Roman" w:hAnsi="Times New Roman" w:cs="Times New Roman"/>
                <w:sz w:val="24"/>
                <w:szCs w:val="24"/>
                <w:lang w:val="ro-RO"/>
              </w:rPr>
              <w:t>2014</w:t>
            </w:r>
            <w:r>
              <w:rPr>
                <w:rFonts w:ascii="Times New Roman" w:hAnsi="Times New Roman" w:cs="Times New Roman"/>
                <w:sz w:val="24"/>
                <w:szCs w:val="24"/>
                <w:lang w:val="ro-RO"/>
              </w:rPr>
              <w:t xml:space="preserve"> </w:t>
            </w:r>
            <w:r w:rsidRPr="00EA2B1F">
              <w:rPr>
                <w:rFonts w:ascii="Times New Roman" w:hAnsi="Times New Roman" w:cs="Times New Roman"/>
                <w:sz w:val="24"/>
                <w:szCs w:val="24"/>
                <w:lang w:val="ro-RO"/>
              </w:rPr>
              <w:t>privind etichetarea produselor cu impact energetic</w:t>
            </w:r>
            <w:r>
              <w:rPr>
                <w:rFonts w:ascii="Times New Roman" w:hAnsi="Times New Roman" w:cs="Times New Roman"/>
                <w:sz w:val="24"/>
                <w:szCs w:val="24"/>
                <w:lang w:val="ro-RO"/>
              </w:rPr>
              <w:t>;</w:t>
            </w:r>
          </w:p>
          <w:p w14:paraId="7CA699D2" w14:textId="0A1B169C" w:rsidR="00EA2B1F" w:rsidRPr="00EA2B1F" w:rsidRDefault="00EA2B1F" w:rsidP="00EA2B1F">
            <w:pPr>
              <w:spacing w:after="12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proofErr w:type="spellStart"/>
            <w:r w:rsidRPr="00D22238">
              <w:rPr>
                <w:rFonts w:ascii="Times New Roman" w:hAnsi="Times New Roman" w:cs="Times New Roman"/>
                <w:i/>
                <w:sz w:val="24"/>
                <w:szCs w:val="24"/>
                <w:lang w:val="en-US"/>
              </w:rPr>
              <w:t>Hotărîrea</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Guvernului</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Nr</w:t>
            </w:r>
            <w:proofErr w:type="spellEnd"/>
            <w:r w:rsidRPr="00D22238">
              <w:rPr>
                <w:rFonts w:ascii="Times New Roman" w:hAnsi="Times New Roman" w:cs="Times New Roman"/>
                <w:i/>
                <w:sz w:val="24"/>
                <w:szCs w:val="24"/>
                <w:lang w:val="en-US"/>
              </w:rPr>
              <w:t xml:space="preserve">. 1003/2014 </w:t>
            </w:r>
            <w:proofErr w:type="spellStart"/>
            <w:r w:rsidRPr="00D22238">
              <w:rPr>
                <w:rFonts w:ascii="Times New Roman" w:hAnsi="Times New Roman" w:cs="Times New Roman"/>
                <w:i/>
                <w:sz w:val="24"/>
                <w:szCs w:val="24"/>
                <w:lang w:val="en-US"/>
              </w:rPr>
              <w:t>pentru</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aprobarea</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regulamentelor</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privind</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cerinţele</w:t>
            </w:r>
            <w:proofErr w:type="spellEnd"/>
            <w:r w:rsidRPr="00D22238">
              <w:rPr>
                <w:rFonts w:ascii="Times New Roman" w:hAnsi="Times New Roman" w:cs="Times New Roman"/>
                <w:i/>
                <w:sz w:val="24"/>
                <w:szCs w:val="24"/>
                <w:lang w:val="en-US"/>
              </w:rPr>
              <w:t xml:space="preserve"> de </w:t>
            </w:r>
            <w:proofErr w:type="spellStart"/>
            <w:r w:rsidRPr="00D22238">
              <w:rPr>
                <w:rFonts w:ascii="Times New Roman" w:hAnsi="Times New Roman" w:cs="Times New Roman"/>
                <w:i/>
                <w:sz w:val="24"/>
                <w:szCs w:val="24"/>
                <w:lang w:val="en-US"/>
              </w:rPr>
              <w:t>etichetare</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energetică</w:t>
            </w:r>
            <w:proofErr w:type="spellEnd"/>
            <w:r w:rsidRPr="00D22238">
              <w:rPr>
                <w:rFonts w:ascii="Times New Roman" w:hAnsi="Times New Roman" w:cs="Times New Roman"/>
                <w:i/>
                <w:sz w:val="24"/>
                <w:szCs w:val="24"/>
                <w:lang w:val="en-US"/>
              </w:rPr>
              <w:t xml:space="preserve"> a </w:t>
            </w:r>
            <w:proofErr w:type="spellStart"/>
            <w:r w:rsidRPr="00D22238">
              <w:rPr>
                <w:rFonts w:ascii="Times New Roman" w:hAnsi="Times New Roman" w:cs="Times New Roman"/>
                <w:i/>
                <w:sz w:val="24"/>
                <w:szCs w:val="24"/>
                <w:lang w:val="en-US"/>
              </w:rPr>
              <w:t>unor</w:t>
            </w:r>
            <w:proofErr w:type="spellEnd"/>
            <w:r w:rsidRPr="00D22238">
              <w:rPr>
                <w:rFonts w:ascii="Times New Roman" w:hAnsi="Times New Roman" w:cs="Times New Roman"/>
                <w:i/>
                <w:sz w:val="24"/>
                <w:szCs w:val="24"/>
                <w:lang w:val="en-US"/>
              </w:rPr>
              <w:t xml:space="preserve"> </w:t>
            </w:r>
            <w:proofErr w:type="spellStart"/>
            <w:r w:rsidRPr="00D22238">
              <w:rPr>
                <w:rFonts w:ascii="Times New Roman" w:hAnsi="Times New Roman" w:cs="Times New Roman"/>
                <w:i/>
                <w:sz w:val="24"/>
                <w:szCs w:val="24"/>
                <w:lang w:val="en-US"/>
              </w:rPr>
              <w:t>produse</w:t>
            </w:r>
            <w:proofErr w:type="spellEnd"/>
            <w:r w:rsidRPr="00D22238">
              <w:rPr>
                <w:rFonts w:ascii="Times New Roman" w:hAnsi="Times New Roman" w:cs="Times New Roman"/>
                <w:i/>
                <w:sz w:val="24"/>
                <w:szCs w:val="24"/>
                <w:lang w:val="en-US"/>
              </w:rPr>
              <w:t xml:space="preserve"> cu impact energetic.</w:t>
            </w:r>
          </w:p>
        </w:tc>
      </w:tr>
      <w:tr w:rsidR="00B468B6" w:rsidRPr="00EB1C0D" w14:paraId="3A2978D0" w14:textId="77777777" w:rsidTr="003319EB">
        <w:trPr>
          <w:jc w:val="center"/>
        </w:trPr>
        <w:tc>
          <w:tcPr>
            <w:tcW w:w="5000" w:type="pct"/>
            <w:gridSpan w:val="2"/>
            <w:shd w:val="clear" w:color="auto" w:fill="auto"/>
            <w:tcMar>
              <w:top w:w="15" w:type="dxa"/>
              <w:left w:w="45" w:type="dxa"/>
              <w:bottom w:w="15" w:type="dxa"/>
              <w:right w:w="45" w:type="dxa"/>
            </w:tcMar>
          </w:tcPr>
          <w:p w14:paraId="16CC641D" w14:textId="05317FC6"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lastRenderedPageBreak/>
              <w:t>2. STABILIREA OBIECTIVELOR</w:t>
            </w:r>
          </w:p>
        </w:tc>
      </w:tr>
      <w:tr w:rsidR="00B468B6" w:rsidRPr="00B76CED" w14:paraId="527B100A" w14:textId="77777777" w:rsidTr="003319EB">
        <w:trPr>
          <w:jc w:val="center"/>
        </w:trPr>
        <w:tc>
          <w:tcPr>
            <w:tcW w:w="5000" w:type="pct"/>
            <w:gridSpan w:val="2"/>
            <w:shd w:val="clear" w:color="auto" w:fill="auto"/>
            <w:tcMar>
              <w:top w:w="15" w:type="dxa"/>
              <w:left w:w="45" w:type="dxa"/>
              <w:bottom w:w="15" w:type="dxa"/>
              <w:right w:w="45" w:type="dxa"/>
            </w:tcMar>
          </w:tcPr>
          <w:p w14:paraId="640C99F4" w14:textId="3812B498"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977C7C"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obiectivele (care trebuie să fie legate direct de problemă </w:t>
            </w:r>
            <w:r w:rsidR="00362FC5"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cauzele acesteia, formulate cuantificat, măsurabil, fixat în timp </w:t>
            </w:r>
            <w:r w:rsidR="00362FC5"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realist)</w:t>
            </w:r>
          </w:p>
        </w:tc>
      </w:tr>
      <w:tr w:rsidR="00B468B6" w:rsidRPr="00B76CED" w14:paraId="6D8C4C0C" w14:textId="77777777" w:rsidTr="003319EB">
        <w:trPr>
          <w:jc w:val="center"/>
        </w:trPr>
        <w:tc>
          <w:tcPr>
            <w:tcW w:w="5000" w:type="pct"/>
            <w:gridSpan w:val="2"/>
            <w:tcMar>
              <w:top w:w="15" w:type="dxa"/>
              <w:left w:w="45" w:type="dxa"/>
              <w:bottom w:w="15" w:type="dxa"/>
              <w:right w:w="45" w:type="dxa"/>
            </w:tcMar>
          </w:tcPr>
          <w:p w14:paraId="5D2FD1AA" w14:textId="77777777" w:rsidR="001C6619" w:rsidRDefault="00DF5BF8" w:rsidP="00DF5BF8">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Cerințele de proiectare </w:t>
            </w:r>
            <w:r w:rsidRPr="00DF5BF8">
              <w:rPr>
                <w:rFonts w:ascii="Times New Roman" w:hAnsi="Times New Roman" w:cs="Times New Roman"/>
                <w:iCs/>
                <w:sz w:val="24"/>
                <w:szCs w:val="24"/>
                <w:lang w:val="ro-RO"/>
              </w:rPr>
              <w:t xml:space="preserve">ecologică pentru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sidRPr="00DF5BF8">
              <w:rPr>
                <w:rFonts w:ascii="Times New Roman" w:hAnsi="Times New Roman" w:cs="Times New Roman"/>
                <w:iCs/>
                <w:sz w:val="24"/>
                <w:szCs w:val="24"/>
                <w:lang w:val="ro-RO"/>
              </w:rPr>
              <w:t xml:space="preserve">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Pr>
                <w:rFonts w:ascii="Times New Roman" w:hAnsi="Times New Roman" w:cs="Times New Roman"/>
                <w:iCs/>
                <w:sz w:val="24"/>
                <w:szCs w:val="24"/>
                <w:lang w:val="ro-RO"/>
              </w:rPr>
              <w:t xml:space="preserve"> sunt stabilite;</w:t>
            </w:r>
          </w:p>
          <w:p w14:paraId="4BAE3978" w14:textId="2741B409" w:rsidR="001B38E1" w:rsidRDefault="001B38E1" w:rsidP="001B38E1">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Cerințele de proiectare </w:t>
            </w:r>
            <w:r w:rsidRPr="00DF5BF8">
              <w:rPr>
                <w:rFonts w:ascii="Times New Roman" w:hAnsi="Times New Roman" w:cs="Times New Roman"/>
                <w:iCs/>
                <w:sz w:val="24"/>
                <w:szCs w:val="24"/>
                <w:lang w:val="ro-RO"/>
              </w:rPr>
              <w:t xml:space="preserve">ecologică pentru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sidRPr="00DF5BF8">
              <w:rPr>
                <w:rFonts w:ascii="Times New Roman" w:hAnsi="Times New Roman" w:cs="Times New Roman"/>
                <w:iCs/>
                <w:sz w:val="24"/>
                <w:szCs w:val="24"/>
                <w:lang w:val="ro-RO"/>
              </w:rPr>
              <w:t xml:space="preserve"> </w:t>
            </w:r>
            <w:proofErr w:type="spellStart"/>
            <w:r w:rsidRPr="00DF5BF8">
              <w:rPr>
                <w:rFonts w:ascii="Times New Roman" w:hAnsi="Times New Roman" w:cs="Times New Roman"/>
                <w:iCs/>
                <w:sz w:val="24"/>
                <w:szCs w:val="24"/>
                <w:lang w:val="ro-RO"/>
              </w:rPr>
              <w:t>instalaţiile</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Pr>
                <w:rFonts w:ascii="Times New Roman" w:hAnsi="Times New Roman" w:cs="Times New Roman"/>
                <w:iCs/>
                <w:sz w:val="24"/>
                <w:szCs w:val="24"/>
                <w:lang w:val="ro-RO"/>
              </w:rPr>
              <w:t xml:space="preserve"> sunt stabilite devin obligatorii după 6 luni de la aprobarea prezentei </w:t>
            </w:r>
            <w:proofErr w:type="spellStart"/>
            <w:r>
              <w:rPr>
                <w:rFonts w:ascii="Times New Roman" w:hAnsi="Times New Roman" w:cs="Times New Roman"/>
                <w:iCs/>
                <w:sz w:val="24"/>
                <w:szCs w:val="24"/>
                <w:lang w:val="ro-RO"/>
              </w:rPr>
              <w:t>Hotărîri</w:t>
            </w:r>
            <w:proofErr w:type="spellEnd"/>
            <w:r>
              <w:rPr>
                <w:rFonts w:ascii="Times New Roman" w:hAnsi="Times New Roman" w:cs="Times New Roman"/>
                <w:iCs/>
                <w:sz w:val="24"/>
                <w:szCs w:val="24"/>
                <w:lang w:val="ro-RO"/>
              </w:rPr>
              <w:t xml:space="preserve"> de G</w:t>
            </w:r>
            <w:r w:rsidR="00B650B0">
              <w:rPr>
                <w:rFonts w:ascii="Times New Roman" w:hAnsi="Times New Roman" w:cs="Times New Roman"/>
                <w:iCs/>
                <w:sz w:val="24"/>
                <w:szCs w:val="24"/>
                <w:lang w:val="ro-RO"/>
              </w:rPr>
              <w:t>u</w:t>
            </w:r>
            <w:r>
              <w:rPr>
                <w:rFonts w:ascii="Times New Roman" w:hAnsi="Times New Roman" w:cs="Times New Roman"/>
                <w:iCs/>
                <w:sz w:val="24"/>
                <w:szCs w:val="24"/>
                <w:lang w:val="ro-RO"/>
              </w:rPr>
              <w:t>vern;</w:t>
            </w:r>
          </w:p>
          <w:p w14:paraId="30E78A04" w14:textId="321101B3" w:rsidR="001B38E1" w:rsidRDefault="00FD3BD3" w:rsidP="001B38E1">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Producătorii și </w:t>
            </w:r>
            <w:r w:rsidR="00F402B6">
              <w:rPr>
                <w:rFonts w:ascii="Times New Roman" w:hAnsi="Times New Roman" w:cs="Times New Roman"/>
                <w:iCs/>
                <w:sz w:val="24"/>
                <w:szCs w:val="24"/>
                <w:lang w:val="ro-RO"/>
              </w:rPr>
              <w:t>distribuitorii</w:t>
            </w:r>
            <w:r>
              <w:rPr>
                <w:rFonts w:ascii="Times New Roman" w:hAnsi="Times New Roman" w:cs="Times New Roman"/>
                <w:iCs/>
                <w:sz w:val="24"/>
                <w:szCs w:val="24"/>
                <w:lang w:val="ro-RO"/>
              </w:rPr>
              <w:t xml:space="preserve"> </w:t>
            </w:r>
            <w:r w:rsidR="00F402B6" w:rsidRPr="00DF5BF8">
              <w:rPr>
                <w:rFonts w:ascii="Times New Roman" w:hAnsi="Times New Roman" w:cs="Times New Roman"/>
                <w:iCs/>
                <w:sz w:val="24"/>
                <w:szCs w:val="24"/>
                <w:lang w:val="ro-RO"/>
              </w:rPr>
              <w:t>instalațiil</w:t>
            </w:r>
            <w:r w:rsidR="00F402B6">
              <w:rPr>
                <w:rFonts w:ascii="Times New Roman" w:hAnsi="Times New Roman" w:cs="Times New Roman"/>
                <w:iCs/>
                <w:sz w:val="24"/>
                <w:szCs w:val="24"/>
                <w:lang w:val="ro-RO"/>
              </w:rPr>
              <w:t>or</w:t>
            </w:r>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Pr>
                <w:rFonts w:ascii="Times New Roman" w:hAnsi="Times New Roman" w:cs="Times New Roman"/>
                <w:iCs/>
                <w:sz w:val="24"/>
                <w:szCs w:val="24"/>
                <w:lang w:val="ro-RO"/>
              </w:rPr>
              <w:t xml:space="preserve"> </w:t>
            </w:r>
            <w:proofErr w:type="spellStart"/>
            <w:r>
              <w:rPr>
                <w:rFonts w:ascii="Times New Roman" w:hAnsi="Times New Roman" w:cs="Times New Roman"/>
                <w:iCs/>
                <w:sz w:val="24"/>
                <w:szCs w:val="24"/>
                <w:lang w:val="ro-RO"/>
              </w:rPr>
              <w:t>instalaţiilor</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sidR="003A726E">
              <w:rPr>
                <w:rFonts w:ascii="Times New Roman" w:hAnsi="Times New Roman" w:cs="Times New Roman"/>
                <w:iCs/>
                <w:sz w:val="24"/>
                <w:szCs w:val="24"/>
                <w:lang w:val="ro-RO"/>
              </w:rPr>
              <w:t xml:space="preserve">, </w:t>
            </w:r>
            <w:r w:rsidR="001600A8">
              <w:rPr>
                <w:rFonts w:ascii="Times New Roman" w:hAnsi="Times New Roman" w:cs="Times New Roman"/>
                <w:iCs/>
                <w:sz w:val="24"/>
                <w:szCs w:val="24"/>
                <w:lang w:val="ro-RO"/>
              </w:rPr>
              <w:t xml:space="preserve">continuă să </w:t>
            </w:r>
            <w:proofErr w:type="spellStart"/>
            <w:r w:rsidR="001600A8">
              <w:rPr>
                <w:rFonts w:ascii="Times New Roman" w:hAnsi="Times New Roman" w:cs="Times New Roman"/>
                <w:iCs/>
                <w:sz w:val="24"/>
                <w:szCs w:val="24"/>
                <w:lang w:val="ro-RO"/>
              </w:rPr>
              <w:t>plaseaze</w:t>
            </w:r>
            <w:proofErr w:type="spellEnd"/>
            <w:r>
              <w:rPr>
                <w:rFonts w:ascii="Times New Roman" w:hAnsi="Times New Roman" w:cs="Times New Roman"/>
                <w:iCs/>
                <w:sz w:val="24"/>
                <w:szCs w:val="24"/>
                <w:lang w:val="ro-RO"/>
              </w:rPr>
              <w:t xml:space="preserve"> pe piață produse ce respectă ce</w:t>
            </w:r>
            <w:r w:rsidR="006D0699" w:rsidRPr="006D0699">
              <w:rPr>
                <w:rFonts w:ascii="Times New Roman" w:hAnsi="Times New Roman" w:cs="Times New Roman"/>
                <w:iCs/>
                <w:sz w:val="24"/>
                <w:szCs w:val="24"/>
                <w:lang w:val="ro-RO"/>
              </w:rPr>
              <w:t xml:space="preserve">rințele de proiectare ecologică pentru </w:t>
            </w:r>
            <w:proofErr w:type="spellStart"/>
            <w:r w:rsidR="006D0699" w:rsidRPr="006D0699">
              <w:rPr>
                <w:rFonts w:ascii="Times New Roman" w:hAnsi="Times New Roman" w:cs="Times New Roman"/>
                <w:iCs/>
                <w:sz w:val="24"/>
                <w:szCs w:val="24"/>
                <w:lang w:val="ro-RO"/>
              </w:rPr>
              <w:t>instalaţiile</w:t>
            </w:r>
            <w:proofErr w:type="spellEnd"/>
            <w:r w:rsidR="006D0699" w:rsidRPr="006D0699">
              <w:rPr>
                <w:rFonts w:ascii="Times New Roman" w:hAnsi="Times New Roman" w:cs="Times New Roman"/>
                <w:iCs/>
                <w:sz w:val="24"/>
                <w:szCs w:val="24"/>
                <w:lang w:val="ro-RO"/>
              </w:rPr>
              <w:t xml:space="preserve"> pentru încălzirea incintelor </w:t>
            </w:r>
            <w:proofErr w:type="spellStart"/>
            <w:r w:rsidR="006D0699" w:rsidRPr="006D0699">
              <w:rPr>
                <w:rFonts w:ascii="Times New Roman" w:hAnsi="Times New Roman" w:cs="Times New Roman"/>
                <w:iCs/>
                <w:sz w:val="24"/>
                <w:szCs w:val="24"/>
                <w:lang w:val="ro-RO"/>
              </w:rPr>
              <w:t>şi</w:t>
            </w:r>
            <w:proofErr w:type="spellEnd"/>
            <w:r w:rsidR="006D0699" w:rsidRPr="006D0699">
              <w:rPr>
                <w:rFonts w:ascii="Times New Roman" w:hAnsi="Times New Roman" w:cs="Times New Roman"/>
                <w:iCs/>
                <w:sz w:val="24"/>
                <w:szCs w:val="24"/>
                <w:lang w:val="ro-RO"/>
              </w:rPr>
              <w:t xml:space="preserve"> </w:t>
            </w:r>
            <w:proofErr w:type="spellStart"/>
            <w:r w:rsidR="006D0699" w:rsidRPr="006D0699">
              <w:rPr>
                <w:rFonts w:ascii="Times New Roman" w:hAnsi="Times New Roman" w:cs="Times New Roman"/>
                <w:iCs/>
                <w:sz w:val="24"/>
                <w:szCs w:val="24"/>
                <w:lang w:val="ro-RO"/>
              </w:rPr>
              <w:t>instalaţiile</w:t>
            </w:r>
            <w:proofErr w:type="spellEnd"/>
            <w:r w:rsidR="006D0699" w:rsidRPr="006D0699">
              <w:rPr>
                <w:rFonts w:ascii="Times New Roman" w:hAnsi="Times New Roman" w:cs="Times New Roman"/>
                <w:iCs/>
                <w:sz w:val="24"/>
                <w:szCs w:val="24"/>
                <w:lang w:val="ro-RO"/>
              </w:rPr>
              <w:t xml:space="preserve"> de încălzire cu </w:t>
            </w:r>
            <w:proofErr w:type="spellStart"/>
            <w:r w:rsidR="006D0699" w:rsidRPr="006D0699">
              <w:rPr>
                <w:rFonts w:ascii="Times New Roman" w:hAnsi="Times New Roman" w:cs="Times New Roman"/>
                <w:iCs/>
                <w:sz w:val="24"/>
                <w:szCs w:val="24"/>
                <w:lang w:val="ro-RO"/>
              </w:rPr>
              <w:t>funcţie</w:t>
            </w:r>
            <w:proofErr w:type="spellEnd"/>
            <w:r w:rsidR="006D0699" w:rsidRPr="006D0699">
              <w:rPr>
                <w:rFonts w:ascii="Times New Roman" w:hAnsi="Times New Roman" w:cs="Times New Roman"/>
                <w:iCs/>
                <w:sz w:val="24"/>
                <w:szCs w:val="24"/>
                <w:lang w:val="ro-RO"/>
              </w:rPr>
              <w:t xml:space="preserve"> dublă</w:t>
            </w:r>
            <w:r w:rsidR="006D0699">
              <w:rPr>
                <w:rFonts w:ascii="Times New Roman" w:hAnsi="Times New Roman" w:cs="Times New Roman"/>
                <w:iCs/>
                <w:sz w:val="24"/>
                <w:szCs w:val="24"/>
                <w:lang w:val="ro-RO"/>
              </w:rPr>
              <w:t>;</w:t>
            </w:r>
          </w:p>
          <w:p w14:paraId="6BFD1F49" w14:textId="06E06972" w:rsidR="006D0699" w:rsidRDefault="006D0699" w:rsidP="001B38E1">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lastRenderedPageBreak/>
              <w:t xml:space="preserve">Producătorii și </w:t>
            </w:r>
            <w:proofErr w:type="spellStart"/>
            <w:r>
              <w:rPr>
                <w:rFonts w:ascii="Times New Roman" w:hAnsi="Times New Roman" w:cs="Times New Roman"/>
                <w:iCs/>
                <w:sz w:val="24"/>
                <w:szCs w:val="24"/>
                <w:lang w:val="ro-RO"/>
              </w:rPr>
              <w:t>distibuitorii</w:t>
            </w:r>
            <w:proofErr w:type="spellEnd"/>
            <w:r>
              <w:rPr>
                <w:rFonts w:ascii="Times New Roman" w:hAnsi="Times New Roman" w:cs="Times New Roman"/>
                <w:iCs/>
                <w:sz w:val="24"/>
                <w:szCs w:val="24"/>
                <w:lang w:val="ro-RO"/>
              </w:rPr>
              <w:t xml:space="preserve"> </w:t>
            </w:r>
            <w:proofErr w:type="spellStart"/>
            <w:r w:rsidRPr="00DF5BF8">
              <w:rPr>
                <w:rFonts w:ascii="Times New Roman" w:hAnsi="Times New Roman" w:cs="Times New Roman"/>
                <w:iCs/>
                <w:sz w:val="24"/>
                <w:szCs w:val="24"/>
                <w:lang w:val="ro-RO"/>
              </w:rPr>
              <w:t>instalaţiil</w:t>
            </w:r>
            <w:r>
              <w:rPr>
                <w:rFonts w:ascii="Times New Roman" w:hAnsi="Times New Roman" w:cs="Times New Roman"/>
                <w:iCs/>
                <w:sz w:val="24"/>
                <w:szCs w:val="24"/>
                <w:lang w:val="ro-RO"/>
              </w:rPr>
              <w:t>or</w:t>
            </w:r>
            <w:proofErr w:type="spellEnd"/>
            <w:r w:rsidRPr="00DF5BF8">
              <w:rPr>
                <w:rFonts w:ascii="Times New Roman" w:hAnsi="Times New Roman" w:cs="Times New Roman"/>
                <w:iCs/>
                <w:sz w:val="24"/>
                <w:szCs w:val="24"/>
                <w:lang w:val="ro-RO"/>
              </w:rPr>
              <w:t xml:space="preserve"> pentru încălzirea incintelor </w:t>
            </w:r>
            <w:proofErr w:type="spellStart"/>
            <w:r w:rsidRPr="00DF5BF8">
              <w:rPr>
                <w:rFonts w:ascii="Times New Roman" w:hAnsi="Times New Roman" w:cs="Times New Roman"/>
                <w:iCs/>
                <w:sz w:val="24"/>
                <w:szCs w:val="24"/>
                <w:lang w:val="ro-RO"/>
              </w:rPr>
              <w:t>şi</w:t>
            </w:r>
            <w:proofErr w:type="spellEnd"/>
            <w:r>
              <w:rPr>
                <w:rFonts w:ascii="Times New Roman" w:hAnsi="Times New Roman" w:cs="Times New Roman"/>
                <w:iCs/>
                <w:sz w:val="24"/>
                <w:szCs w:val="24"/>
                <w:lang w:val="ro-RO"/>
              </w:rPr>
              <w:t xml:space="preserve"> </w:t>
            </w:r>
            <w:proofErr w:type="spellStart"/>
            <w:r>
              <w:rPr>
                <w:rFonts w:ascii="Times New Roman" w:hAnsi="Times New Roman" w:cs="Times New Roman"/>
                <w:iCs/>
                <w:sz w:val="24"/>
                <w:szCs w:val="24"/>
                <w:lang w:val="ro-RO"/>
              </w:rPr>
              <w:t>instalaţiilor</w:t>
            </w:r>
            <w:proofErr w:type="spellEnd"/>
            <w:r w:rsidRPr="00DF5BF8">
              <w:rPr>
                <w:rFonts w:ascii="Times New Roman" w:hAnsi="Times New Roman" w:cs="Times New Roman"/>
                <w:iCs/>
                <w:sz w:val="24"/>
                <w:szCs w:val="24"/>
                <w:lang w:val="ro-RO"/>
              </w:rPr>
              <w:t xml:space="preserve"> de încălzire cu </w:t>
            </w:r>
            <w:proofErr w:type="spellStart"/>
            <w:r w:rsidRPr="00DF5BF8">
              <w:rPr>
                <w:rFonts w:ascii="Times New Roman" w:hAnsi="Times New Roman" w:cs="Times New Roman"/>
                <w:iCs/>
                <w:sz w:val="24"/>
                <w:szCs w:val="24"/>
                <w:lang w:val="ro-RO"/>
              </w:rPr>
              <w:t>funcţie</w:t>
            </w:r>
            <w:proofErr w:type="spellEnd"/>
            <w:r w:rsidRPr="00DF5BF8">
              <w:rPr>
                <w:rFonts w:ascii="Times New Roman" w:hAnsi="Times New Roman" w:cs="Times New Roman"/>
                <w:iCs/>
                <w:sz w:val="24"/>
                <w:szCs w:val="24"/>
                <w:lang w:val="ro-RO"/>
              </w:rPr>
              <w:t xml:space="preserve"> dublă</w:t>
            </w:r>
            <w:r>
              <w:rPr>
                <w:rFonts w:ascii="Times New Roman" w:hAnsi="Times New Roman" w:cs="Times New Roman"/>
                <w:iCs/>
                <w:sz w:val="24"/>
                <w:szCs w:val="24"/>
                <w:lang w:val="ro-RO"/>
              </w:rPr>
              <w:t xml:space="preserve"> înainte de a plasa pe piață,</w:t>
            </w:r>
            <w:r w:rsidRPr="006D0699">
              <w:rPr>
                <w:rFonts w:ascii="Times New Roman" w:hAnsi="Times New Roman" w:cs="Times New Roman"/>
                <w:iCs/>
                <w:sz w:val="24"/>
                <w:szCs w:val="24"/>
                <w:lang w:val="ro-RO"/>
              </w:rPr>
              <w:t xml:space="preserve"> </w:t>
            </w:r>
            <w:proofErr w:type="spellStart"/>
            <w:r w:rsidRPr="006D0699">
              <w:rPr>
                <w:rFonts w:ascii="Times New Roman" w:hAnsi="Times New Roman" w:cs="Times New Roman"/>
                <w:iCs/>
                <w:sz w:val="24"/>
                <w:szCs w:val="24"/>
                <w:lang w:val="ro-RO"/>
              </w:rPr>
              <w:t>instalaţiile</w:t>
            </w:r>
            <w:proofErr w:type="spellEnd"/>
            <w:r w:rsidRPr="006D0699">
              <w:rPr>
                <w:rFonts w:ascii="Times New Roman" w:hAnsi="Times New Roman" w:cs="Times New Roman"/>
                <w:iCs/>
                <w:sz w:val="24"/>
                <w:szCs w:val="24"/>
                <w:lang w:val="ro-RO"/>
              </w:rPr>
              <w:t xml:space="preserve"> de încălzire și instalațiile de încălzire cu funcție dublă care intră sub in</w:t>
            </w:r>
            <w:r w:rsidR="005C00D4">
              <w:rPr>
                <w:rFonts w:ascii="Times New Roman" w:hAnsi="Times New Roman" w:cs="Times New Roman"/>
                <w:iCs/>
                <w:sz w:val="24"/>
                <w:szCs w:val="24"/>
                <w:lang w:val="ro-RO"/>
              </w:rPr>
              <w:t>cidența prezentului regulament le</w:t>
            </w:r>
            <w:r w:rsidRPr="006D0699">
              <w:rPr>
                <w:rFonts w:ascii="Times New Roman" w:hAnsi="Times New Roman" w:cs="Times New Roman"/>
                <w:iCs/>
                <w:sz w:val="24"/>
                <w:szCs w:val="24"/>
                <w:lang w:val="ro-RO"/>
              </w:rPr>
              <w:t xml:space="preserve"> supun procedurii de evaluare a conformității</w:t>
            </w:r>
            <w:r w:rsidR="005C00D4">
              <w:rPr>
                <w:rFonts w:ascii="Times New Roman" w:hAnsi="Times New Roman" w:cs="Times New Roman"/>
                <w:iCs/>
                <w:sz w:val="24"/>
                <w:szCs w:val="24"/>
                <w:lang w:val="ro-RO"/>
              </w:rPr>
              <w:t>;</w:t>
            </w:r>
          </w:p>
          <w:p w14:paraId="4C6D1CCA" w14:textId="594DDBC6" w:rsidR="0022783B" w:rsidRDefault="003A726E" w:rsidP="003A726E">
            <w:pPr>
              <w:tabs>
                <w:tab w:val="left" w:pos="514"/>
              </w:tabs>
              <w:suppressAutoHyphens/>
              <w:spacing w:before="60" w:after="0"/>
              <w:jc w:val="both"/>
              <w:rPr>
                <w:rFonts w:ascii="Times New Roman" w:hAnsi="Times New Roman" w:cs="Times New Roman"/>
                <w:iCs/>
                <w:sz w:val="24"/>
                <w:szCs w:val="24"/>
                <w:lang w:val="ro-RO"/>
              </w:rPr>
            </w:pPr>
            <w:r w:rsidRPr="0022783B">
              <w:rPr>
                <w:rFonts w:ascii="Times New Roman" w:hAnsi="Times New Roman" w:cs="Times New Roman"/>
                <w:iCs/>
                <w:sz w:val="24"/>
                <w:szCs w:val="24"/>
                <w:lang w:val="ro-RO"/>
              </w:rPr>
              <w:t>Agenția pent</w:t>
            </w:r>
            <w:r w:rsidR="0022783B">
              <w:rPr>
                <w:rFonts w:ascii="Times New Roman" w:hAnsi="Times New Roman" w:cs="Times New Roman"/>
                <w:iCs/>
                <w:sz w:val="24"/>
                <w:szCs w:val="24"/>
                <w:lang w:val="ro-RO"/>
              </w:rPr>
              <w:t>r</w:t>
            </w:r>
            <w:r w:rsidRPr="0022783B">
              <w:rPr>
                <w:rFonts w:ascii="Times New Roman" w:hAnsi="Times New Roman" w:cs="Times New Roman"/>
                <w:iCs/>
                <w:sz w:val="24"/>
                <w:szCs w:val="24"/>
                <w:lang w:val="ro-RO"/>
              </w:rPr>
              <w:t>u Protecția Consumatorilor și Supravegherea Pieței efectuează controlu</w:t>
            </w:r>
            <w:r w:rsidR="0022783B">
              <w:rPr>
                <w:rFonts w:ascii="Times New Roman" w:hAnsi="Times New Roman" w:cs="Times New Roman"/>
                <w:iCs/>
                <w:sz w:val="24"/>
                <w:szCs w:val="24"/>
                <w:lang w:val="ro-RO"/>
              </w:rPr>
              <w:t xml:space="preserve">l în </w:t>
            </w:r>
            <w:proofErr w:type="spellStart"/>
            <w:r w:rsidR="0022783B">
              <w:rPr>
                <w:rFonts w:ascii="Times New Roman" w:hAnsi="Times New Roman" w:cs="Times New Roman"/>
                <w:iCs/>
                <w:sz w:val="24"/>
                <w:szCs w:val="24"/>
                <w:lang w:val="ro-RO"/>
              </w:rPr>
              <w:t>scpul</w:t>
            </w:r>
            <w:proofErr w:type="spellEnd"/>
            <w:r w:rsidR="0022783B">
              <w:rPr>
                <w:rFonts w:ascii="Times New Roman" w:hAnsi="Times New Roman" w:cs="Times New Roman"/>
                <w:iCs/>
                <w:sz w:val="24"/>
                <w:szCs w:val="24"/>
                <w:lang w:val="ro-RO"/>
              </w:rPr>
              <w:t xml:space="preserve"> </w:t>
            </w:r>
            <w:proofErr w:type="spellStart"/>
            <w:r w:rsidR="0022783B">
              <w:rPr>
                <w:rFonts w:ascii="Times New Roman" w:hAnsi="Times New Roman" w:cs="Times New Roman"/>
                <w:iCs/>
                <w:sz w:val="24"/>
                <w:szCs w:val="24"/>
                <w:lang w:val="ro-RO"/>
              </w:rPr>
              <w:t>supracegherii</w:t>
            </w:r>
            <w:proofErr w:type="spellEnd"/>
            <w:r w:rsidR="0022783B">
              <w:rPr>
                <w:rFonts w:ascii="Times New Roman" w:hAnsi="Times New Roman" w:cs="Times New Roman"/>
                <w:iCs/>
                <w:sz w:val="24"/>
                <w:szCs w:val="24"/>
                <w:lang w:val="ro-RO"/>
              </w:rPr>
              <w:t xml:space="preserve"> </w:t>
            </w:r>
            <w:proofErr w:type="spellStart"/>
            <w:r w:rsidR="0022783B">
              <w:rPr>
                <w:rFonts w:ascii="Times New Roman" w:hAnsi="Times New Roman" w:cs="Times New Roman"/>
                <w:iCs/>
                <w:sz w:val="24"/>
                <w:szCs w:val="24"/>
                <w:lang w:val="ro-RO"/>
              </w:rPr>
              <w:t>peiței</w:t>
            </w:r>
            <w:proofErr w:type="spellEnd"/>
            <w:r w:rsidR="0022783B">
              <w:rPr>
                <w:rFonts w:ascii="Times New Roman" w:hAnsi="Times New Roman" w:cs="Times New Roman"/>
                <w:iCs/>
                <w:sz w:val="24"/>
                <w:szCs w:val="24"/>
                <w:lang w:val="ro-RO"/>
              </w:rPr>
              <w:t xml:space="preserve"> a corespunderii</w:t>
            </w:r>
            <w:r w:rsidRPr="0022783B">
              <w:rPr>
                <w:rFonts w:ascii="Times New Roman" w:hAnsi="Times New Roman" w:cs="Times New Roman"/>
                <w:iCs/>
                <w:sz w:val="24"/>
                <w:szCs w:val="24"/>
                <w:lang w:val="ro-RO"/>
              </w:rPr>
              <w:t xml:space="preserve"> cerințelor</w:t>
            </w:r>
            <w:r w:rsidR="0022783B">
              <w:rPr>
                <w:rFonts w:ascii="Times New Roman" w:hAnsi="Times New Roman" w:cs="Times New Roman"/>
                <w:iCs/>
                <w:sz w:val="24"/>
                <w:szCs w:val="24"/>
                <w:lang w:val="ro-RO"/>
              </w:rPr>
              <w:t xml:space="preserve"> de</w:t>
            </w:r>
            <w:r w:rsidRPr="0022783B">
              <w:rPr>
                <w:rFonts w:ascii="Times New Roman" w:hAnsi="Times New Roman" w:cs="Times New Roman"/>
                <w:iCs/>
                <w:sz w:val="24"/>
                <w:szCs w:val="24"/>
                <w:lang w:val="ro-RO"/>
              </w:rPr>
              <w:t xml:space="preserve"> </w:t>
            </w:r>
            <w:r w:rsidR="000E0D2B" w:rsidRPr="006D0699">
              <w:rPr>
                <w:rFonts w:ascii="Times New Roman" w:hAnsi="Times New Roman" w:cs="Times New Roman"/>
                <w:iCs/>
                <w:sz w:val="24"/>
                <w:szCs w:val="24"/>
                <w:lang w:val="ro-RO"/>
              </w:rPr>
              <w:t xml:space="preserve">proiectare ecologică pentru </w:t>
            </w:r>
            <w:proofErr w:type="spellStart"/>
            <w:r w:rsidR="000E0D2B" w:rsidRPr="006D0699">
              <w:rPr>
                <w:rFonts w:ascii="Times New Roman" w:hAnsi="Times New Roman" w:cs="Times New Roman"/>
                <w:iCs/>
                <w:sz w:val="24"/>
                <w:szCs w:val="24"/>
                <w:lang w:val="ro-RO"/>
              </w:rPr>
              <w:t>instalaţiile</w:t>
            </w:r>
            <w:proofErr w:type="spellEnd"/>
            <w:r w:rsidR="000E0D2B" w:rsidRPr="006D0699">
              <w:rPr>
                <w:rFonts w:ascii="Times New Roman" w:hAnsi="Times New Roman" w:cs="Times New Roman"/>
                <w:iCs/>
                <w:sz w:val="24"/>
                <w:szCs w:val="24"/>
                <w:lang w:val="ro-RO"/>
              </w:rPr>
              <w:t xml:space="preserve"> pentru încălzirea incintelor </w:t>
            </w:r>
            <w:proofErr w:type="spellStart"/>
            <w:r w:rsidR="000E0D2B" w:rsidRPr="006D0699">
              <w:rPr>
                <w:rFonts w:ascii="Times New Roman" w:hAnsi="Times New Roman" w:cs="Times New Roman"/>
                <w:iCs/>
                <w:sz w:val="24"/>
                <w:szCs w:val="24"/>
                <w:lang w:val="ro-RO"/>
              </w:rPr>
              <w:t>şi</w:t>
            </w:r>
            <w:proofErr w:type="spellEnd"/>
            <w:r w:rsidR="000E0D2B" w:rsidRPr="006D0699">
              <w:rPr>
                <w:rFonts w:ascii="Times New Roman" w:hAnsi="Times New Roman" w:cs="Times New Roman"/>
                <w:iCs/>
                <w:sz w:val="24"/>
                <w:szCs w:val="24"/>
                <w:lang w:val="ro-RO"/>
              </w:rPr>
              <w:t xml:space="preserve"> </w:t>
            </w:r>
            <w:proofErr w:type="spellStart"/>
            <w:r w:rsidR="000E0D2B" w:rsidRPr="006D0699">
              <w:rPr>
                <w:rFonts w:ascii="Times New Roman" w:hAnsi="Times New Roman" w:cs="Times New Roman"/>
                <w:iCs/>
                <w:sz w:val="24"/>
                <w:szCs w:val="24"/>
                <w:lang w:val="ro-RO"/>
              </w:rPr>
              <w:t>instalaţiile</w:t>
            </w:r>
            <w:proofErr w:type="spellEnd"/>
            <w:r w:rsidR="000E0D2B" w:rsidRPr="006D0699">
              <w:rPr>
                <w:rFonts w:ascii="Times New Roman" w:hAnsi="Times New Roman" w:cs="Times New Roman"/>
                <w:iCs/>
                <w:sz w:val="24"/>
                <w:szCs w:val="24"/>
                <w:lang w:val="ro-RO"/>
              </w:rPr>
              <w:t xml:space="preserve"> de încălzire cu </w:t>
            </w:r>
            <w:proofErr w:type="spellStart"/>
            <w:r w:rsidR="000E0D2B" w:rsidRPr="006D0699">
              <w:rPr>
                <w:rFonts w:ascii="Times New Roman" w:hAnsi="Times New Roman" w:cs="Times New Roman"/>
                <w:iCs/>
                <w:sz w:val="24"/>
                <w:szCs w:val="24"/>
                <w:lang w:val="ro-RO"/>
              </w:rPr>
              <w:t>funcţie</w:t>
            </w:r>
            <w:proofErr w:type="spellEnd"/>
            <w:r w:rsidR="000E0D2B" w:rsidRPr="006D0699">
              <w:rPr>
                <w:rFonts w:ascii="Times New Roman" w:hAnsi="Times New Roman" w:cs="Times New Roman"/>
                <w:iCs/>
                <w:sz w:val="24"/>
                <w:szCs w:val="24"/>
                <w:lang w:val="ro-RO"/>
              </w:rPr>
              <w:t xml:space="preserve"> dublă</w:t>
            </w:r>
            <w:r w:rsidR="0022783B">
              <w:rPr>
                <w:rFonts w:ascii="Times New Roman" w:hAnsi="Times New Roman" w:cs="Times New Roman"/>
                <w:iCs/>
                <w:sz w:val="24"/>
                <w:szCs w:val="24"/>
                <w:lang w:val="ro-RO"/>
              </w:rPr>
              <w:t xml:space="preserve">, conform programului de </w:t>
            </w:r>
          </w:p>
          <w:p w14:paraId="46B37495" w14:textId="69ED5457" w:rsidR="0022783B" w:rsidRPr="00FE5C11" w:rsidRDefault="00FE5C11" w:rsidP="003A726E">
            <w:pPr>
              <w:tabs>
                <w:tab w:val="left" w:pos="514"/>
              </w:tabs>
              <w:suppressAutoHyphens/>
              <w:spacing w:before="60" w:after="0"/>
              <w:jc w:val="both"/>
              <w:rPr>
                <w:rFonts w:ascii="Times New Roman" w:hAnsi="Times New Roman" w:cs="Times New Roman"/>
                <w:iCs/>
                <w:sz w:val="24"/>
                <w:szCs w:val="24"/>
                <w:lang w:val="en-US"/>
              </w:rPr>
            </w:pPr>
            <w:r w:rsidRPr="00FE5C11">
              <w:rPr>
                <w:rFonts w:ascii="Times New Roman" w:hAnsi="Times New Roman" w:cs="Times New Roman"/>
                <w:iCs/>
                <w:sz w:val="24"/>
                <w:szCs w:val="24"/>
                <w:lang w:val="ro-RO"/>
              </w:rPr>
              <w:t xml:space="preserve">Ministerul Economiei și Infrastructurii în calitate de autoritate de reglementare în domeniu notifică Comisiei Europene organismele pe care le-a recunoscut să îndeplinească procedurile </w:t>
            </w:r>
            <w:proofErr w:type="spellStart"/>
            <w:r w:rsidRPr="00FE5C11">
              <w:rPr>
                <w:rFonts w:ascii="Times New Roman" w:hAnsi="Times New Roman" w:cs="Times New Roman"/>
                <w:iCs/>
                <w:sz w:val="24"/>
                <w:szCs w:val="24"/>
                <w:lang w:val="ro-RO"/>
              </w:rPr>
              <w:t>menţionate</w:t>
            </w:r>
            <w:proofErr w:type="spellEnd"/>
            <w:r w:rsidRPr="00FE5C11">
              <w:rPr>
                <w:rFonts w:ascii="Times New Roman" w:hAnsi="Times New Roman" w:cs="Times New Roman"/>
                <w:iCs/>
                <w:sz w:val="24"/>
                <w:szCs w:val="24"/>
                <w:lang w:val="ro-RO"/>
              </w:rPr>
              <w:t xml:space="preserve"> la capitolul IV din prezentul regulament, împreună cu </w:t>
            </w:r>
            <w:proofErr w:type="spellStart"/>
            <w:r w:rsidRPr="00FE5C11">
              <w:rPr>
                <w:rFonts w:ascii="Times New Roman" w:hAnsi="Times New Roman" w:cs="Times New Roman"/>
                <w:iCs/>
                <w:sz w:val="24"/>
                <w:szCs w:val="24"/>
                <w:lang w:val="ro-RO"/>
              </w:rPr>
              <w:t>atribuţiile</w:t>
            </w:r>
            <w:proofErr w:type="spellEnd"/>
            <w:r w:rsidRPr="00FE5C11">
              <w:rPr>
                <w:rFonts w:ascii="Times New Roman" w:hAnsi="Times New Roman" w:cs="Times New Roman"/>
                <w:iCs/>
                <w:sz w:val="24"/>
                <w:szCs w:val="24"/>
                <w:lang w:val="ro-RO"/>
              </w:rPr>
              <w:t xml:space="preserve"> specifice care le revin acestor organisme </w:t>
            </w:r>
            <w:proofErr w:type="spellStart"/>
            <w:r w:rsidRPr="00FE5C11">
              <w:rPr>
                <w:rFonts w:ascii="Times New Roman" w:hAnsi="Times New Roman" w:cs="Times New Roman"/>
                <w:iCs/>
                <w:sz w:val="24"/>
                <w:szCs w:val="24"/>
                <w:lang w:val="ro-RO"/>
              </w:rPr>
              <w:t>şi</w:t>
            </w:r>
            <w:proofErr w:type="spellEnd"/>
            <w:r w:rsidRPr="00FE5C11">
              <w:rPr>
                <w:rFonts w:ascii="Times New Roman" w:hAnsi="Times New Roman" w:cs="Times New Roman"/>
                <w:iCs/>
                <w:sz w:val="24"/>
                <w:szCs w:val="24"/>
                <w:lang w:val="ro-RO"/>
              </w:rPr>
              <w:t xml:space="preserve"> cu  numerele de identificare atribuite în prealabil acestora  de către Comisie</w:t>
            </w:r>
            <w:r>
              <w:rPr>
                <w:rFonts w:ascii="Times New Roman" w:hAnsi="Times New Roman" w:cs="Times New Roman"/>
                <w:iCs/>
                <w:sz w:val="24"/>
                <w:szCs w:val="24"/>
                <w:lang w:val="ro-RO"/>
              </w:rPr>
              <w:t>.</w:t>
            </w:r>
          </w:p>
        </w:tc>
      </w:tr>
      <w:tr w:rsidR="00B468B6" w:rsidRPr="00EB1C0D" w14:paraId="69D2534E" w14:textId="77777777" w:rsidTr="003319EB">
        <w:trPr>
          <w:jc w:val="center"/>
        </w:trPr>
        <w:tc>
          <w:tcPr>
            <w:tcW w:w="5000" w:type="pct"/>
            <w:gridSpan w:val="2"/>
            <w:shd w:val="clear" w:color="auto" w:fill="auto"/>
            <w:tcMar>
              <w:top w:w="15" w:type="dxa"/>
              <w:left w:w="45" w:type="dxa"/>
              <w:bottom w:w="15" w:type="dxa"/>
              <w:right w:w="45" w:type="dxa"/>
            </w:tcMar>
          </w:tcPr>
          <w:p w14:paraId="3A4E52FC" w14:textId="6AE265A3"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lastRenderedPageBreak/>
              <w:t>3. IDENTIFICAREA OPȚIUNILOR</w:t>
            </w:r>
          </w:p>
        </w:tc>
      </w:tr>
      <w:tr w:rsidR="00B468B6" w:rsidRPr="00B76CED" w14:paraId="6281F5E8" w14:textId="77777777" w:rsidTr="003319EB">
        <w:trPr>
          <w:jc w:val="center"/>
        </w:trPr>
        <w:tc>
          <w:tcPr>
            <w:tcW w:w="5000" w:type="pct"/>
            <w:gridSpan w:val="2"/>
            <w:shd w:val="clear" w:color="auto" w:fill="auto"/>
            <w:tcMar>
              <w:top w:w="15" w:type="dxa"/>
              <w:left w:w="45" w:type="dxa"/>
              <w:bottom w:w="15" w:type="dxa"/>
              <w:right w:w="45" w:type="dxa"/>
            </w:tcMar>
          </w:tcPr>
          <w:p w14:paraId="44D2B54C" w14:textId="68AF2DF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2C7FB0"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succint </w:t>
            </w:r>
            <w:r w:rsidR="002C7FB0"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„a nu face nimic”, care presupune lipsa de </w:t>
            </w:r>
            <w:r w:rsidR="002C7FB0" w:rsidRPr="00EB1C0D">
              <w:rPr>
                <w:rFonts w:ascii="Times New Roman" w:eastAsia="Calibri" w:hAnsi="Times New Roman" w:cs="Times New Roman"/>
                <w:b/>
                <w:sz w:val="24"/>
                <w:szCs w:val="24"/>
                <w:lang w:val="ro-RO" w:eastAsia="en-GB"/>
              </w:rPr>
              <w:t>intervenție</w:t>
            </w:r>
          </w:p>
        </w:tc>
      </w:tr>
      <w:tr w:rsidR="00B468B6" w:rsidRPr="00B76CED" w14:paraId="223214A2" w14:textId="77777777" w:rsidTr="003319EB">
        <w:trPr>
          <w:jc w:val="center"/>
        </w:trPr>
        <w:tc>
          <w:tcPr>
            <w:tcW w:w="5000" w:type="pct"/>
            <w:gridSpan w:val="2"/>
            <w:tcMar>
              <w:top w:w="15" w:type="dxa"/>
              <w:left w:w="45" w:type="dxa"/>
              <w:bottom w:w="15" w:type="dxa"/>
              <w:right w:w="45" w:type="dxa"/>
            </w:tcMar>
          </w:tcPr>
          <w:p w14:paraId="012CB30C" w14:textId="77777777" w:rsidR="00A01E08" w:rsidRDefault="00761E80" w:rsidP="000B21C3">
            <w:pPr>
              <w:tabs>
                <w:tab w:val="left" w:pos="1418"/>
              </w:tabs>
              <w:spacing w:after="60"/>
              <w:jc w:val="both"/>
              <w:rPr>
                <w:rFonts w:ascii="Times New Roman" w:eastAsia="Batang" w:hAnsi="Times New Roman" w:cs="Times New Roman"/>
                <w:bCs/>
                <w:sz w:val="24"/>
                <w:szCs w:val="24"/>
                <w:lang w:val="ro-RO" w:eastAsia="ja-JP"/>
              </w:rPr>
            </w:pPr>
            <w:r w:rsidRPr="00870EB6">
              <w:rPr>
                <w:rFonts w:ascii="Times New Roman" w:eastAsia="Batang" w:hAnsi="Times New Roman" w:cs="Times New Roman"/>
                <w:bCs/>
                <w:sz w:val="24"/>
                <w:szCs w:val="24"/>
                <w:lang w:val="ro-RO" w:eastAsia="ja-JP"/>
              </w:rPr>
              <w:t xml:space="preserve">Opțiunea „a nu face nimic” prevede </w:t>
            </w:r>
            <w:r w:rsidR="00E246A1">
              <w:rPr>
                <w:rFonts w:ascii="Times New Roman" w:eastAsia="Batang" w:hAnsi="Times New Roman" w:cs="Times New Roman"/>
                <w:bCs/>
                <w:sz w:val="24"/>
                <w:szCs w:val="24"/>
                <w:lang w:val="ro-RO" w:eastAsia="ja-JP"/>
              </w:rPr>
              <w:t xml:space="preserve">păstrarea în vigoare a prevederilor </w:t>
            </w:r>
            <w:proofErr w:type="spellStart"/>
            <w:r w:rsidR="00E246A1">
              <w:rPr>
                <w:rFonts w:ascii="Times New Roman" w:eastAsia="Batang" w:hAnsi="Times New Roman" w:cs="Times New Roman"/>
                <w:bCs/>
                <w:sz w:val="24"/>
                <w:szCs w:val="24"/>
                <w:lang w:val="ro-RO" w:eastAsia="ja-JP"/>
              </w:rPr>
              <w:t>Hotărîrii</w:t>
            </w:r>
            <w:proofErr w:type="spellEnd"/>
            <w:r w:rsidR="00E246A1">
              <w:rPr>
                <w:rFonts w:ascii="Times New Roman" w:eastAsia="Batang" w:hAnsi="Times New Roman" w:cs="Times New Roman"/>
                <w:bCs/>
                <w:sz w:val="24"/>
                <w:szCs w:val="24"/>
                <w:lang w:val="ro-RO" w:eastAsia="ja-JP"/>
              </w:rPr>
              <w:t xml:space="preserve"> Guvernului </w:t>
            </w:r>
            <w:r w:rsidR="000B21C3">
              <w:rPr>
                <w:rFonts w:ascii="Times New Roman" w:eastAsia="Batang" w:hAnsi="Times New Roman" w:cs="Times New Roman"/>
                <w:bCs/>
                <w:sz w:val="24"/>
                <w:szCs w:val="24"/>
                <w:lang w:val="ro-RO" w:eastAsia="ja-JP"/>
              </w:rPr>
              <w:t xml:space="preserve">428/2009 </w:t>
            </w:r>
            <w:r w:rsidR="000B21C3" w:rsidRPr="000B21C3">
              <w:rPr>
                <w:rFonts w:ascii="Times New Roman" w:eastAsia="Batang" w:hAnsi="Times New Roman" w:cs="Times New Roman"/>
                <w:bCs/>
                <w:sz w:val="24"/>
                <w:szCs w:val="24"/>
                <w:lang w:val="ro-RO" w:eastAsia="ja-JP"/>
              </w:rPr>
              <w:t>cu privire la aprobarea Reglementării tehnice „</w:t>
            </w:r>
            <w:proofErr w:type="spellStart"/>
            <w:r w:rsidR="000B21C3" w:rsidRPr="000B21C3">
              <w:rPr>
                <w:rFonts w:ascii="Times New Roman" w:eastAsia="Batang" w:hAnsi="Times New Roman" w:cs="Times New Roman"/>
                <w:bCs/>
                <w:sz w:val="24"/>
                <w:szCs w:val="24"/>
                <w:lang w:val="ro-RO" w:eastAsia="ja-JP"/>
              </w:rPr>
              <w:t>Cerinţe</w:t>
            </w:r>
            <w:proofErr w:type="spellEnd"/>
            <w:r w:rsidR="000B21C3" w:rsidRPr="000B21C3">
              <w:rPr>
                <w:rFonts w:ascii="Times New Roman" w:eastAsia="Batang" w:hAnsi="Times New Roman" w:cs="Times New Roman"/>
                <w:bCs/>
                <w:sz w:val="24"/>
                <w:szCs w:val="24"/>
                <w:lang w:val="ro-RO" w:eastAsia="ja-JP"/>
              </w:rPr>
              <w:t xml:space="preserve"> de randament</w:t>
            </w:r>
            <w:r w:rsidR="000B21C3">
              <w:rPr>
                <w:rFonts w:ascii="Times New Roman" w:eastAsia="Batang" w:hAnsi="Times New Roman" w:cs="Times New Roman"/>
                <w:bCs/>
                <w:sz w:val="24"/>
                <w:szCs w:val="24"/>
                <w:lang w:val="ro-RO" w:eastAsia="ja-JP"/>
              </w:rPr>
              <w:t xml:space="preserve">  </w:t>
            </w:r>
            <w:r w:rsidR="000B21C3" w:rsidRPr="000B21C3">
              <w:rPr>
                <w:rFonts w:ascii="Times New Roman" w:eastAsia="Batang" w:hAnsi="Times New Roman" w:cs="Times New Roman"/>
                <w:bCs/>
                <w:sz w:val="24"/>
                <w:szCs w:val="24"/>
                <w:lang w:val="ro-RO" w:eastAsia="ja-JP"/>
              </w:rPr>
              <w:t>pentru cazanele noi de apă caldă cu combustie lichidă sau gazoasă”</w:t>
            </w:r>
            <w:r w:rsidR="00A01E08">
              <w:rPr>
                <w:rFonts w:ascii="Times New Roman" w:eastAsia="Batang" w:hAnsi="Times New Roman" w:cs="Times New Roman"/>
                <w:bCs/>
                <w:sz w:val="24"/>
                <w:szCs w:val="24"/>
                <w:lang w:val="ro-RO" w:eastAsia="ja-JP"/>
              </w:rPr>
              <w:t xml:space="preserve">, </w:t>
            </w:r>
            <w:r w:rsidR="000B21C3">
              <w:rPr>
                <w:rFonts w:ascii="Times New Roman" w:eastAsia="Batang" w:hAnsi="Times New Roman" w:cs="Times New Roman"/>
                <w:bCs/>
                <w:sz w:val="24"/>
                <w:szCs w:val="24"/>
                <w:lang w:val="ro-RO" w:eastAsia="ja-JP"/>
              </w:rPr>
              <w:t>care a momentul actua</w:t>
            </w:r>
            <w:r w:rsidR="00A01E08">
              <w:rPr>
                <w:rFonts w:ascii="Times New Roman" w:eastAsia="Batang" w:hAnsi="Times New Roman" w:cs="Times New Roman"/>
                <w:bCs/>
                <w:sz w:val="24"/>
                <w:szCs w:val="24"/>
                <w:lang w:val="ro-RO" w:eastAsia="ja-JP"/>
              </w:rPr>
              <w:t>l</w:t>
            </w:r>
            <w:r w:rsidR="000B21C3">
              <w:rPr>
                <w:rFonts w:ascii="Times New Roman" w:eastAsia="Batang" w:hAnsi="Times New Roman" w:cs="Times New Roman"/>
                <w:bCs/>
                <w:sz w:val="24"/>
                <w:szCs w:val="24"/>
                <w:lang w:val="ro-RO" w:eastAsia="ja-JP"/>
              </w:rPr>
              <w:t xml:space="preserve"> din punct de vedere a cerințelor de performanță energetică și de mediu </w:t>
            </w:r>
            <w:r w:rsidR="00A01E08">
              <w:rPr>
                <w:rFonts w:ascii="Times New Roman" w:eastAsia="Batang" w:hAnsi="Times New Roman" w:cs="Times New Roman"/>
                <w:bCs/>
                <w:sz w:val="24"/>
                <w:szCs w:val="24"/>
                <w:lang w:val="ro-RO" w:eastAsia="ja-JP"/>
              </w:rPr>
              <w:t xml:space="preserve">sunt depășite tehnic. </w:t>
            </w:r>
          </w:p>
          <w:p w14:paraId="478D9F8C" w14:textId="1F2E9467" w:rsidR="00DF4519" w:rsidRDefault="00F402B6" w:rsidP="000B21C3">
            <w:pPr>
              <w:tabs>
                <w:tab w:val="left" w:pos="1418"/>
              </w:tabs>
              <w:spacing w:after="60"/>
              <w:jc w:val="both"/>
              <w:rPr>
                <w:rFonts w:ascii="Times New Roman" w:eastAsia="Batang" w:hAnsi="Times New Roman" w:cs="Times New Roman"/>
                <w:bCs/>
                <w:sz w:val="24"/>
                <w:szCs w:val="24"/>
                <w:lang w:val="ro-RO" w:eastAsia="ja-JP"/>
              </w:rPr>
            </w:pPr>
            <w:r w:rsidRPr="00F402B6">
              <w:rPr>
                <w:rFonts w:ascii="Times New Roman" w:eastAsia="Batang" w:hAnsi="Times New Roman" w:cs="Times New Roman"/>
                <w:bCs/>
                <w:sz w:val="24"/>
                <w:szCs w:val="24"/>
                <w:lang w:val="ro-RO" w:eastAsia="ja-JP"/>
              </w:rPr>
              <w:t xml:space="preserve">Producătorii și distribuitorii </w:t>
            </w:r>
            <w:r w:rsidR="00223775" w:rsidRPr="00F402B6">
              <w:rPr>
                <w:rFonts w:ascii="Times New Roman" w:eastAsia="Batang" w:hAnsi="Times New Roman" w:cs="Times New Roman"/>
                <w:bCs/>
                <w:sz w:val="24"/>
                <w:szCs w:val="24"/>
                <w:lang w:val="ro-RO" w:eastAsia="ja-JP"/>
              </w:rPr>
              <w:t>instalațiilor</w:t>
            </w:r>
            <w:r w:rsidRPr="00F402B6">
              <w:rPr>
                <w:rFonts w:ascii="Times New Roman" w:eastAsia="Batang" w:hAnsi="Times New Roman" w:cs="Times New Roman"/>
                <w:bCs/>
                <w:sz w:val="24"/>
                <w:szCs w:val="24"/>
                <w:lang w:val="ro-RO" w:eastAsia="ja-JP"/>
              </w:rPr>
              <w:t xml:space="preserve"> pentru încălzirea incintelor </w:t>
            </w:r>
            <w:proofErr w:type="spellStart"/>
            <w:r w:rsidRPr="00F402B6">
              <w:rPr>
                <w:rFonts w:ascii="Times New Roman" w:eastAsia="Batang" w:hAnsi="Times New Roman" w:cs="Times New Roman"/>
                <w:bCs/>
                <w:sz w:val="24"/>
                <w:szCs w:val="24"/>
                <w:lang w:val="ro-RO" w:eastAsia="ja-JP"/>
              </w:rPr>
              <w:t>şi</w:t>
            </w:r>
            <w:proofErr w:type="spellEnd"/>
            <w:r w:rsidRPr="00F402B6">
              <w:rPr>
                <w:rFonts w:ascii="Times New Roman" w:eastAsia="Batang" w:hAnsi="Times New Roman" w:cs="Times New Roman"/>
                <w:bCs/>
                <w:sz w:val="24"/>
                <w:szCs w:val="24"/>
                <w:lang w:val="ro-RO" w:eastAsia="ja-JP"/>
              </w:rPr>
              <w:t xml:space="preserve"> </w:t>
            </w:r>
            <w:r w:rsidR="00223775" w:rsidRPr="00F402B6">
              <w:rPr>
                <w:rFonts w:ascii="Times New Roman" w:eastAsia="Batang" w:hAnsi="Times New Roman" w:cs="Times New Roman"/>
                <w:bCs/>
                <w:sz w:val="24"/>
                <w:szCs w:val="24"/>
                <w:lang w:val="ro-RO" w:eastAsia="ja-JP"/>
              </w:rPr>
              <w:t>instalațiilor</w:t>
            </w:r>
            <w:r w:rsidRPr="00F402B6">
              <w:rPr>
                <w:rFonts w:ascii="Times New Roman" w:eastAsia="Batang" w:hAnsi="Times New Roman" w:cs="Times New Roman"/>
                <w:bCs/>
                <w:sz w:val="24"/>
                <w:szCs w:val="24"/>
                <w:lang w:val="ro-RO" w:eastAsia="ja-JP"/>
              </w:rPr>
              <w:t xml:space="preserve"> de încălzire cu </w:t>
            </w:r>
            <w:proofErr w:type="spellStart"/>
            <w:r w:rsidRPr="00F402B6">
              <w:rPr>
                <w:rFonts w:ascii="Times New Roman" w:eastAsia="Batang" w:hAnsi="Times New Roman" w:cs="Times New Roman"/>
                <w:bCs/>
                <w:sz w:val="24"/>
                <w:szCs w:val="24"/>
                <w:lang w:val="ro-RO" w:eastAsia="ja-JP"/>
              </w:rPr>
              <w:t>funcţie</w:t>
            </w:r>
            <w:proofErr w:type="spellEnd"/>
            <w:r w:rsidRPr="00F402B6">
              <w:rPr>
                <w:rFonts w:ascii="Times New Roman" w:eastAsia="Batang" w:hAnsi="Times New Roman" w:cs="Times New Roman"/>
                <w:bCs/>
                <w:sz w:val="24"/>
                <w:szCs w:val="24"/>
                <w:lang w:val="ro-RO" w:eastAsia="ja-JP"/>
              </w:rPr>
              <w:t xml:space="preserve"> dublă, </w:t>
            </w:r>
            <w:r w:rsidR="00223775">
              <w:rPr>
                <w:rFonts w:ascii="Times New Roman" w:eastAsia="Batang" w:hAnsi="Times New Roman" w:cs="Times New Roman"/>
                <w:bCs/>
                <w:sz w:val="24"/>
                <w:szCs w:val="24"/>
                <w:lang w:val="ro-RO" w:eastAsia="ja-JP"/>
              </w:rPr>
              <w:t xml:space="preserve">continuă să </w:t>
            </w:r>
            <w:r w:rsidR="00DF4519">
              <w:rPr>
                <w:rFonts w:ascii="Times New Roman" w:eastAsia="Batang" w:hAnsi="Times New Roman" w:cs="Times New Roman"/>
                <w:bCs/>
                <w:sz w:val="24"/>
                <w:szCs w:val="24"/>
                <w:lang w:val="ro-RO" w:eastAsia="ja-JP"/>
              </w:rPr>
              <w:t>plaseze</w:t>
            </w:r>
            <w:r w:rsidRPr="00F402B6">
              <w:rPr>
                <w:rFonts w:ascii="Times New Roman" w:eastAsia="Batang" w:hAnsi="Times New Roman" w:cs="Times New Roman"/>
                <w:bCs/>
                <w:sz w:val="24"/>
                <w:szCs w:val="24"/>
                <w:lang w:val="ro-RO" w:eastAsia="ja-JP"/>
              </w:rPr>
              <w:t xml:space="preserve"> pe piață produse ce respectă cerințele</w:t>
            </w:r>
            <w:r w:rsidR="00223775">
              <w:rPr>
                <w:rFonts w:ascii="Times New Roman" w:eastAsia="Batang" w:hAnsi="Times New Roman" w:cs="Times New Roman"/>
                <w:bCs/>
                <w:sz w:val="24"/>
                <w:szCs w:val="24"/>
                <w:lang w:val="ro-RO" w:eastAsia="ja-JP"/>
              </w:rPr>
              <w:t xml:space="preserve"> stabilite în HG 428/2009</w:t>
            </w:r>
            <w:r w:rsidRPr="00F402B6">
              <w:rPr>
                <w:rFonts w:ascii="Times New Roman" w:eastAsia="Batang" w:hAnsi="Times New Roman" w:cs="Times New Roman"/>
                <w:bCs/>
                <w:sz w:val="24"/>
                <w:szCs w:val="24"/>
                <w:lang w:val="ro-RO" w:eastAsia="ja-JP"/>
              </w:rPr>
              <w:t>;</w:t>
            </w:r>
          </w:p>
          <w:p w14:paraId="0FD05E58" w14:textId="47C01283" w:rsidR="00384CA5" w:rsidRDefault="00DF4519" w:rsidP="0022377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Consumatorii nu au acces sigur la instalații </w:t>
            </w:r>
            <w:r w:rsidRPr="00DF4519">
              <w:rPr>
                <w:rFonts w:ascii="Times New Roman" w:eastAsia="Batang" w:hAnsi="Times New Roman" w:cs="Times New Roman"/>
                <w:bCs/>
                <w:sz w:val="24"/>
                <w:szCs w:val="24"/>
                <w:lang w:val="ro-RO" w:eastAsia="ja-JP"/>
              </w:rPr>
              <w:t>pentru încălzirea incinte</w:t>
            </w:r>
            <w:r>
              <w:rPr>
                <w:rFonts w:ascii="Times New Roman" w:eastAsia="Batang" w:hAnsi="Times New Roman" w:cs="Times New Roman"/>
                <w:bCs/>
                <w:sz w:val="24"/>
                <w:szCs w:val="24"/>
                <w:lang w:val="ro-RO" w:eastAsia="ja-JP"/>
              </w:rPr>
              <w:t xml:space="preserve">lor </w:t>
            </w:r>
            <w:proofErr w:type="spellStart"/>
            <w:r>
              <w:rPr>
                <w:rFonts w:ascii="Times New Roman" w:eastAsia="Batang" w:hAnsi="Times New Roman" w:cs="Times New Roman"/>
                <w:bCs/>
                <w:sz w:val="24"/>
                <w:szCs w:val="24"/>
                <w:lang w:val="ro-RO" w:eastAsia="ja-JP"/>
              </w:rPr>
              <w:t>şi</w:t>
            </w:r>
            <w:proofErr w:type="spellEnd"/>
            <w:r>
              <w:rPr>
                <w:rFonts w:ascii="Times New Roman" w:eastAsia="Batang" w:hAnsi="Times New Roman" w:cs="Times New Roman"/>
                <w:bCs/>
                <w:sz w:val="24"/>
                <w:szCs w:val="24"/>
                <w:lang w:val="ro-RO" w:eastAsia="ja-JP"/>
              </w:rPr>
              <w:t xml:space="preserve"> instalații </w:t>
            </w:r>
            <w:r w:rsidRPr="00DF4519">
              <w:rPr>
                <w:rFonts w:ascii="Times New Roman" w:eastAsia="Batang" w:hAnsi="Times New Roman" w:cs="Times New Roman"/>
                <w:bCs/>
                <w:sz w:val="24"/>
                <w:szCs w:val="24"/>
                <w:lang w:val="ro-RO" w:eastAsia="ja-JP"/>
              </w:rPr>
              <w:t xml:space="preserve">de încălzire cu </w:t>
            </w:r>
            <w:r w:rsidR="0043674F" w:rsidRPr="00DF4519">
              <w:rPr>
                <w:rFonts w:ascii="Times New Roman" w:eastAsia="Batang" w:hAnsi="Times New Roman" w:cs="Times New Roman"/>
                <w:bCs/>
                <w:sz w:val="24"/>
                <w:szCs w:val="24"/>
                <w:lang w:val="ro-RO" w:eastAsia="ja-JP"/>
              </w:rPr>
              <w:t>funcție</w:t>
            </w:r>
            <w:r w:rsidRPr="00DF4519">
              <w:rPr>
                <w:rFonts w:ascii="Times New Roman" w:eastAsia="Batang" w:hAnsi="Times New Roman" w:cs="Times New Roman"/>
                <w:bCs/>
                <w:sz w:val="24"/>
                <w:szCs w:val="24"/>
                <w:lang w:val="ro-RO" w:eastAsia="ja-JP"/>
              </w:rPr>
              <w:t xml:space="preserve"> dublă</w:t>
            </w:r>
            <w:r>
              <w:rPr>
                <w:rFonts w:ascii="Times New Roman" w:eastAsia="Batang" w:hAnsi="Times New Roman" w:cs="Times New Roman"/>
                <w:bCs/>
                <w:sz w:val="24"/>
                <w:szCs w:val="24"/>
                <w:lang w:val="ro-RO" w:eastAsia="ja-JP"/>
              </w:rPr>
              <w:t xml:space="preserve"> performante</w:t>
            </w:r>
            <w:r w:rsidR="0043674F">
              <w:rPr>
                <w:rFonts w:ascii="Times New Roman" w:eastAsia="Batang" w:hAnsi="Times New Roman" w:cs="Times New Roman"/>
                <w:bCs/>
                <w:sz w:val="24"/>
                <w:szCs w:val="24"/>
                <w:lang w:val="ro-RO" w:eastAsia="ja-JP"/>
              </w:rPr>
              <w:t>,</w:t>
            </w:r>
            <w:r>
              <w:rPr>
                <w:rFonts w:ascii="Times New Roman" w:eastAsia="Batang" w:hAnsi="Times New Roman" w:cs="Times New Roman"/>
                <w:bCs/>
                <w:sz w:val="24"/>
                <w:szCs w:val="24"/>
                <w:lang w:val="ro-RO" w:eastAsia="ja-JP"/>
              </w:rPr>
              <w:t xml:space="preserve"> </w:t>
            </w:r>
            <w:r w:rsidR="0043674F">
              <w:rPr>
                <w:rFonts w:ascii="Times New Roman" w:eastAsia="Batang" w:hAnsi="Times New Roman" w:cs="Times New Roman"/>
                <w:bCs/>
                <w:sz w:val="24"/>
                <w:szCs w:val="24"/>
                <w:lang w:val="ro-RO" w:eastAsia="ja-JP"/>
              </w:rPr>
              <w:t xml:space="preserve">în </w:t>
            </w:r>
            <w:r>
              <w:rPr>
                <w:rFonts w:ascii="Times New Roman" w:eastAsia="Batang" w:hAnsi="Times New Roman" w:cs="Times New Roman"/>
                <w:bCs/>
                <w:sz w:val="24"/>
                <w:szCs w:val="24"/>
                <w:lang w:val="ro-RO" w:eastAsia="ja-JP"/>
              </w:rPr>
              <w:t>conform</w:t>
            </w:r>
            <w:r w:rsidR="0043674F">
              <w:rPr>
                <w:rFonts w:ascii="Times New Roman" w:eastAsia="Batang" w:hAnsi="Times New Roman" w:cs="Times New Roman"/>
                <w:bCs/>
                <w:sz w:val="24"/>
                <w:szCs w:val="24"/>
                <w:lang w:val="ro-RO" w:eastAsia="ja-JP"/>
              </w:rPr>
              <w:t>itate cu</w:t>
            </w:r>
            <w:r>
              <w:rPr>
                <w:rFonts w:ascii="Times New Roman" w:eastAsia="Batang" w:hAnsi="Times New Roman" w:cs="Times New Roman"/>
                <w:bCs/>
                <w:sz w:val="24"/>
                <w:szCs w:val="24"/>
                <w:lang w:val="ro-RO" w:eastAsia="ja-JP"/>
              </w:rPr>
              <w:t xml:space="preserve"> ultime</w:t>
            </w:r>
            <w:r w:rsidR="0043674F">
              <w:rPr>
                <w:rFonts w:ascii="Times New Roman" w:eastAsia="Batang" w:hAnsi="Times New Roman" w:cs="Times New Roman"/>
                <w:bCs/>
                <w:sz w:val="24"/>
                <w:szCs w:val="24"/>
                <w:lang w:val="ro-RO" w:eastAsia="ja-JP"/>
              </w:rPr>
              <w:t>le</w:t>
            </w:r>
            <w:r>
              <w:rPr>
                <w:rFonts w:ascii="Times New Roman" w:eastAsia="Batang" w:hAnsi="Times New Roman" w:cs="Times New Roman"/>
                <w:bCs/>
                <w:sz w:val="24"/>
                <w:szCs w:val="24"/>
                <w:lang w:val="ro-RO" w:eastAsia="ja-JP"/>
              </w:rPr>
              <w:t xml:space="preserve"> evoluții teogonice;</w:t>
            </w:r>
          </w:p>
          <w:p w14:paraId="0B25EF7F" w14:textId="096CE38A" w:rsidR="0043674F" w:rsidRDefault="0043674F" w:rsidP="0022377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Alegerea</w:t>
            </w:r>
            <w:r w:rsidR="00731371">
              <w:rPr>
                <w:rFonts w:ascii="Times New Roman" w:eastAsia="Batang" w:hAnsi="Times New Roman" w:cs="Times New Roman"/>
                <w:bCs/>
                <w:sz w:val="24"/>
                <w:szCs w:val="24"/>
                <w:lang w:val="ro-RO" w:eastAsia="ja-JP"/>
              </w:rPr>
              <w:t xml:space="preserve"> și achiziționarea</w:t>
            </w:r>
            <w:r>
              <w:rPr>
                <w:rFonts w:ascii="Times New Roman" w:eastAsia="Batang" w:hAnsi="Times New Roman" w:cs="Times New Roman"/>
                <w:bCs/>
                <w:sz w:val="24"/>
                <w:szCs w:val="24"/>
                <w:lang w:val="ro-RO" w:eastAsia="ja-JP"/>
              </w:rPr>
              <w:t xml:space="preserve"> în cu</w:t>
            </w:r>
            <w:r w:rsidR="008078F5">
              <w:rPr>
                <w:rFonts w:ascii="Times New Roman" w:eastAsia="Batang" w:hAnsi="Times New Roman" w:cs="Times New Roman"/>
                <w:bCs/>
                <w:sz w:val="24"/>
                <w:szCs w:val="24"/>
                <w:lang w:val="ro-RO" w:eastAsia="ja-JP"/>
              </w:rPr>
              <w:t xml:space="preserve">noștință de cauză, de </w:t>
            </w:r>
            <w:r w:rsidR="00731371">
              <w:rPr>
                <w:rFonts w:ascii="Times New Roman" w:eastAsia="Batang" w:hAnsi="Times New Roman" w:cs="Times New Roman"/>
                <w:bCs/>
                <w:sz w:val="24"/>
                <w:szCs w:val="24"/>
                <w:lang w:val="ro-RO" w:eastAsia="ja-JP"/>
              </w:rPr>
              <w:t>către consumator</w:t>
            </w:r>
            <w:r w:rsidR="008078F5">
              <w:rPr>
                <w:rFonts w:ascii="Times New Roman" w:eastAsia="Batang" w:hAnsi="Times New Roman" w:cs="Times New Roman"/>
                <w:bCs/>
                <w:sz w:val="24"/>
                <w:szCs w:val="24"/>
                <w:lang w:val="ro-RO" w:eastAsia="ja-JP"/>
              </w:rPr>
              <w:t>,</w:t>
            </w:r>
            <w:r w:rsidR="00731371">
              <w:rPr>
                <w:rFonts w:ascii="Times New Roman" w:eastAsia="Batang" w:hAnsi="Times New Roman" w:cs="Times New Roman"/>
                <w:bCs/>
                <w:sz w:val="24"/>
                <w:szCs w:val="24"/>
                <w:lang w:val="ro-RO" w:eastAsia="ja-JP"/>
              </w:rPr>
              <w:t xml:space="preserve"> a </w:t>
            </w:r>
            <w:r w:rsidR="00731371" w:rsidRPr="00731371">
              <w:rPr>
                <w:rFonts w:ascii="Times New Roman" w:eastAsia="Batang" w:hAnsi="Times New Roman" w:cs="Times New Roman"/>
                <w:bCs/>
                <w:sz w:val="24"/>
                <w:szCs w:val="24"/>
                <w:lang w:val="ro-RO" w:eastAsia="ja-JP"/>
              </w:rPr>
              <w:t xml:space="preserve">instalațiilor pentru încălzirea incintelor </w:t>
            </w:r>
            <w:proofErr w:type="spellStart"/>
            <w:r w:rsidR="00731371" w:rsidRPr="00731371">
              <w:rPr>
                <w:rFonts w:ascii="Times New Roman" w:eastAsia="Batang" w:hAnsi="Times New Roman" w:cs="Times New Roman"/>
                <w:bCs/>
                <w:sz w:val="24"/>
                <w:szCs w:val="24"/>
                <w:lang w:val="ro-RO" w:eastAsia="ja-JP"/>
              </w:rPr>
              <w:t>şi</w:t>
            </w:r>
            <w:proofErr w:type="spellEnd"/>
            <w:r w:rsidR="00731371" w:rsidRPr="00731371">
              <w:rPr>
                <w:rFonts w:ascii="Times New Roman" w:eastAsia="Batang" w:hAnsi="Times New Roman" w:cs="Times New Roman"/>
                <w:bCs/>
                <w:sz w:val="24"/>
                <w:szCs w:val="24"/>
                <w:lang w:val="ro-RO" w:eastAsia="ja-JP"/>
              </w:rPr>
              <w:t xml:space="preserve"> instalațiilor de încălzire cu </w:t>
            </w:r>
            <w:r w:rsidR="008078F5" w:rsidRPr="00731371">
              <w:rPr>
                <w:rFonts w:ascii="Times New Roman" w:eastAsia="Batang" w:hAnsi="Times New Roman" w:cs="Times New Roman"/>
                <w:bCs/>
                <w:sz w:val="24"/>
                <w:szCs w:val="24"/>
                <w:lang w:val="ro-RO" w:eastAsia="ja-JP"/>
              </w:rPr>
              <w:t>funcție</w:t>
            </w:r>
            <w:r w:rsidR="00731371" w:rsidRPr="00731371">
              <w:rPr>
                <w:rFonts w:ascii="Times New Roman" w:eastAsia="Batang" w:hAnsi="Times New Roman" w:cs="Times New Roman"/>
                <w:bCs/>
                <w:sz w:val="24"/>
                <w:szCs w:val="24"/>
                <w:lang w:val="ro-RO" w:eastAsia="ja-JP"/>
              </w:rPr>
              <w:t xml:space="preserve"> dublă </w:t>
            </w:r>
            <w:r w:rsidR="00731371">
              <w:rPr>
                <w:rFonts w:ascii="Times New Roman" w:eastAsia="Batang" w:hAnsi="Times New Roman" w:cs="Times New Roman"/>
                <w:bCs/>
                <w:sz w:val="24"/>
                <w:szCs w:val="24"/>
                <w:lang w:val="ro-RO" w:eastAsia="ja-JP"/>
              </w:rPr>
              <w:t>este</w:t>
            </w:r>
            <w:r>
              <w:rPr>
                <w:rFonts w:ascii="Times New Roman" w:eastAsia="Batang" w:hAnsi="Times New Roman" w:cs="Times New Roman"/>
                <w:bCs/>
                <w:sz w:val="24"/>
                <w:szCs w:val="24"/>
                <w:lang w:val="ro-RO" w:eastAsia="ja-JP"/>
              </w:rPr>
              <w:t xml:space="preserve"> </w:t>
            </w:r>
            <w:r w:rsidR="008078F5">
              <w:rPr>
                <w:rFonts w:ascii="Times New Roman" w:eastAsia="Batang" w:hAnsi="Times New Roman" w:cs="Times New Roman"/>
                <w:bCs/>
                <w:sz w:val="24"/>
                <w:szCs w:val="24"/>
                <w:lang w:val="ro-RO" w:eastAsia="ja-JP"/>
              </w:rPr>
              <w:t xml:space="preserve">complicată dificilă și practic imposibilă, având în vedere că pe piață sunt plasate produse </w:t>
            </w:r>
            <w:r w:rsidR="005C3B48">
              <w:rPr>
                <w:rFonts w:ascii="Times New Roman" w:eastAsia="Batang" w:hAnsi="Times New Roman" w:cs="Times New Roman"/>
                <w:bCs/>
                <w:sz w:val="24"/>
                <w:szCs w:val="24"/>
                <w:lang w:val="ro-RO" w:eastAsia="ja-JP"/>
              </w:rPr>
              <w:t>conforme vechilor și noilor cerințe.</w:t>
            </w:r>
          </w:p>
          <w:p w14:paraId="2E92FC70" w14:textId="5F44576C" w:rsidR="00384CA5" w:rsidRDefault="00384CA5" w:rsidP="0022377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N</w:t>
            </w:r>
            <w:r w:rsidRPr="00384CA5">
              <w:rPr>
                <w:rFonts w:ascii="Times New Roman" w:eastAsia="Batang" w:hAnsi="Times New Roman" w:cs="Times New Roman"/>
                <w:bCs/>
                <w:sz w:val="24"/>
                <w:szCs w:val="24"/>
                <w:lang w:val="ro-RO" w:eastAsia="ja-JP"/>
              </w:rPr>
              <w:t xml:space="preserve">u vor fi reduse barierele în calea comerțului și nu vor fi stabilite cerințele unificate cu cele a UE față de </w:t>
            </w:r>
            <w:proofErr w:type="spellStart"/>
            <w:r w:rsidR="00B77FA7" w:rsidRPr="00B77FA7">
              <w:rPr>
                <w:rFonts w:ascii="Times New Roman" w:eastAsia="Batang" w:hAnsi="Times New Roman" w:cs="Times New Roman"/>
                <w:bCs/>
                <w:sz w:val="24"/>
                <w:szCs w:val="24"/>
                <w:lang w:val="ro-RO" w:eastAsia="ja-JP"/>
              </w:rPr>
              <w:t>instalații</w:t>
            </w:r>
            <w:r w:rsidR="00B77FA7">
              <w:rPr>
                <w:rFonts w:ascii="Times New Roman" w:eastAsia="Batang" w:hAnsi="Times New Roman" w:cs="Times New Roman"/>
                <w:bCs/>
                <w:sz w:val="24"/>
                <w:szCs w:val="24"/>
                <w:lang w:val="ro-RO" w:eastAsia="ja-JP"/>
              </w:rPr>
              <w:t>e</w:t>
            </w:r>
            <w:proofErr w:type="spellEnd"/>
            <w:r w:rsidR="00B77FA7" w:rsidRPr="00B77FA7">
              <w:rPr>
                <w:rFonts w:ascii="Times New Roman" w:eastAsia="Batang" w:hAnsi="Times New Roman" w:cs="Times New Roman"/>
                <w:bCs/>
                <w:sz w:val="24"/>
                <w:szCs w:val="24"/>
                <w:lang w:val="ro-RO" w:eastAsia="ja-JP"/>
              </w:rPr>
              <w:t xml:space="preserve"> pentru încălzirea incintelor </w:t>
            </w:r>
            <w:proofErr w:type="spellStart"/>
            <w:r w:rsidR="00B77FA7" w:rsidRPr="00B77FA7">
              <w:rPr>
                <w:rFonts w:ascii="Times New Roman" w:eastAsia="Batang" w:hAnsi="Times New Roman" w:cs="Times New Roman"/>
                <w:bCs/>
                <w:sz w:val="24"/>
                <w:szCs w:val="24"/>
                <w:lang w:val="ro-RO" w:eastAsia="ja-JP"/>
              </w:rPr>
              <w:t>şi</w:t>
            </w:r>
            <w:proofErr w:type="spellEnd"/>
            <w:r w:rsidR="00B77FA7" w:rsidRPr="00B77FA7">
              <w:rPr>
                <w:rFonts w:ascii="Times New Roman" w:eastAsia="Batang" w:hAnsi="Times New Roman" w:cs="Times New Roman"/>
                <w:bCs/>
                <w:sz w:val="24"/>
                <w:szCs w:val="24"/>
                <w:lang w:val="ro-RO" w:eastAsia="ja-JP"/>
              </w:rPr>
              <w:t xml:space="preserve"> instalațiil</w:t>
            </w:r>
            <w:r w:rsidR="00B77FA7">
              <w:rPr>
                <w:rFonts w:ascii="Times New Roman" w:eastAsia="Batang" w:hAnsi="Times New Roman" w:cs="Times New Roman"/>
                <w:bCs/>
                <w:sz w:val="24"/>
                <w:szCs w:val="24"/>
                <w:lang w:val="ro-RO" w:eastAsia="ja-JP"/>
              </w:rPr>
              <w:t>e</w:t>
            </w:r>
            <w:r w:rsidR="00B77FA7" w:rsidRPr="00B77FA7">
              <w:rPr>
                <w:rFonts w:ascii="Times New Roman" w:eastAsia="Batang" w:hAnsi="Times New Roman" w:cs="Times New Roman"/>
                <w:bCs/>
                <w:sz w:val="24"/>
                <w:szCs w:val="24"/>
                <w:lang w:val="ro-RO" w:eastAsia="ja-JP"/>
              </w:rPr>
              <w:t xml:space="preserve"> de încălzire cu </w:t>
            </w:r>
            <w:proofErr w:type="spellStart"/>
            <w:r w:rsidR="00B77FA7" w:rsidRPr="00B77FA7">
              <w:rPr>
                <w:rFonts w:ascii="Times New Roman" w:eastAsia="Batang" w:hAnsi="Times New Roman" w:cs="Times New Roman"/>
                <w:bCs/>
                <w:sz w:val="24"/>
                <w:szCs w:val="24"/>
                <w:lang w:val="ro-RO" w:eastAsia="ja-JP"/>
              </w:rPr>
              <w:t>funcţie</w:t>
            </w:r>
            <w:proofErr w:type="spellEnd"/>
            <w:r w:rsidR="00B77FA7" w:rsidRPr="00B77FA7">
              <w:rPr>
                <w:rFonts w:ascii="Times New Roman" w:eastAsia="Batang" w:hAnsi="Times New Roman" w:cs="Times New Roman"/>
                <w:bCs/>
                <w:sz w:val="24"/>
                <w:szCs w:val="24"/>
                <w:lang w:val="ro-RO" w:eastAsia="ja-JP"/>
              </w:rPr>
              <w:t xml:space="preserve"> dublă</w:t>
            </w:r>
            <w:r w:rsidRPr="00384CA5">
              <w:rPr>
                <w:rFonts w:ascii="Times New Roman" w:eastAsia="Batang" w:hAnsi="Times New Roman" w:cs="Times New Roman"/>
                <w:bCs/>
                <w:sz w:val="24"/>
                <w:szCs w:val="24"/>
                <w:lang w:val="ro-RO" w:eastAsia="ja-JP"/>
              </w:rPr>
              <w:t>.</w:t>
            </w:r>
          </w:p>
          <w:p w14:paraId="2EC3A232" w14:textId="307D983D" w:rsidR="00A01E08" w:rsidRPr="00A01E08" w:rsidRDefault="00A01E08" w:rsidP="00762E3B">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Agenția pentru Protecția Consumatorilor </w:t>
            </w:r>
            <w:r w:rsidR="00223775">
              <w:rPr>
                <w:rFonts w:ascii="Times New Roman" w:eastAsia="Batang" w:hAnsi="Times New Roman" w:cs="Times New Roman"/>
                <w:bCs/>
                <w:sz w:val="24"/>
                <w:szCs w:val="24"/>
                <w:lang w:val="ro-RO" w:eastAsia="ja-JP"/>
              </w:rPr>
              <w:t>nu</w:t>
            </w:r>
            <w:r w:rsidR="00F402B6">
              <w:rPr>
                <w:rFonts w:ascii="Times New Roman" w:eastAsia="Batang" w:hAnsi="Times New Roman" w:cs="Times New Roman"/>
                <w:bCs/>
                <w:sz w:val="24"/>
                <w:szCs w:val="24"/>
                <w:lang w:val="ro-RO" w:eastAsia="ja-JP"/>
              </w:rPr>
              <w:t xml:space="preserve"> </w:t>
            </w:r>
            <w:r w:rsidR="005C3B48">
              <w:rPr>
                <w:rFonts w:ascii="Times New Roman" w:eastAsia="Batang" w:hAnsi="Times New Roman" w:cs="Times New Roman"/>
                <w:bCs/>
                <w:sz w:val="24"/>
                <w:szCs w:val="24"/>
                <w:lang w:val="ro-RO" w:eastAsia="ja-JP"/>
              </w:rPr>
              <w:t xml:space="preserve">va </w:t>
            </w:r>
            <w:r w:rsidR="00DF4519">
              <w:rPr>
                <w:rFonts w:ascii="Times New Roman" w:eastAsia="Batang" w:hAnsi="Times New Roman" w:cs="Times New Roman"/>
                <w:bCs/>
                <w:sz w:val="24"/>
                <w:szCs w:val="24"/>
                <w:lang w:val="ro-RO" w:eastAsia="ja-JP"/>
              </w:rPr>
              <w:t xml:space="preserve">dispune de un </w:t>
            </w:r>
            <w:r w:rsidR="005C3B48">
              <w:rPr>
                <w:rFonts w:ascii="Times New Roman" w:eastAsia="Batang" w:hAnsi="Times New Roman" w:cs="Times New Roman"/>
                <w:bCs/>
                <w:sz w:val="24"/>
                <w:szCs w:val="24"/>
                <w:lang w:val="ro-RO" w:eastAsia="ja-JP"/>
              </w:rPr>
              <w:t>instrument</w:t>
            </w:r>
            <w:r w:rsidR="00DF4519">
              <w:rPr>
                <w:rFonts w:ascii="Times New Roman" w:eastAsia="Batang" w:hAnsi="Times New Roman" w:cs="Times New Roman"/>
                <w:bCs/>
                <w:sz w:val="24"/>
                <w:szCs w:val="24"/>
                <w:lang w:val="ro-RO" w:eastAsia="ja-JP"/>
              </w:rPr>
              <w:t xml:space="preserve"> prin care poate verifica </w:t>
            </w:r>
            <w:r w:rsidR="005C3B48">
              <w:rPr>
                <w:rFonts w:ascii="Times New Roman" w:eastAsia="Batang" w:hAnsi="Times New Roman" w:cs="Times New Roman"/>
                <w:bCs/>
                <w:sz w:val="24"/>
                <w:szCs w:val="24"/>
                <w:lang w:val="ro-RO" w:eastAsia="ja-JP"/>
              </w:rPr>
              <w:t xml:space="preserve">corespundarea </w:t>
            </w:r>
            <w:r w:rsidR="005C3B48" w:rsidRPr="005C3B48">
              <w:rPr>
                <w:rFonts w:ascii="Times New Roman" w:eastAsia="Batang" w:hAnsi="Times New Roman" w:cs="Times New Roman"/>
                <w:bCs/>
                <w:sz w:val="24"/>
                <w:szCs w:val="24"/>
                <w:lang w:val="ro-RO" w:eastAsia="ja-JP"/>
              </w:rPr>
              <w:t xml:space="preserve">a instalațiilor pentru încălzirea incintelor </w:t>
            </w:r>
            <w:proofErr w:type="spellStart"/>
            <w:r w:rsidR="005C3B48" w:rsidRPr="005C3B48">
              <w:rPr>
                <w:rFonts w:ascii="Times New Roman" w:eastAsia="Batang" w:hAnsi="Times New Roman" w:cs="Times New Roman"/>
                <w:bCs/>
                <w:sz w:val="24"/>
                <w:szCs w:val="24"/>
                <w:lang w:val="ro-RO" w:eastAsia="ja-JP"/>
              </w:rPr>
              <w:t>şi</w:t>
            </w:r>
            <w:proofErr w:type="spellEnd"/>
            <w:r w:rsidR="005C3B48" w:rsidRPr="005C3B48">
              <w:rPr>
                <w:rFonts w:ascii="Times New Roman" w:eastAsia="Batang" w:hAnsi="Times New Roman" w:cs="Times New Roman"/>
                <w:bCs/>
                <w:sz w:val="24"/>
                <w:szCs w:val="24"/>
                <w:lang w:val="ro-RO" w:eastAsia="ja-JP"/>
              </w:rPr>
              <w:t xml:space="preserve"> instalațiilor de încălzire cu funcție dublă </w:t>
            </w:r>
            <w:r w:rsidR="00762E3B">
              <w:rPr>
                <w:rFonts w:ascii="Times New Roman" w:eastAsia="Batang" w:hAnsi="Times New Roman" w:cs="Times New Roman"/>
                <w:bCs/>
                <w:sz w:val="24"/>
                <w:szCs w:val="24"/>
                <w:lang w:val="ro-RO" w:eastAsia="ja-JP"/>
              </w:rPr>
              <w:t>cu noile cerințe,</w:t>
            </w:r>
          </w:p>
        </w:tc>
      </w:tr>
      <w:tr w:rsidR="00B468B6" w:rsidRPr="00B76CED" w14:paraId="36156785" w14:textId="77777777" w:rsidTr="003319EB">
        <w:trPr>
          <w:jc w:val="center"/>
        </w:trPr>
        <w:tc>
          <w:tcPr>
            <w:tcW w:w="5000" w:type="pct"/>
            <w:gridSpan w:val="2"/>
            <w:shd w:val="clear" w:color="auto" w:fill="auto"/>
            <w:tcMar>
              <w:top w:w="15" w:type="dxa"/>
              <w:left w:w="45" w:type="dxa"/>
              <w:bottom w:w="15" w:type="dxa"/>
              <w:right w:w="45" w:type="dxa"/>
            </w:tcMar>
          </w:tcPr>
          <w:p w14:paraId="764E54BA" w14:textId="2B1620FC"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6C182E"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principalele prevederi ale proiectului, cu impact, </w:t>
            </w:r>
            <w:r w:rsidR="00154177" w:rsidRPr="00EB1C0D">
              <w:rPr>
                <w:rFonts w:ascii="Times New Roman" w:eastAsia="Calibri" w:hAnsi="Times New Roman" w:cs="Times New Roman"/>
                <w:b/>
                <w:sz w:val="24"/>
                <w:szCs w:val="24"/>
                <w:lang w:val="ro-RO" w:eastAsia="en-GB"/>
              </w:rPr>
              <w:t>explicând</w:t>
            </w:r>
            <w:r w:rsidRPr="00EB1C0D">
              <w:rPr>
                <w:rFonts w:ascii="Times New Roman" w:eastAsia="Calibri" w:hAnsi="Times New Roman" w:cs="Times New Roman"/>
                <w:b/>
                <w:sz w:val="24"/>
                <w:szCs w:val="24"/>
                <w:lang w:val="ro-RO" w:eastAsia="en-GB"/>
              </w:rPr>
              <w:t xml:space="preserve"> cum acestea </w:t>
            </w:r>
            <w:r w:rsidR="00154177" w:rsidRPr="00EB1C0D">
              <w:rPr>
                <w:rFonts w:ascii="Times New Roman" w:eastAsia="Calibri" w:hAnsi="Times New Roman" w:cs="Times New Roman"/>
                <w:b/>
                <w:sz w:val="24"/>
                <w:szCs w:val="24"/>
                <w:lang w:val="ro-RO" w:eastAsia="en-GB"/>
              </w:rPr>
              <w:t>țintesc</w:t>
            </w:r>
            <w:r w:rsidRPr="00EB1C0D">
              <w:rPr>
                <w:rFonts w:ascii="Times New Roman" w:eastAsia="Calibri" w:hAnsi="Times New Roman" w:cs="Times New Roman"/>
                <w:b/>
                <w:sz w:val="24"/>
                <w:szCs w:val="24"/>
                <w:lang w:val="ro-RO" w:eastAsia="en-GB"/>
              </w:rPr>
              <w:t xml:space="preserve"> cauzele problemei, cu indicarea </w:t>
            </w:r>
            <w:r w:rsidR="00154177" w:rsidRPr="00EB1C0D">
              <w:rPr>
                <w:rFonts w:ascii="Times New Roman" w:eastAsia="Calibri" w:hAnsi="Times New Roman" w:cs="Times New Roman"/>
                <w:b/>
                <w:sz w:val="24"/>
                <w:szCs w:val="24"/>
                <w:lang w:val="ro-RO" w:eastAsia="en-GB"/>
              </w:rPr>
              <w:t>novațiilor</w:t>
            </w:r>
            <w:r w:rsidRPr="00EB1C0D">
              <w:rPr>
                <w:rFonts w:ascii="Times New Roman" w:eastAsia="Calibri" w:hAnsi="Times New Roman" w:cs="Times New Roman"/>
                <w:b/>
                <w:sz w:val="24"/>
                <w:szCs w:val="24"/>
                <w:lang w:val="ro-RO" w:eastAsia="en-GB"/>
              </w:rPr>
              <w:t xml:space="preserve"> </w:t>
            </w:r>
            <w:r w:rsidR="00154177"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întregului spectru de </w:t>
            </w:r>
            <w:r w:rsidR="00154177" w:rsidRPr="00EB1C0D">
              <w:rPr>
                <w:rFonts w:ascii="Times New Roman" w:eastAsia="Calibri" w:hAnsi="Times New Roman" w:cs="Times New Roman"/>
                <w:b/>
                <w:sz w:val="24"/>
                <w:szCs w:val="24"/>
                <w:lang w:val="ro-RO" w:eastAsia="en-GB"/>
              </w:rPr>
              <w:t>soluții</w:t>
            </w:r>
            <w:r w:rsidRPr="00EB1C0D">
              <w:rPr>
                <w:rFonts w:ascii="Times New Roman" w:eastAsia="Calibri" w:hAnsi="Times New Roman" w:cs="Times New Roman"/>
                <w:b/>
                <w:sz w:val="24"/>
                <w:szCs w:val="24"/>
                <w:lang w:val="ro-RO" w:eastAsia="en-GB"/>
              </w:rPr>
              <w:t>/drepturi/</w:t>
            </w:r>
            <w:r w:rsidR="00154177" w:rsidRPr="00EB1C0D">
              <w:rPr>
                <w:rFonts w:ascii="Times New Roman" w:eastAsia="Calibri" w:hAnsi="Times New Roman" w:cs="Times New Roman"/>
                <w:b/>
                <w:sz w:val="24"/>
                <w:szCs w:val="24"/>
                <w:lang w:val="ro-RO" w:eastAsia="en-GB"/>
              </w:rPr>
              <w:t>obligații</w:t>
            </w:r>
            <w:r w:rsidRPr="00EB1C0D">
              <w:rPr>
                <w:rFonts w:ascii="Times New Roman" w:eastAsia="Calibri" w:hAnsi="Times New Roman" w:cs="Times New Roman"/>
                <w:b/>
                <w:sz w:val="24"/>
                <w:szCs w:val="24"/>
                <w:lang w:val="ro-RO" w:eastAsia="en-GB"/>
              </w:rPr>
              <w:t xml:space="preserve"> ce se doresc să fie aprobate</w:t>
            </w:r>
            <w:r w:rsidR="00631D93" w:rsidRPr="00EB1C0D">
              <w:rPr>
                <w:rFonts w:ascii="Times New Roman" w:eastAsia="Calibri" w:hAnsi="Times New Roman" w:cs="Times New Roman"/>
                <w:b/>
                <w:sz w:val="24"/>
                <w:szCs w:val="24"/>
                <w:lang w:val="ro-RO" w:eastAsia="en-GB"/>
              </w:rPr>
              <w:t>.</w:t>
            </w:r>
          </w:p>
        </w:tc>
      </w:tr>
      <w:tr w:rsidR="00B468B6" w:rsidRPr="00B76CED" w14:paraId="1D80E1C2" w14:textId="77777777" w:rsidTr="003319EB">
        <w:trPr>
          <w:trHeight w:val="783"/>
          <w:jc w:val="center"/>
        </w:trPr>
        <w:tc>
          <w:tcPr>
            <w:tcW w:w="5000" w:type="pct"/>
            <w:gridSpan w:val="2"/>
            <w:tcMar>
              <w:top w:w="15" w:type="dxa"/>
              <w:left w:w="45" w:type="dxa"/>
              <w:bottom w:w="15" w:type="dxa"/>
              <w:right w:w="45" w:type="dxa"/>
            </w:tcMar>
          </w:tcPr>
          <w:p w14:paraId="03DCFE71" w14:textId="4B6A79BF" w:rsidR="00EB546A" w:rsidRPr="0002702C" w:rsidRDefault="005467C5" w:rsidP="0002702C">
            <w:pPr>
              <w:tabs>
                <w:tab w:val="left" w:pos="1418"/>
              </w:tabs>
              <w:spacing w:after="60"/>
              <w:jc w:val="both"/>
              <w:rPr>
                <w:rFonts w:ascii="Times New Roman" w:eastAsia="Batang" w:hAnsi="Times New Roman" w:cs="Times New Roman"/>
                <w:bCs/>
                <w:sz w:val="24"/>
                <w:szCs w:val="24"/>
                <w:lang w:val="ro-RO" w:eastAsia="ja-JP"/>
              </w:rPr>
            </w:pPr>
            <w:proofErr w:type="spellStart"/>
            <w:r w:rsidRPr="0002702C">
              <w:rPr>
                <w:rFonts w:ascii="Times New Roman" w:eastAsia="Batang" w:hAnsi="Times New Roman" w:cs="Times New Roman"/>
                <w:bCs/>
                <w:sz w:val="24"/>
                <w:szCs w:val="24"/>
                <w:lang w:val="ro-RO" w:eastAsia="ja-JP"/>
              </w:rPr>
              <w:t>Hotărîrea</w:t>
            </w:r>
            <w:proofErr w:type="spellEnd"/>
            <w:r w:rsidRPr="0002702C">
              <w:rPr>
                <w:rFonts w:ascii="Times New Roman" w:eastAsia="Batang" w:hAnsi="Times New Roman" w:cs="Times New Roman"/>
                <w:bCs/>
                <w:sz w:val="24"/>
                <w:szCs w:val="24"/>
                <w:lang w:val="ro-RO" w:eastAsia="ja-JP"/>
              </w:rPr>
              <w:t xml:space="preserve"> Guvernului nr. 750/2016 „Pentru aprobarea regulamentelor privind </w:t>
            </w:r>
            <w:proofErr w:type="spellStart"/>
            <w:r w:rsidRPr="0002702C">
              <w:rPr>
                <w:rFonts w:ascii="Times New Roman" w:eastAsia="Batang" w:hAnsi="Times New Roman" w:cs="Times New Roman"/>
                <w:bCs/>
                <w:sz w:val="24"/>
                <w:szCs w:val="24"/>
                <w:lang w:val="ro-RO" w:eastAsia="ja-JP"/>
              </w:rPr>
              <w:t>cerinţele</w:t>
            </w:r>
            <w:proofErr w:type="spellEnd"/>
            <w:r w:rsidRPr="0002702C">
              <w:rPr>
                <w:rFonts w:ascii="Times New Roman" w:eastAsia="Batang" w:hAnsi="Times New Roman" w:cs="Times New Roman"/>
                <w:bCs/>
                <w:sz w:val="24"/>
                <w:szCs w:val="24"/>
                <w:lang w:val="ro-RO" w:eastAsia="ja-JP"/>
              </w:rPr>
              <w:t xml:space="preserve"> în materie de proiectare ecologică aplicabile produselor cu impact energetic”, se modifică prin completarea punctului 1 cu textul „(Regulamentul cu privire la cerințele de proiectare ecologică e pentru </w:t>
            </w:r>
            <w:proofErr w:type="spellStart"/>
            <w:r w:rsidRPr="0002702C">
              <w:rPr>
                <w:rFonts w:ascii="Times New Roman" w:eastAsia="Batang" w:hAnsi="Times New Roman" w:cs="Times New Roman"/>
                <w:bCs/>
                <w:sz w:val="24"/>
                <w:szCs w:val="24"/>
                <w:lang w:val="ro-RO" w:eastAsia="ja-JP"/>
              </w:rPr>
              <w:t>instalaţiile</w:t>
            </w:r>
            <w:proofErr w:type="spellEnd"/>
            <w:r w:rsidRPr="0002702C">
              <w:rPr>
                <w:rFonts w:ascii="Times New Roman" w:eastAsia="Batang" w:hAnsi="Times New Roman" w:cs="Times New Roman"/>
                <w:bCs/>
                <w:sz w:val="24"/>
                <w:szCs w:val="24"/>
                <w:lang w:val="ro-RO" w:eastAsia="ja-JP"/>
              </w:rPr>
              <w:t xml:space="preserve"> pentru încălzirea incintelor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w:t>
            </w:r>
            <w:proofErr w:type="spellStart"/>
            <w:r w:rsidRPr="0002702C">
              <w:rPr>
                <w:rFonts w:ascii="Times New Roman" w:eastAsia="Batang" w:hAnsi="Times New Roman" w:cs="Times New Roman"/>
                <w:bCs/>
                <w:sz w:val="24"/>
                <w:szCs w:val="24"/>
                <w:lang w:val="ro-RO" w:eastAsia="ja-JP"/>
              </w:rPr>
              <w:t>instalaţiile</w:t>
            </w:r>
            <w:proofErr w:type="spellEnd"/>
            <w:r w:rsidRPr="0002702C">
              <w:rPr>
                <w:rFonts w:ascii="Times New Roman" w:eastAsia="Batang" w:hAnsi="Times New Roman" w:cs="Times New Roman"/>
                <w:bCs/>
                <w:sz w:val="24"/>
                <w:szCs w:val="24"/>
                <w:lang w:val="ro-RO" w:eastAsia="ja-JP"/>
              </w:rPr>
              <w:t xml:space="preserve"> de încălzire cu </w:t>
            </w:r>
            <w:proofErr w:type="spellStart"/>
            <w:r w:rsidRPr="0002702C">
              <w:rPr>
                <w:rFonts w:ascii="Times New Roman" w:eastAsia="Batang" w:hAnsi="Times New Roman" w:cs="Times New Roman"/>
                <w:bCs/>
                <w:sz w:val="24"/>
                <w:szCs w:val="24"/>
                <w:lang w:val="ro-RO" w:eastAsia="ja-JP"/>
              </w:rPr>
              <w:t>funcţie</w:t>
            </w:r>
            <w:proofErr w:type="spellEnd"/>
            <w:r w:rsidRPr="0002702C">
              <w:rPr>
                <w:rFonts w:ascii="Times New Roman" w:eastAsia="Batang" w:hAnsi="Times New Roman" w:cs="Times New Roman"/>
                <w:bCs/>
                <w:sz w:val="24"/>
                <w:szCs w:val="24"/>
                <w:lang w:val="ro-RO" w:eastAsia="ja-JP"/>
              </w:rPr>
              <w:t xml:space="preserve"> dublă, conform anexei nr.18)”</w:t>
            </w:r>
            <w:r w:rsidR="00846B4E" w:rsidRPr="0002702C">
              <w:rPr>
                <w:rFonts w:ascii="Times New Roman" w:eastAsia="Batang" w:hAnsi="Times New Roman" w:cs="Times New Roman"/>
                <w:bCs/>
                <w:sz w:val="24"/>
                <w:szCs w:val="24"/>
                <w:lang w:val="ro-RO" w:eastAsia="ja-JP"/>
              </w:rPr>
              <w:t>.</w:t>
            </w:r>
          </w:p>
          <w:p w14:paraId="1D9C4A2D" w14:textId="1B2AFEAA" w:rsidR="00846B4E" w:rsidRPr="0002702C" w:rsidRDefault="00EB546A"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R</w:t>
            </w:r>
            <w:r w:rsidR="00846B4E" w:rsidRPr="0002702C">
              <w:rPr>
                <w:rFonts w:ascii="Times New Roman" w:eastAsia="Batang" w:hAnsi="Times New Roman" w:cs="Times New Roman"/>
                <w:bCs/>
                <w:sz w:val="24"/>
                <w:szCs w:val="24"/>
                <w:lang w:val="ro-RO" w:eastAsia="ja-JP"/>
              </w:rPr>
              <w:t>egulamentul cu privire la ce</w:t>
            </w:r>
            <w:r w:rsidR="00B4237E">
              <w:rPr>
                <w:rFonts w:ascii="Times New Roman" w:eastAsia="Batang" w:hAnsi="Times New Roman" w:cs="Times New Roman"/>
                <w:bCs/>
                <w:sz w:val="24"/>
                <w:szCs w:val="24"/>
                <w:lang w:val="ro-RO" w:eastAsia="ja-JP"/>
              </w:rPr>
              <w:t>rințele de proiectare ecologică</w:t>
            </w:r>
            <w:r w:rsidR="00846B4E" w:rsidRPr="0002702C">
              <w:rPr>
                <w:rFonts w:ascii="Times New Roman" w:eastAsia="Batang" w:hAnsi="Times New Roman" w:cs="Times New Roman"/>
                <w:bCs/>
                <w:sz w:val="24"/>
                <w:szCs w:val="24"/>
                <w:lang w:val="ro-RO" w:eastAsia="ja-JP"/>
              </w:rPr>
              <w:t xml:space="preserve"> pentru </w:t>
            </w:r>
            <w:proofErr w:type="spellStart"/>
            <w:r w:rsidR="00846B4E" w:rsidRPr="0002702C">
              <w:rPr>
                <w:rFonts w:ascii="Times New Roman" w:eastAsia="Batang" w:hAnsi="Times New Roman" w:cs="Times New Roman"/>
                <w:bCs/>
                <w:sz w:val="24"/>
                <w:szCs w:val="24"/>
                <w:lang w:val="ro-RO" w:eastAsia="ja-JP"/>
              </w:rPr>
              <w:t>instalaţiile</w:t>
            </w:r>
            <w:proofErr w:type="spellEnd"/>
            <w:r w:rsidR="00846B4E" w:rsidRPr="0002702C">
              <w:rPr>
                <w:rFonts w:ascii="Times New Roman" w:eastAsia="Batang" w:hAnsi="Times New Roman" w:cs="Times New Roman"/>
                <w:bCs/>
                <w:sz w:val="24"/>
                <w:szCs w:val="24"/>
                <w:lang w:val="ro-RO" w:eastAsia="ja-JP"/>
              </w:rPr>
              <w:t xml:space="preserve"> pentru încălzirea incintelor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w:t>
            </w:r>
            <w:proofErr w:type="spellStart"/>
            <w:r w:rsidR="00846B4E" w:rsidRPr="0002702C">
              <w:rPr>
                <w:rFonts w:ascii="Times New Roman" w:eastAsia="Batang" w:hAnsi="Times New Roman" w:cs="Times New Roman"/>
                <w:bCs/>
                <w:sz w:val="24"/>
                <w:szCs w:val="24"/>
                <w:lang w:val="ro-RO" w:eastAsia="ja-JP"/>
              </w:rPr>
              <w:t>instalaţiile</w:t>
            </w:r>
            <w:proofErr w:type="spellEnd"/>
            <w:r w:rsidR="00846B4E" w:rsidRPr="0002702C">
              <w:rPr>
                <w:rFonts w:ascii="Times New Roman" w:eastAsia="Batang" w:hAnsi="Times New Roman" w:cs="Times New Roman"/>
                <w:bCs/>
                <w:sz w:val="24"/>
                <w:szCs w:val="24"/>
                <w:lang w:val="ro-RO" w:eastAsia="ja-JP"/>
              </w:rPr>
              <w:t xml:space="preserve"> de încălzire cu </w:t>
            </w:r>
            <w:proofErr w:type="spellStart"/>
            <w:r w:rsidR="00846B4E" w:rsidRPr="0002702C">
              <w:rPr>
                <w:rFonts w:ascii="Times New Roman" w:eastAsia="Batang" w:hAnsi="Times New Roman" w:cs="Times New Roman"/>
                <w:bCs/>
                <w:sz w:val="24"/>
                <w:szCs w:val="24"/>
                <w:lang w:val="ro-RO" w:eastAsia="ja-JP"/>
              </w:rPr>
              <w:t>funcţie</w:t>
            </w:r>
            <w:proofErr w:type="spellEnd"/>
            <w:r w:rsidR="00846B4E" w:rsidRPr="0002702C">
              <w:rPr>
                <w:rFonts w:ascii="Times New Roman" w:eastAsia="Batang" w:hAnsi="Times New Roman" w:cs="Times New Roman"/>
                <w:bCs/>
                <w:sz w:val="24"/>
                <w:szCs w:val="24"/>
                <w:lang w:val="ro-RO" w:eastAsia="ja-JP"/>
              </w:rPr>
              <w:t xml:space="preserve"> dublă, </w:t>
            </w:r>
            <w:proofErr w:type="spellStart"/>
            <w:r w:rsidR="00846B4E" w:rsidRPr="0002702C">
              <w:rPr>
                <w:rFonts w:ascii="Times New Roman" w:eastAsia="Batang" w:hAnsi="Times New Roman" w:cs="Times New Roman"/>
                <w:bCs/>
                <w:sz w:val="24"/>
                <w:szCs w:val="24"/>
                <w:lang w:val="ro-RO" w:eastAsia="ja-JP"/>
              </w:rPr>
              <w:t>stabileşte</w:t>
            </w:r>
            <w:proofErr w:type="spellEnd"/>
            <w:r w:rsidR="00846B4E" w:rsidRPr="0002702C">
              <w:rPr>
                <w:rFonts w:ascii="Times New Roman" w:eastAsia="Batang" w:hAnsi="Times New Roman" w:cs="Times New Roman"/>
                <w:bCs/>
                <w:sz w:val="24"/>
                <w:szCs w:val="24"/>
                <w:lang w:val="ro-RO" w:eastAsia="ja-JP"/>
              </w:rPr>
              <w:t xml:space="preserve"> </w:t>
            </w:r>
            <w:proofErr w:type="spellStart"/>
            <w:r w:rsidR="00846B4E" w:rsidRPr="0002702C">
              <w:rPr>
                <w:rFonts w:ascii="Times New Roman" w:eastAsia="Batang" w:hAnsi="Times New Roman" w:cs="Times New Roman"/>
                <w:bCs/>
                <w:sz w:val="24"/>
                <w:szCs w:val="24"/>
                <w:lang w:val="ro-RO" w:eastAsia="ja-JP"/>
              </w:rPr>
              <w:t>cerinţe</w:t>
            </w:r>
            <w:proofErr w:type="spellEnd"/>
            <w:r w:rsidR="00846B4E" w:rsidRPr="0002702C">
              <w:rPr>
                <w:rFonts w:ascii="Times New Roman" w:eastAsia="Batang" w:hAnsi="Times New Roman" w:cs="Times New Roman"/>
                <w:bCs/>
                <w:sz w:val="24"/>
                <w:szCs w:val="24"/>
                <w:lang w:val="ro-RO" w:eastAsia="ja-JP"/>
              </w:rPr>
              <w:t xml:space="preserve"> de proiectare ecologică pentru introducerea pe </w:t>
            </w:r>
            <w:proofErr w:type="spellStart"/>
            <w:r w:rsidR="00846B4E" w:rsidRPr="0002702C">
              <w:rPr>
                <w:rFonts w:ascii="Times New Roman" w:eastAsia="Batang" w:hAnsi="Times New Roman" w:cs="Times New Roman"/>
                <w:bCs/>
                <w:sz w:val="24"/>
                <w:szCs w:val="24"/>
                <w:lang w:val="ro-RO" w:eastAsia="ja-JP"/>
              </w:rPr>
              <w:t>piaţă</w:t>
            </w:r>
            <w:proofErr w:type="spellEnd"/>
            <w:r w:rsidR="00846B4E" w:rsidRPr="0002702C">
              <w:rPr>
                <w:rFonts w:ascii="Times New Roman" w:eastAsia="Batang" w:hAnsi="Times New Roman" w:cs="Times New Roman"/>
                <w:bCs/>
                <w:sz w:val="24"/>
                <w:szCs w:val="24"/>
                <w:lang w:val="ro-RO" w:eastAsia="ja-JP"/>
              </w:rPr>
              <w:t xml:space="preserve">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/sau punerea în </w:t>
            </w:r>
            <w:proofErr w:type="spellStart"/>
            <w:r w:rsidR="00846B4E" w:rsidRPr="0002702C">
              <w:rPr>
                <w:rFonts w:ascii="Times New Roman" w:eastAsia="Batang" w:hAnsi="Times New Roman" w:cs="Times New Roman"/>
                <w:bCs/>
                <w:sz w:val="24"/>
                <w:szCs w:val="24"/>
                <w:lang w:val="ro-RO" w:eastAsia="ja-JP"/>
              </w:rPr>
              <w:t>funcţiune</w:t>
            </w:r>
            <w:proofErr w:type="spellEnd"/>
            <w:r w:rsidR="00846B4E" w:rsidRPr="0002702C">
              <w:rPr>
                <w:rFonts w:ascii="Times New Roman" w:eastAsia="Batang" w:hAnsi="Times New Roman" w:cs="Times New Roman"/>
                <w:bCs/>
                <w:sz w:val="24"/>
                <w:szCs w:val="24"/>
                <w:lang w:val="ro-RO" w:eastAsia="ja-JP"/>
              </w:rPr>
              <w:t xml:space="preserve"> a </w:t>
            </w:r>
            <w:proofErr w:type="spellStart"/>
            <w:r w:rsidR="00846B4E" w:rsidRPr="0002702C">
              <w:rPr>
                <w:rFonts w:ascii="Times New Roman" w:eastAsia="Batang" w:hAnsi="Times New Roman" w:cs="Times New Roman"/>
                <w:bCs/>
                <w:sz w:val="24"/>
                <w:szCs w:val="24"/>
                <w:lang w:val="ro-RO" w:eastAsia="ja-JP"/>
              </w:rPr>
              <w:t>instalaţiilor</w:t>
            </w:r>
            <w:proofErr w:type="spellEnd"/>
            <w:r w:rsidR="00846B4E" w:rsidRPr="0002702C">
              <w:rPr>
                <w:rFonts w:ascii="Times New Roman" w:eastAsia="Batang" w:hAnsi="Times New Roman" w:cs="Times New Roman"/>
                <w:bCs/>
                <w:sz w:val="24"/>
                <w:szCs w:val="24"/>
                <w:lang w:val="ro-RO" w:eastAsia="ja-JP"/>
              </w:rPr>
              <w:t xml:space="preserve"> pentru încălzirea incintelor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a </w:t>
            </w:r>
            <w:proofErr w:type="spellStart"/>
            <w:r w:rsidR="00846B4E" w:rsidRPr="0002702C">
              <w:rPr>
                <w:rFonts w:ascii="Times New Roman" w:eastAsia="Batang" w:hAnsi="Times New Roman" w:cs="Times New Roman"/>
                <w:bCs/>
                <w:sz w:val="24"/>
                <w:szCs w:val="24"/>
                <w:lang w:val="ro-RO" w:eastAsia="ja-JP"/>
              </w:rPr>
              <w:t>instalaţiilor</w:t>
            </w:r>
            <w:proofErr w:type="spellEnd"/>
            <w:r w:rsidR="00846B4E" w:rsidRPr="0002702C">
              <w:rPr>
                <w:rFonts w:ascii="Times New Roman" w:eastAsia="Batang" w:hAnsi="Times New Roman" w:cs="Times New Roman"/>
                <w:bCs/>
                <w:sz w:val="24"/>
                <w:szCs w:val="24"/>
                <w:lang w:val="ro-RO" w:eastAsia="ja-JP"/>
              </w:rPr>
              <w:t xml:space="preserve"> de încălzire cu </w:t>
            </w:r>
            <w:proofErr w:type="spellStart"/>
            <w:r w:rsidR="00846B4E" w:rsidRPr="0002702C">
              <w:rPr>
                <w:rFonts w:ascii="Times New Roman" w:eastAsia="Batang" w:hAnsi="Times New Roman" w:cs="Times New Roman"/>
                <w:bCs/>
                <w:sz w:val="24"/>
                <w:szCs w:val="24"/>
                <w:lang w:val="ro-RO" w:eastAsia="ja-JP"/>
              </w:rPr>
              <w:t>funcţie</w:t>
            </w:r>
            <w:proofErr w:type="spellEnd"/>
            <w:r w:rsidR="00846B4E" w:rsidRPr="0002702C">
              <w:rPr>
                <w:rFonts w:ascii="Times New Roman" w:eastAsia="Batang" w:hAnsi="Times New Roman" w:cs="Times New Roman"/>
                <w:bCs/>
                <w:sz w:val="24"/>
                <w:szCs w:val="24"/>
                <w:lang w:val="ro-RO" w:eastAsia="ja-JP"/>
              </w:rPr>
              <w:t xml:space="preserve"> dublă cu o putere termică nominală &lt; 400 kW, inclusiv a celor integrate în pachete de </w:t>
            </w:r>
            <w:proofErr w:type="spellStart"/>
            <w:r w:rsidR="00846B4E" w:rsidRPr="0002702C">
              <w:rPr>
                <w:rFonts w:ascii="Times New Roman" w:eastAsia="Batang" w:hAnsi="Times New Roman" w:cs="Times New Roman"/>
                <w:bCs/>
                <w:sz w:val="24"/>
                <w:szCs w:val="24"/>
                <w:lang w:val="ro-RO" w:eastAsia="ja-JP"/>
              </w:rPr>
              <w:t>instalaţie</w:t>
            </w:r>
            <w:proofErr w:type="spellEnd"/>
            <w:r w:rsidR="00846B4E" w:rsidRPr="0002702C">
              <w:rPr>
                <w:rFonts w:ascii="Times New Roman" w:eastAsia="Batang" w:hAnsi="Times New Roman" w:cs="Times New Roman"/>
                <w:bCs/>
                <w:sz w:val="24"/>
                <w:szCs w:val="24"/>
                <w:lang w:val="ro-RO" w:eastAsia="ja-JP"/>
              </w:rPr>
              <w:t xml:space="preserve"> pentru încălzirea incintelor, regulator de temperatură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dispozitiv solar sau în pachete de </w:t>
            </w:r>
            <w:proofErr w:type="spellStart"/>
            <w:r w:rsidR="00846B4E" w:rsidRPr="0002702C">
              <w:rPr>
                <w:rFonts w:ascii="Times New Roman" w:eastAsia="Batang" w:hAnsi="Times New Roman" w:cs="Times New Roman"/>
                <w:bCs/>
                <w:sz w:val="24"/>
                <w:szCs w:val="24"/>
                <w:lang w:val="ro-RO" w:eastAsia="ja-JP"/>
              </w:rPr>
              <w:t>instalaţie</w:t>
            </w:r>
            <w:proofErr w:type="spellEnd"/>
            <w:r w:rsidR="00846B4E" w:rsidRPr="0002702C">
              <w:rPr>
                <w:rFonts w:ascii="Times New Roman" w:eastAsia="Batang" w:hAnsi="Times New Roman" w:cs="Times New Roman"/>
                <w:bCs/>
                <w:sz w:val="24"/>
                <w:szCs w:val="24"/>
                <w:lang w:val="ro-RO" w:eastAsia="ja-JP"/>
              </w:rPr>
              <w:t xml:space="preserve"> de încălzire cu </w:t>
            </w:r>
            <w:proofErr w:type="spellStart"/>
            <w:r w:rsidR="00846B4E" w:rsidRPr="0002702C">
              <w:rPr>
                <w:rFonts w:ascii="Times New Roman" w:eastAsia="Batang" w:hAnsi="Times New Roman" w:cs="Times New Roman"/>
                <w:bCs/>
                <w:sz w:val="24"/>
                <w:szCs w:val="24"/>
                <w:lang w:val="ro-RO" w:eastAsia="ja-JP"/>
              </w:rPr>
              <w:t>funcţie</w:t>
            </w:r>
            <w:proofErr w:type="spellEnd"/>
            <w:r w:rsidR="00846B4E" w:rsidRPr="0002702C">
              <w:rPr>
                <w:rFonts w:ascii="Times New Roman" w:eastAsia="Batang" w:hAnsi="Times New Roman" w:cs="Times New Roman"/>
                <w:bCs/>
                <w:sz w:val="24"/>
                <w:szCs w:val="24"/>
                <w:lang w:val="ro-RO" w:eastAsia="ja-JP"/>
              </w:rPr>
              <w:t xml:space="preserve"> dublă, regulator de temperatură </w:t>
            </w:r>
            <w:proofErr w:type="spellStart"/>
            <w:r w:rsidR="00846B4E" w:rsidRPr="0002702C">
              <w:rPr>
                <w:rFonts w:ascii="Times New Roman" w:eastAsia="Batang" w:hAnsi="Times New Roman" w:cs="Times New Roman"/>
                <w:bCs/>
                <w:sz w:val="24"/>
                <w:szCs w:val="24"/>
                <w:lang w:val="ro-RO" w:eastAsia="ja-JP"/>
              </w:rPr>
              <w:t>şi</w:t>
            </w:r>
            <w:proofErr w:type="spellEnd"/>
            <w:r w:rsidR="00846B4E" w:rsidRPr="0002702C">
              <w:rPr>
                <w:rFonts w:ascii="Times New Roman" w:eastAsia="Batang" w:hAnsi="Times New Roman" w:cs="Times New Roman"/>
                <w:bCs/>
                <w:sz w:val="24"/>
                <w:szCs w:val="24"/>
                <w:lang w:val="ro-RO" w:eastAsia="ja-JP"/>
              </w:rPr>
              <w:t xml:space="preserve"> dispozitiv </w:t>
            </w:r>
            <w:r w:rsidR="00846B4E" w:rsidRPr="0002702C">
              <w:rPr>
                <w:rFonts w:ascii="Times New Roman" w:eastAsia="Batang" w:hAnsi="Times New Roman" w:cs="Times New Roman"/>
                <w:bCs/>
                <w:sz w:val="24"/>
                <w:szCs w:val="24"/>
                <w:lang w:val="ro-RO" w:eastAsia="ja-JP"/>
              </w:rPr>
              <w:lastRenderedPageBreak/>
              <w:t xml:space="preserve">solar, astfel cum sunt definite în pct. 4 al anexei nr. 11 la </w:t>
            </w:r>
            <w:proofErr w:type="spellStart"/>
            <w:r w:rsidR="00846B4E" w:rsidRPr="0002702C">
              <w:rPr>
                <w:rFonts w:ascii="Times New Roman" w:eastAsia="Batang" w:hAnsi="Times New Roman" w:cs="Times New Roman"/>
                <w:bCs/>
                <w:sz w:val="24"/>
                <w:szCs w:val="24"/>
                <w:lang w:val="ro-RO" w:eastAsia="ja-JP"/>
              </w:rPr>
              <w:t>Hotărîrea</w:t>
            </w:r>
            <w:proofErr w:type="spellEnd"/>
            <w:r w:rsidR="00846B4E" w:rsidRPr="0002702C">
              <w:rPr>
                <w:rFonts w:ascii="Times New Roman" w:eastAsia="Batang" w:hAnsi="Times New Roman" w:cs="Times New Roman"/>
                <w:bCs/>
                <w:sz w:val="24"/>
                <w:szCs w:val="24"/>
                <w:lang w:val="ro-RO" w:eastAsia="ja-JP"/>
              </w:rPr>
              <w:t xml:space="preserve"> Guvernului nr.1003/2014 pentru aprobarea regulamentelor privind </w:t>
            </w:r>
            <w:proofErr w:type="spellStart"/>
            <w:r w:rsidR="00846B4E" w:rsidRPr="0002702C">
              <w:rPr>
                <w:rFonts w:ascii="Times New Roman" w:eastAsia="Batang" w:hAnsi="Times New Roman" w:cs="Times New Roman"/>
                <w:bCs/>
                <w:sz w:val="24"/>
                <w:szCs w:val="24"/>
                <w:lang w:val="ro-RO" w:eastAsia="ja-JP"/>
              </w:rPr>
              <w:t>cerinţele</w:t>
            </w:r>
            <w:proofErr w:type="spellEnd"/>
            <w:r w:rsidR="00846B4E" w:rsidRPr="0002702C">
              <w:rPr>
                <w:rFonts w:ascii="Times New Roman" w:eastAsia="Batang" w:hAnsi="Times New Roman" w:cs="Times New Roman"/>
                <w:bCs/>
                <w:sz w:val="24"/>
                <w:szCs w:val="24"/>
                <w:lang w:val="ro-RO" w:eastAsia="ja-JP"/>
              </w:rPr>
              <w:t xml:space="preserve"> de etichetare energetică a unor produse cu impact energetic.</w:t>
            </w:r>
          </w:p>
          <w:p w14:paraId="58E5649B" w14:textId="0E45F15D" w:rsidR="00EB546A" w:rsidRPr="0002702C" w:rsidRDefault="00EB546A"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Regulament nu se aplică următoarelor produse:</w:t>
            </w:r>
          </w:p>
          <w:p w14:paraId="7351831E"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a)</w:t>
            </w:r>
            <w:r w:rsidRPr="0002702C">
              <w:rPr>
                <w:rFonts w:ascii="Times New Roman" w:eastAsia="Batang" w:hAnsi="Times New Roman" w:cs="Times New Roman"/>
                <w:bCs/>
                <w:sz w:val="24"/>
                <w:szCs w:val="24"/>
                <w:lang w:val="ro-RO" w:eastAsia="ja-JP"/>
              </w:rPr>
              <w:tab/>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special proiectate pentru a utiliza combustibili </w:t>
            </w:r>
            <w:proofErr w:type="spellStart"/>
            <w:r w:rsidRPr="0002702C">
              <w:rPr>
                <w:rFonts w:ascii="Times New Roman" w:eastAsia="Batang" w:hAnsi="Times New Roman" w:cs="Times New Roman"/>
                <w:bCs/>
                <w:sz w:val="24"/>
                <w:szCs w:val="24"/>
                <w:lang w:val="ro-RO" w:eastAsia="ja-JP"/>
              </w:rPr>
              <w:t>gazoşi</w:t>
            </w:r>
            <w:proofErr w:type="spellEnd"/>
            <w:r w:rsidRPr="0002702C">
              <w:rPr>
                <w:rFonts w:ascii="Times New Roman" w:eastAsia="Batang" w:hAnsi="Times New Roman" w:cs="Times New Roman"/>
                <w:bCs/>
                <w:sz w:val="24"/>
                <w:szCs w:val="24"/>
                <w:lang w:val="ro-RO" w:eastAsia="ja-JP"/>
              </w:rPr>
              <w:t xml:space="preserve"> sau lichizi </w:t>
            </w:r>
            <w:proofErr w:type="spellStart"/>
            <w:r w:rsidRPr="0002702C">
              <w:rPr>
                <w:rFonts w:ascii="Times New Roman" w:eastAsia="Batang" w:hAnsi="Times New Roman" w:cs="Times New Roman"/>
                <w:bCs/>
                <w:sz w:val="24"/>
                <w:szCs w:val="24"/>
                <w:lang w:val="ro-RO" w:eastAsia="ja-JP"/>
              </w:rPr>
              <w:t>produşi</w:t>
            </w:r>
            <w:proofErr w:type="spellEnd"/>
            <w:r w:rsidRPr="0002702C">
              <w:rPr>
                <w:rFonts w:ascii="Times New Roman" w:eastAsia="Batang" w:hAnsi="Times New Roman" w:cs="Times New Roman"/>
                <w:bCs/>
                <w:sz w:val="24"/>
                <w:szCs w:val="24"/>
                <w:lang w:val="ro-RO" w:eastAsia="ja-JP"/>
              </w:rPr>
              <w:t xml:space="preserve"> preponderent din biomasă;</w:t>
            </w:r>
          </w:p>
          <w:p w14:paraId="19201CEC"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b)</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care utilizează combustibili solizi;</w:t>
            </w:r>
          </w:p>
          <w:p w14:paraId="00024981"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c)</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care intră sub </w:t>
            </w:r>
            <w:proofErr w:type="spellStart"/>
            <w:r w:rsidRPr="0002702C">
              <w:rPr>
                <w:rFonts w:ascii="Times New Roman" w:eastAsia="Batang" w:hAnsi="Times New Roman" w:cs="Times New Roman"/>
                <w:bCs/>
                <w:sz w:val="24"/>
                <w:szCs w:val="24"/>
                <w:lang w:val="ro-RO" w:eastAsia="ja-JP"/>
              </w:rPr>
              <w:t>incidenţa</w:t>
            </w:r>
            <w:proofErr w:type="spellEnd"/>
            <w:r w:rsidRPr="0002702C">
              <w:rPr>
                <w:rFonts w:ascii="Times New Roman" w:eastAsia="Batang" w:hAnsi="Times New Roman" w:cs="Times New Roman"/>
                <w:bCs/>
                <w:sz w:val="24"/>
                <w:szCs w:val="24"/>
                <w:lang w:val="ro-RO" w:eastAsia="ja-JP"/>
              </w:rPr>
              <w:t xml:space="preserve"> actului normativ privind emisiile industriale (prevenirea și controlul integrat al poluării);</w:t>
            </w:r>
          </w:p>
          <w:p w14:paraId="72CA7D14"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d)</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care generează căldură numai în scopul furnizării de apă caldă potabilă sau menajeră;</w:t>
            </w:r>
          </w:p>
          <w:p w14:paraId="5D2D5057"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e)</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de încălzire destinate încălzirii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distribuirii unor </w:t>
            </w:r>
            <w:proofErr w:type="spellStart"/>
            <w:r w:rsidRPr="0002702C">
              <w:rPr>
                <w:rFonts w:ascii="Times New Roman" w:eastAsia="Batang" w:hAnsi="Times New Roman" w:cs="Times New Roman"/>
                <w:bCs/>
                <w:sz w:val="24"/>
                <w:szCs w:val="24"/>
                <w:lang w:val="ro-RO" w:eastAsia="ja-JP"/>
              </w:rPr>
              <w:t>agenţi</w:t>
            </w:r>
            <w:proofErr w:type="spellEnd"/>
            <w:r w:rsidRPr="0002702C">
              <w:rPr>
                <w:rFonts w:ascii="Times New Roman" w:eastAsia="Batang" w:hAnsi="Times New Roman" w:cs="Times New Roman"/>
                <w:bCs/>
                <w:sz w:val="24"/>
                <w:szCs w:val="24"/>
                <w:lang w:val="ro-RO" w:eastAsia="ja-JP"/>
              </w:rPr>
              <w:t xml:space="preserve"> termici </w:t>
            </w:r>
            <w:proofErr w:type="spellStart"/>
            <w:r w:rsidRPr="0002702C">
              <w:rPr>
                <w:rFonts w:ascii="Times New Roman" w:eastAsia="Batang" w:hAnsi="Times New Roman" w:cs="Times New Roman"/>
                <w:bCs/>
                <w:sz w:val="24"/>
                <w:szCs w:val="24"/>
                <w:lang w:val="ro-RO" w:eastAsia="ja-JP"/>
              </w:rPr>
              <w:t>gazoşi</w:t>
            </w:r>
            <w:proofErr w:type="spellEnd"/>
            <w:r w:rsidRPr="0002702C">
              <w:rPr>
                <w:rFonts w:ascii="Times New Roman" w:eastAsia="Batang" w:hAnsi="Times New Roman" w:cs="Times New Roman"/>
                <w:bCs/>
                <w:sz w:val="24"/>
                <w:szCs w:val="24"/>
                <w:lang w:val="ro-RO" w:eastAsia="ja-JP"/>
              </w:rPr>
              <w:t>, precum vapori sau aer;</w:t>
            </w:r>
          </w:p>
          <w:p w14:paraId="2E700CC6"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f)</w:t>
            </w:r>
            <w:r w:rsidRPr="0002702C">
              <w:rPr>
                <w:rFonts w:ascii="Times New Roman" w:eastAsia="Batang" w:hAnsi="Times New Roman" w:cs="Times New Roman"/>
                <w:bCs/>
                <w:sz w:val="24"/>
                <w:szCs w:val="24"/>
                <w:lang w:val="ro-RO" w:eastAsia="ja-JP"/>
              </w:rPr>
              <w:tab/>
              <w:t xml:space="preserve"> </w:t>
            </w:r>
            <w:proofErr w:type="spellStart"/>
            <w:r w:rsidRPr="0002702C">
              <w:rPr>
                <w:rFonts w:ascii="Times New Roman" w:eastAsia="Batang" w:hAnsi="Times New Roman" w:cs="Times New Roman"/>
                <w:bCs/>
                <w:sz w:val="24"/>
                <w:szCs w:val="24"/>
                <w:lang w:val="ro-RO" w:eastAsia="ja-JP"/>
              </w:rPr>
              <w:t>instalaţiilor</w:t>
            </w:r>
            <w:proofErr w:type="spellEnd"/>
            <w:r w:rsidRPr="0002702C">
              <w:rPr>
                <w:rFonts w:ascii="Times New Roman" w:eastAsia="Batang" w:hAnsi="Times New Roman" w:cs="Times New Roman"/>
                <w:bCs/>
                <w:sz w:val="24"/>
                <w:szCs w:val="24"/>
                <w:lang w:val="ro-RO" w:eastAsia="ja-JP"/>
              </w:rPr>
              <w:t xml:space="preserve"> cu cogenerare pentru încălzirea incintelor ce au o capacitate electrică maximă de cel </w:t>
            </w:r>
            <w:proofErr w:type="spellStart"/>
            <w:r w:rsidRPr="0002702C">
              <w:rPr>
                <w:rFonts w:ascii="Times New Roman" w:eastAsia="Batang" w:hAnsi="Times New Roman" w:cs="Times New Roman"/>
                <w:bCs/>
                <w:sz w:val="24"/>
                <w:szCs w:val="24"/>
                <w:lang w:val="ro-RO" w:eastAsia="ja-JP"/>
              </w:rPr>
              <w:t>puţin</w:t>
            </w:r>
            <w:proofErr w:type="spellEnd"/>
            <w:r w:rsidRPr="0002702C">
              <w:rPr>
                <w:rFonts w:ascii="Times New Roman" w:eastAsia="Batang" w:hAnsi="Times New Roman" w:cs="Times New Roman"/>
                <w:bCs/>
                <w:sz w:val="24"/>
                <w:szCs w:val="24"/>
                <w:lang w:val="ro-RO" w:eastAsia="ja-JP"/>
              </w:rPr>
              <w:t xml:space="preserve"> 50 kW;</w:t>
            </w:r>
          </w:p>
          <w:p w14:paraId="1BA6C260" w14:textId="77777777" w:rsidR="00EB546A" w:rsidRPr="0002702C" w:rsidRDefault="00EB546A" w:rsidP="00E55A94">
            <w:pPr>
              <w:tabs>
                <w:tab w:val="left" w:pos="234"/>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g)</w:t>
            </w:r>
            <w:r w:rsidRPr="0002702C">
              <w:rPr>
                <w:rFonts w:ascii="Times New Roman" w:eastAsia="Batang" w:hAnsi="Times New Roman" w:cs="Times New Roman"/>
                <w:bCs/>
                <w:sz w:val="24"/>
                <w:szCs w:val="24"/>
                <w:lang w:val="ro-RO" w:eastAsia="ja-JP"/>
              </w:rPr>
              <w:tab/>
              <w:t xml:space="preserve"> generatoarelor de căldură proiectate pentru </w:t>
            </w:r>
            <w:proofErr w:type="spellStart"/>
            <w:r w:rsidRPr="0002702C">
              <w:rPr>
                <w:rFonts w:ascii="Times New Roman" w:eastAsia="Batang" w:hAnsi="Times New Roman" w:cs="Times New Roman"/>
                <w:bCs/>
                <w:sz w:val="24"/>
                <w:szCs w:val="24"/>
                <w:lang w:val="ro-RO" w:eastAsia="ja-JP"/>
              </w:rPr>
              <w:t>instalaţii</w:t>
            </w:r>
            <w:proofErr w:type="spellEnd"/>
            <w:r w:rsidRPr="0002702C">
              <w:rPr>
                <w:rFonts w:ascii="Times New Roman" w:eastAsia="Batang" w:hAnsi="Times New Roman" w:cs="Times New Roman"/>
                <w:bCs/>
                <w:sz w:val="24"/>
                <w:szCs w:val="24"/>
                <w:lang w:val="ro-RO" w:eastAsia="ja-JP"/>
              </w:rPr>
              <w:t xml:space="preserve"> de încălzire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carcaselor de </w:t>
            </w:r>
            <w:proofErr w:type="spellStart"/>
            <w:r w:rsidRPr="0002702C">
              <w:rPr>
                <w:rFonts w:ascii="Times New Roman" w:eastAsia="Batang" w:hAnsi="Times New Roman" w:cs="Times New Roman"/>
                <w:bCs/>
                <w:sz w:val="24"/>
                <w:szCs w:val="24"/>
                <w:lang w:val="ro-RO" w:eastAsia="ja-JP"/>
              </w:rPr>
              <w:t>instalaţie</w:t>
            </w:r>
            <w:proofErr w:type="spellEnd"/>
            <w:r w:rsidRPr="0002702C">
              <w:rPr>
                <w:rFonts w:ascii="Times New Roman" w:eastAsia="Batang" w:hAnsi="Times New Roman" w:cs="Times New Roman"/>
                <w:bCs/>
                <w:sz w:val="24"/>
                <w:szCs w:val="24"/>
                <w:lang w:val="ro-RO" w:eastAsia="ja-JP"/>
              </w:rPr>
              <w:t xml:space="preserve"> de încălzire care urmează să fie echipate cu astfel de generatoare de căldură, introduse pe </w:t>
            </w:r>
            <w:proofErr w:type="spellStart"/>
            <w:r w:rsidRPr="0002702C">
              <w:rPr>
                <w:rFonts w:ascii="Times New Roman" w:eastAsia="Batang" w:hAnsi="Times New Roman" w:cs="Times New Roman"/>
                <w:bCs/>
                <w:sz w:val="24"/>
                <w:szCs w:val="24"/>
                <w:lang w:val="ro-RO" w:eastAsia="ja-JP"/>
              </w:rPr>
              <w:t>piaţă</w:t>
            </w:r>
            <w:proofErr w:type="spellEnd"/>
            <w:r w:rsidRPr="0002702C">
              <w:rPr>
                <w:rFonts w:ascii="Times New Roman" w:eastAsia="Batang" w:hAnsi="Times New Roman" w:cs="Times New Roman"/>
                <w:bCs/>
                <w:sz w:val="24"/>
                <w:szCs w:val="24"/>
                <w:lang w:val="ro-RO" w:eastAsia="ja-JP"/>
              </w:rPr>
              <w:t xml:space="preserve"> înainte de 1 ianuarie 2018 pentru a înlocui generatoare de căldură identice </w:t>
            </w:r>
            <w:proofErr w:type="spellStart"/>
            <w:r w:rsidRPr="0002702C">
              <w:rPr>
                <w:rFonts w:ascii="Times New Roman" w:eastAsia="Batang" w:hAnsi="Times New Roman" w:cs="Times New Roman"/>
                <w:bCs/>
                <w:sz w:val="24"/>
                <w:szCs w:val="24"/>
                <w:lang w:val="ro-RO" w:eastAsia="ja-JP"/>
              </w:rPr>
              <w:t>şi</w:t>
            </w:r>
            <w:proofErr w:type="spellEnd"/>
            <w:r w:rsidRPr="0002702C">
              <w:rPr>
                <w:rFonts w:ascii="Times New Roman" w:eastAsia="Batang" w:hAnsi="Times New Roman" w:cs="Times New Roman"/>
                <w:bCs/>
                <w:sz w:val="24"/>
                <w:szCs w:val="24"/>
                <w:lang w:val="ro-RO" w:eastAsia="ja-JP"/>
              </w:rPr>
              <w:t xml:space="preserve"> carcase de </w:t>
            </w:r>
            <w:proofErr w:type="spellStart"/>
            <w:r w:rsidRPr="0002702C">
              <w:rPr>
                <w:rFonts w:ascii="Times New Roman" w:eastAsia="Batang" w:hAnsi="Times New Roman" w:cs="Times New Roman"/>
                <w:bCs/>
                <w:sz w:val="24"/>
                <w:szCs w:val="24"/>
                <w:lang w:val="ro-RO" w:eastAsia="ja-JP"/>
              </w:rPr>
              <w:t>instalaţie</w:t>
            </w:r>
            <w:proofErr w:type="spellEnd"/>
            <w:r w:rsidRPr="0002702C">
              <w:rPr>
                <w:rFonts w:ascii="Times New Roman" w:eastAsia="Batang" w:hAnsi="Times New Roman" w:cs="Times New Roman"/>
                <w:bCs/>
                <w:sz w:val="24"/>
                <w:szCs w:val="24"/>
                <w:lang w:val="ro-RO" w:eastAsia="ja-JP"/>
              </w:rPr>
              <w:t xml:space="preserve"> de încălzire identice. Pe produsul înlocuitor sau pe ambalajul acestuia trebuie să se indice în mod clar </w:t>
            </w:r>
            <w:proofErr w:type="spellStart"/>
            <w:r w:rsidRPr="0002702C">
              <w:rPr>
                <w:rFonts w:ascii="Times New Roman" w:eastAsia="Batang" w:hAnsi="Times New Roman" w:cs="Times New Roman"/>
                <w:bCs/>
                <w:sz w:val="24"/>
                <w:szCs w:val="24"/>
                <w:lang w:val="ro-RO" w:eastAsia="ja-JP"/>
              </w:rPr>
              <w:t>instalaţia</w:t>
            </w:r>
            <w:proofErr w:type="spellEnd"/>
            <w:r w:rsidRPr="0002702C">
              <w:rPr>
                <w:rFonts w:ascii="Times New Roman" w:eastAsia="Batang" w:hAnsi="Times New Roman" w:cs="Times New Roman"/>
                <w:bCs/>
                <w:sz w:val="24"/>
                <w:szCs w:val="24"/>
                <w:lang w:val="ro-RO" w:eastAsia="ja-JP"/>
              </w:rPr>
              <w:t xml:space="preserve"> de încălzire căruia îi este destinat.</w:t>
            </w:r>
          </w:p>
          <w:p w14:paraId="2C961FBD" w14:textId="1163FD8D" w:rsidR="000E7D61" w:rsidRPr="0002702C" w:rsidRDefault="000E7D61"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Regulamentul stabilește</w:t>
            </w:r>
            <w:r w:rsidR="00DE5790" w:rsidRPr="0002702C">
              <w:rPr>
                <w:rFonts w:ascii="Times New Roman" w:eastAsia="Batang" w:hAnsi="Times New Roman" w:cs="Times New Roman"/>
                <w:bCs/>
                <w:sz w:val="24"/>
                <w:szCs w:val="24"/>
                <w:lang w:val="ro-RO" w:eastAsia="ja-JP"/>
              </w:rPr>
              <w:t xml:space="preserve"> următoarele cerințe pe care trebuie să le respecte </w:t>
            </w:r>
            <w:proofErr w:type="spellStart"/>
            <w:r w:rsidR="00DE5790" w:rsidRPr="0002702C">
              <w:rPr>
                <w:rFonts w:ascii="Times New Roman" w:eastAsia="Batang" w:hAnsi="Times New Roman" w:cs="Times New Roman"/>
                <w:bCs/>
                <w:sz w:val="24"/>
                <w:szCs w:val="24"/>
                <w:lang w:val="ro-RO" w:eastAsia="ja-JP"/>
              </w:rPr>
              <w:t>prducătorii</w:t>
            </w:r>
            <w:proofErr w:type="spellEnd"/>
            <w:r w:rsidR="00DE5790" w:rsidRPr="0002702C">
              <w:rPr>
                <w:rFonts w:ascii="Times New Roman" w:eastAsia="Batang" w:hAnsi="Times New Roman" w:cs="Times New Roman"/>
                <w:bCs/>
                <w:sz w:val="24"/>
                <w:szCs w:val="24"/>
                <w:lang w:val="ro-RO" w:eastAsia="ja-JP"/>
              </w:rPr>
              <w:t xml:space="preserve"> și/sau distribuitorii de </w:t>
            </w:r>
            <w:r w:rsidR="00B76CED" w:rsidRPr="0002702C">
              <w:rPr>
                <w:rFonts w:ascii="Times New Roman" w:eastAsia="Batang" w:hAnsi="Times New Roman" w:cs="Times New Roman"/>
                <w:bCs/>
                <w:sz w:val="24"/>
                <w:szCs w:val="24"/>
                <w:lang w:val="ro-RO" w:eastAsia="ja-JP"/>
              </w:rPr>
              <w:t>instalații</w:t>
            </w:r>
            <w:r w:rsidR="00DE5790" w:rsidRPr="0002702C">
              <w:rPr>
                <w:rFonts w:ascii="Times New Roman" w:eastAsia="Batang" w:hAnsi="Times New Roman" w:cs="Times New Roman"/>
                <w:bCs/>
                <w:sz w:val="24"/>
                <w:szCs w:val="24"/>
                <w:lang w:val="ro-RO" w:eastAsia="ja-JP"/>
              </w:rPr>
              <w:t xml:space="preserve"> pentru încălzirea incintelor </w:t>
            </w:r>
            <w:proofErr w:type="spellStart"/>
            <w:r w:rsidR="00DE5790" w:rsidRPr="0002702C">
              <w:rPr>
                <w:rFonts w:ascii="Times New Roman" w:eastAsia="Batang" w:hAnsi="Times New Roman" w:cs="Times New Roman"/>
                <w:bCs/>
                <w:sz w:val="24"/>
                <w:szCs w:val="24"/>
                <w:lang w:val="ro-RO" w:eastAsia="ja-JP"/>
              </w:rPr>
              <w:t>şi</w:t>
            </w:r>
            <w:proofErr w:type="spellEnd"/>
            <w:r w:rsidR="00DE5790" w:rsidRPr="0002702C">
              <w:rPr>
                <w:rFonts w:ascii="Times New Roman" w:eastAsia="Batang" w:hAnsi="Times New Roman" w:cs="Times New Roman"/>
                <w:bCs/>
                <w:sz w:val="24"/>
                <w:szCs w:val="24"/>
                <w:lang w:val="ro-RO" w:eastAsia="ja-JP"/>
              </w:rPr>
              <w:t xml:space="preserve"> </w:t>
            </w:r>
            <w:r w:rsidR="00B76CED" w:rsidRPr="0002702C">
              <w:rPr>
                <w:rFonts w:ascii="Times New Roman" w:eastAsia="Batang" w:hAnsi="Times New Roman" w:cs="Times New Roman"/>
                <w:bCs/>
                <w:sz w:val="24"/>
                <w:szCs w:val="24"/>
                <w:lang w:val="ro-RO" w:eastAsia="ja-JP"/>
              </w:rPr>
              <w:t>instalații</w:t>
            </w:r>
            <w:r w:rsidR="00DE5790" w:rsidRPr="0002702C">
              <w:rPr>
                <w:rFonts w:ascii="Times New Roman" w:eastAsia="Batang" w:hAnsi="Times New Roman" w:cs="Times New Roman"/>
                <w:bCs/>
                <w:sz w:val="24"/>
                <w:szCs w:val="24"/>
                <w:lang w:val="ro-RO" w:eastAsia="ja-JP"/>
              </w:rPr>
              <w:t xml:space="preserve"> de încălzire cu </w:t>
            </w:r>
            <w:r w:rsidR="00B76CED" w:rsidRPr="0002702C">
              <w:rPr>
                <w:rFonts w:ascii="Times New Roman" w:eastAsia="Batang" w:hAnsi="Times New Roman" w:cs="Times New Roman"/>
                <w:bCs/>
                <w:sz w:val="24"/>
                <w:szCs w:val="24"/>
                <w:lang w:val="ro-RO" w:eastAsia="ja-JP"/>
              </w:rPr>
              <w:t>funcție</w:t>
            </w:r>
            <w:r w:rsidR="00DE5790" w:rsidRPr="0002702C">
              <w:rPr>
                <w:rFonts w:ascii="Times New Roman" w:eastAsia="Batang" w:hAnsi="Times New Roman" w:cs="Times New Roman"/>
                <w:bCs/>
                <w:sz w:val="24"/>
                <w:szCs w:val="24"/>
                <w:lang w:val="ro-RO" w:eastAsia="ja-JP"/>
              </w:rPr>
              <w:t xml:space="preserve"> dublă</w:t>
            </w:r>
            <w:r w:rsidRPr="0002702C">
              <w:rPr>
                <w:rFonts w:ascii="Times New Roman" w:eastAsia="Batang" w:hAnsi="Times New Roman" w:cs="Times New Roman"/>
                <w:bCs/>
                <w:sz w:val="24"/>
                <w:szCs w:val="24"/>
                <w:lang w:val="ro-RO" w:eastAsia="ja-JP"/>
              </w:rPr>
              <w:t>:</w:t>
            </w:r>
          </w:p>
          <w:p w14:paraId="49B0C536" w14:textId="3A042726" w:rsidR="00D55EC6" w:rsidRPr="00B4237E" w:rsidRDefault="00B4237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B4237E">
              <w:rPr>
                <w:rFonts w:ascii="Times New Roman" w:eastAsia="Batang" w:hAnsi="Times New Roman" w:cs="Times New Roman"/>
                <w:b/>
                <w:bCs/>
                <w:sz w:val="24"/>
                <w:szCs w:val="24"/>
                <w:lang w:val="ro-RO" w:eastAsia="ja-JP"/>
              </w:rPr>
              <w:t>erințe</w:t>
            </w:r>
            <w:r w:rsidR="000E7D61" w:rsidRPr="00B4237E">
              <w:rPr>
                <w:rFonts w:ascii="Times New Roman" w:eastAsia="Batang" w:hAnsi="Times New Roman" w:cs="Times New Roman"/>
                <w:b/>
                <w:bCs/>
                <w:sz w:val="24"/>
                <w:szCs w:val="24"/>
                <w:lang w:val="ro-RO" w:eastAsia="ja-JP"/>
              </w:rPr>
              <w:t xml:space="preserve"> privind randamentul energetic sezonier aferent încălzirii incintelor;</w:t>
            </w:r>
          </w:p>
          <w:p w14:paraId="444F4118" w14:textId="44926BBD"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De la data intrării în vigoare a prezentului Regulament randamentul energetic sezonier aferent încălzirii incintelor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randamentele utile ale </w:t>
            </w:r>
            <w:proofErr w:type="spellStart"/>
            <w:r w:rsidRPr="00AB70DE">
              <w:rPr>
                <w:rFonts w:ascii="Times New Roman" w:eastAsia="Batang" w:hAnsi="Times New Roman" w:cs="Times New Roman"/>
                <w:bCs/>
                <w:sz w:val="24"/>
                <w:szCs w:val="24"/>
                <w:lang w:val="ro-RO" w:eastAsia="ja-JP"/>
              </w:rPr>
              <w:t>instalaţiilor</w:t>
            </w:r>
            <w:proofErr w:type="spellEnd"/>
            <w:r w:rsidRPr="00AB70DE">
              <w:rPr>
                <w:rFonts w:ascii="Times New Roman" w:eastAsia="Batang" w:hAnsi="Times New Roman" w:cs="Times New Roman"/>
                <w:bCs/>
                <w:sz w:val="24"/>
                <w:szCs w:val="24"/>
                <w:lang w:val="ro-RO" w:eastAsia="ja-JP"/>
              </w:rPr>
              <w:t xml:space="preserve"> de încălzire nu trebuie să scadă sub următoarele valori:</w:t>
            </w:r>
          </w:p>
          <w:p w14:paraId="2F81193A"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a)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cazan care utilizează combustibil pentru încălzirea incintelor cu putere termică nominală &lt; 70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de încălzire cu cazan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care utilizează combustibil cu putere termică nominală &lt; 70 kW, cu </w:t>
            </w:r>
            <w:proofErr w:type="spellStart"/>
            <w:r w:rsidRPr="00AB70DE">
              <w:rPr>
                <w:rFonts w:ascii="Times New Roman" w:eastAsia="Batang" w:hAnsi="Times New Roman" w:cs="Times New Roman"/>
                <w:bCs/>
                <w:sz w:val="24"/>
                <w:szCs w:val="24"/>
                <w:lang w:val="ro-RO" w:eastAsia="ja-JP"/>
              </w:rPr>
              <w:t>excepţia</w:t>
            </w:r>
            <w:proofErr w:type="spellEnd"/>
            <w:r w:rsidRPr="00AB70DE">
              <w:rPr>
                <w:rFonts w:ascii="Times New Roman" w:eastAsia="Batang" w:hAnsi="Times New Roman" w:cs="Times New Roman"/>
                <w:bCs/>
                <w:sz w:val="24"/>
                <w:szCs w:val="24"/>
                <w:lang w:val="ro-RO" w:eastAsia="ja-JP"/>
              </w:rPr>
              <w:t xml:space="preserve"> cazanelor de tip B1 cu putere termică nominală &lt; 10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a cazanelor combinate de tip B1 cu putere termică nominală &lt; 30 kW, randamentul energetic sezonier aferent încălzirii incintelor nu trebuie să scadă sub 86 %;</w:t>
            </w:r>
          </w:p>
          <w:p w14:paraId="06B181F1"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b) Pentru cazanele de tip B1 cu putere termică nominală &lt; 10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cazanelor combinate de tip B1 cu putere termică nominală &lt; 30 kW, randamentul energetic sezonier aferent încălzirii incintelor nu trebuie să scadă sub 75 %;</w:t>
            </w:r>
          </w:p>
          <w:p w14:paraId="62D2B30B"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c)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cazan care utilizează combustibil pentru încălzirea incintelor cu putere termică nominală &lt; 70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&lt; 400 kW, precum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de încălzire cu cazan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care utilizează combustibil cu putere termică nominală &gt; 70 kW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&lt; 400 kW, randamentul util la 100 % din puterea termică nominală nu trebuie să scadă sub 86 %, iar randamentul util la 30 % din puterea termică nominală nu trebuie să scadă sub 94 %;</w:t>
            </w:r>
          </w:p>
          <w:p w14:paraId="482BAB8D"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d)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electrice cu cazan pentru încălzirea incintelor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electrice de încălzire cu cazan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randamentul energetic sezonier aferent încălzirii incintelor nu trebuie să scadă sub 36 %;</w:t>
            </w:r>
          </w:p>
          <w:p w14:paraId="4E61120B"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lastRenderedPageBreak/>
              <w:t xml:space="preserve">e)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cogenerare pentru încălzirea incintelor, randamentul energetic sezonier aferent încălzirii incintelor nu trebuie să scadă sub 100 %;</w:t>
            </w:r>
          </w:p>
          <w:p w14:paraId="7CFE1752" w14:textId="77777777"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 xml:space="preserve">f) Pentru </w:t>
            </w:r>
            <w:proofErr w:type="spellStart"/>
            <w:r w:rsidRPr="00AB70DE">
              <w:rPr>
                <w:rFonts w:ascii="Times New Roman" w:eastAsia="Batang" w:hAnsi="Times New Roman" w:cs="Times New Roman"/>
                <w:bCs/>
                <w:sz w:val="24"/>
                <w:szCs w:val="24"/>
                <w:lang w:val="ro-RO" w:eastAsia="ja-JP"/>
              </w:rPr>
              <w:t>instalaţii</w:t>
            </w:r>
            <w:proofErr w:type="spellEnd"/>
            <w:r w:rsidRPr="00AB70DE">
              <w:rPr>
                <w:rFonts w:ascii="Times New Roman" w:eastAsia="Batang" w:hAnsi="Times New Roman" w:cs="Times New Roman"/>
                <w:bCs/>
                <w:sz w:val="24"/>
                <w:szCs w:val="24"/>
                <w:lang w:val="ro-RO" w:eastAsia="ja-JP"/>
              </w:rPr>
              <w:t xml:space="preserve"> cu pompă de căldură pentru încălzirea incintelor </w:t>
            </w:r>
            <w:proofErr w:type="spellStart"/>
            <w:r w:rsidRPr="00AB70DE">
              <w:rPr>
                <w:rFonts w:ascii="Times New Roman" w:eastAsia="Batang" w:hAnsi="Times New Roman" w:cs="Times New Roman"/>
                <w:bCs/>
                <w:sz w:val="24"/>
                <w:szCs w:val="24"/>
                <w:lang w:val="ro-RO" w:eastAsia="ja-JP"/>
              </w:rPr>
              <w:t>şi</w:t>
            </w:r>
            <w:proofErr w:type="spellEnd"/>
            <w:r w:rsidRPr="00AB70DE">
              <w:rPr>
                <w:rFonts w:ascii="Times New Roman" w:eastAsia="Batang" w:hAnsi="Times New Roman" w:cs="Times New Roman"/>
                <w:bCs/>
                <w:sz w:val="24"/>
                <w:szCs w:val="24"/>
                <w:lang w:val="ro-RO" w:eastAsia="ja-JP"/>
              </w:rPr>
              <w:t xml:space="preserve"> </w:t>
            </w:r>
            <w:proofErr w:type="spellStart"/>
            <w:r w:rsidRPr="00AB70DE">
              <w:rPr>
                <w:rFonts w:ascii="Times New Roman" w:eastAsia="Batang" w:hAnsi="Times New Roman" w:cs="Times New Roman"/>
                <w:bCs/>
                <w:sz w:val="24"/>
                <w:szCs w:val="24"/>
                <w:lang w:val="ro-RO" w:eastAsia="ja-JP"/>
              </w:rPr>
              <w:t>instalaţie</w:t>
            </w:r>
            <w:proofErr w:type="spellEnd"/>
            <w:r w:rsidRPr="00AB70DE">
              <w:rPr>
                <w:rFonts w:ascii="Times New Roman" w:eastAsia="Batang" w:hAnsi="Times New Roman" w:cs="Times New Roman"/>
                <w:bCs/>
                <w:sz w:val="24"/>
                <w:szCs w:val="24"/>
                <w:lang w:val="ro-RO" w:eastAsia="ja-JP"/>
              </w:rPr>
              <w:t xml:space="preserve"> de încălzire cu pompă de căldură cu </w:t>
            </w:r>
            <w:proofErr w:type="spellStart"/>
            <w:r w:rsidRPr="00AB70DE">
              <w:rPr>
                <w:rFonts w:ascii="Times New Roman" w:eastAsia="Batang" w:hAnsi="Times New Roman" w:cs="Times New Roman"/>
                <w:bCs/>
                <w:sz w:val="24"/>
                <w:szCs w:val="24"/>
                <w:lang w:val="ro-RO" w:eastAsia="ja-JP"/>
              </w:rPr>
              <w:t>funcţie</w:t>
            </w:r>
            <w:proofErr w:type="spellEnd"/>
            <w:r w:rsidRPr="00AB70DE">
              <w:rPr>
                <w:rFonts w:ascii="Times New Roman" w:eastAsia="Batang" w:hAnsi="Times New Roman" w:cs="Times New Roman"/>
                <w:bCs/>
                <w:sz w:val="24"/>
                <w:szCs w:val="24"/>
                <w:lang w:val="ro-RO" w:eastAsia="ja-JP"/>
              </w:rPr>
              <w:t xml:space="preserve"> dublă, cu </w:t>
            </w:r>
            <w:proofErr w:type="spellStart"/>
            <w:r w:rsidRPr="00AB70DE">
              <w:rPr>
                <w:rFonts w:ascii="Times New Roman" w:eastAsia="Batang" w:hAnsi="Times New Roman" w:cs="Times New Roman"/>
                <w:bCs/>
                <w:sz w:val="24"/>
                <w:szCs w:val="24"/>
                <w:lang w:val="ro-RO" w:eastAsia="ja-JP"/>
              </w:rPr>
              <w:t>excepţia</w:t>
            </w:r>
            <w:proofErr w:type="spellEnd"/>
            <w:r w:rsidRPr="00AB70DE">
              <w:rPr>
                <w:rFonts w:ascii="Times New Roman" w:eastAsia="Batang" w:hAnsi="Times New Roman" w:cs="Times New Roman"/>
                <w:bCs/>
                <w:sz w:val="24"/>
                <w:szCs w:val="24"/>
                <w:lang w:val="ro-RO" w:eastAsia="ja-JP"/>
              </w:rPr>
              <w:t xml:space="preserve"> pompelor de căldură pentru temperatură scăzută, randamentul energetic sezonier aferent încălzirii incintelor nu trebuie să scadă sub 110 %;</w:t>
            </w:r>
          </w:p>
          <w:p w14:paraId="4FCDB157" w14:textId="3AD19123" w:rsidR="00B4237E" w:rsidRPr="00AB70DE" w:rsidRDefault="00B4237E" w:rsidP="00AB70DE">
            <w:pPr>
              <w:tabs>
                <w:tab w:val="left" w:pos="1418"/>
              </w:tabs>
              <w:spacing w:after="60"/>
              <w:jc w:val="both"/>
              <w:rPr>
                <w:rFonts w:ascii="Times New Roman" w:eastAsia="Batang" w:hAnsi="Times New Roman" w:cs="Times New Roman"/>
                <w:bCs/>
                <w:sz w:val="24"/>
                <w:szCs w:val="24"/>
                <w:lang w:val="ro-RO" w:eastAsia="ja-JP"/>
              </w:rPr>
            </w:pPr>
            <w:r w:rsidRPr="00AB70DE">
              <w:rPr>
                <w:rFonts w:ascii="Times New Roman" w:eastAsia="Batang" w:hAnsi="Times New Roman" w:cs="Times New Roman"/>
                <w:bCs/>
                <w:sz w:val="24"/>
                <w:szCs w:val="24"/>
                <w:lang w:val="ro-RO" w:eastAsia="ja-JP"/>
              </w:rPr>
              <w:t>g) Pentru pompe de căldură pentru temperatură scăzută, randamentul energetic sezonier aferent încălzirii incintelor nu trebuie să scadă sub 125 %.</w:t>
            </w:r>
          </w:p>
          <w:p w14:paraId="3E54E76C" w14:textId="77777777" w:rsidR="00B4237E" w:rsidRPr="0002702C" w:rsidRDefault="00B4237E" w:rsidP="00B4237E">
            <w:pPr>
              <w:pStyle w:val="ListParagraph"/>
              <w:tabs>
                <w:tab w:val="left" w:pos="1418"/>
              </w:tabs>
              <w:spacing w:after="60"/>
              <w:jc w:val="both"/>
              <w:rPr>
                <w:rFonts w:ascii="Times New Roman" w:eastAsia="Batang" w:hAnsi="Times New Roman" w:cs="Times New Roman"/>
                <w:bCs/>
                <w:sz w:val="24"/>
                <w:szCs w:val="24"/>
                <w:lang w:val="ro-RO" w:eastAsia="ja-JP"/>
              </w:rPr>
            </w:pPr>
          </w:p>
          <w:p w14:paraId="1119F9F0" w14:textId="651C5172" w:rsidR="000E7D61" w:rsidRPr="00B4237E" w:rsidRDefault="00B4237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B4237E">
              <w:rPr>
                <w:rFonts w:ascii="Times New Roman" w:eastAsia="Batang" w:hAnsi="Times New Roman" w:cs="Times New Roman"/>
                <w:b/>
                <w:bCs/>
                <w:sz w:val="24"/>
                <w:szCs w:val="24"/>
                <w:lang w:val="ro-RO" w:eastAsia="ja-JP"/>
              </w:rPr>
              <w:t>erințe</w:t>
            </w:r>
            <w:r w:rsidR="000E7D61" w:rsidRPr="00B4237E">
              <w:rPr>
                <w:rFonts w:ascii="Times New Roman" w:eastAsia="Batang" w:hAnsi="Times New Roman" w:cs="Times New Roman"/>
                <w:b/>
                <w:bCs/>
                <w:sz w:val="24"/>
                <w:szCs w:val="24"/>
                <w:lang w:val="ro-RO" w:eastAsia="ja-JP"/>
              </w:rPr>
              <w:t xml:space="preserve"> privind randamentul energetic aferent încălzirii apei;</w:t>
            </w:r>
          </w:p>
          <w:p w14:paraId="6C3F1028" w14:textId="77777777" w:rsidR="00B4237E" w:rsidRPr="00B4237E" w:rsidRDefault="00B4237E" w:rsidP="00B4237E">
            <w:pPr>
              <w:spacing w:before="120" w:after="0" w:line="240" w:lineRule="auto"/>
              <w:ind w:left="284"/>
              <w:contextualSpacing/>
              <w:jc w:val="both"/>
              <w:rPr>
                <w:rFonts w:ascii="Times New Roman" w:eastAsia="Calibri" w:hAnsi="Times New Roman" w:cs="Times New Roman"/>
                <w:sz w:val="24"/>
                <w:lang w:val="ro-RO"/>
              </w:rPr>
            </w:pPr>
            <w:r w:rsidRPr="00B4237E">
              <w:rPr>
                <w:rFonts w:ascii="Times New Roman" w:eastAsia="Calibri" w:hAnsi="Times New Roman" w:cs="Times New Roman"/>
                <w:sz w:val="24"/>
                <w:lang w:val="ro-RO"/>
              </w:rPr>
              <w:t xml:space="preserve">De la data intrării în vigoare a prezentului Regulament randamentul energetic aferent încălzirii apei al </w:t>
            </w:r>
            <w:proofErr w:type="spellStart"/>
            <w:r w:rsidRPr="00B4237E">
              <w:rPr>
                <w:rFonts w:ascii="Times New Roman" w:eastAsia="Calibri" w:hAnsi="Times New Roman" w:cs="Times New Roman"/>
                <w:sz w:val="24"/>
                <w:lang w:val="ro-RO"/>
              </w:rPr>
              <w:t>instalaţiilor</w:t>
            </w:r>
            <w:proofErr w:type="spellEnd"/>
            <w:r w:rsidRPr="00B4237E">
              <w:rPr>
                <w:rFonts w:ascii="Times New Roman" w:eastAsia="Calibri" w:hAnsi="Times New Roman" w:cs="Times New Roman"/>
                <w:sz w:val="24"/>
                <w:lang w:val="ro-RO"/>
              </w:rPr>
              <w:t xml:space="preserve"> de încălzire cu </w:t>
            </w:r>
            <w:proofErr w:type="spellStart"/>
            <w:r w:rsidRPr="00B4237E">
              <w:rPr>
                <w:rFonts w:ascii="Times New Roman" w:eastAsia="Calibri" w:hAnsi="Times New Roman" w:cs="Times New Roman"/>
                <w:sz w:val="24"/>
                <w:lang w:val="ro-RO"/>
              </w:rPr>
              <w:t>funcţie</w:t>
            </w:r>
            <w:proofErr w:type="spellEnd"/>
            <w:r w:rsidRPr="00B4237E">
              <w:rPr>
                <w:rFonts w:ascii="Times New Roman" w:eastAsia="Calibri" w:hAnsi="Times New Roman" w:cs="Times New Roman"/>
                <w:sz w:val="24"/>
                <w:lang w:val="ro-RO"/>
              </w:rPr>
              <w:t xml:space="preserve"> dublă nu trebuie să scadă sub valorile prezentate în tabelul 1. </w:t>
            </w:r>
          </w:p>
          <w:p w14:paraId="4A5BD16E" w14:textId="77777777" w:rsidR="00B4237E" w:rsidRPr="00B4237E" w:rsidRDefault="00B4237E" w:rsidP="00B4237E">
            <w:pPr>
              <w:spacing w:after="0" w:line="240" w:lineRule="auto"/>
              <w:ind w:left="720"/>
              <w:contextualSpacing/>
              <w:jc w:val="right"/>
              <w:rPr>
                <w:rFonts w:ascii="Times New Roman" w:eastAsia="Calibri" w:hAnsi="Times New Roman" w:cs="Times New Roman"/>
                <w:sz w:val="24"/>
                <w:lang w:val="ro-RO"/>
              </w:rPr>
            </w:pPr>
            <w:r w:rsidRPr="00B4237E">
              <w:rPr>
                <w:rFonts w:ascii="Times New Roman" w:eastAsia="Calibri" w:hAnsi="Times New Roman" w:cs="Times New Roman"/>
                <w:sz w:val="24"/>
                <w:lang w:val="ro-RO"/>
              </w:rPr>
              <w:t>Tabelul 1</w:t>
            </w:r>
          </w:p>
          <w:p w14:paraId="3F7E4F63" w14:textId="77777777" w:rsidR="00B4237E" w:rsidRPr="00B4237E" w:rsidRDefault="00B4237E" w:rsidP="00B4237E">
            <w:pPr>
              <w:spacing w:after="0" w:line="240" w:lineRule="auto"/>
              <w:ind w:left="720"/>
              <w:contextualSpacing/>
              <w:jc w:val="center"/>
              <w:rPr>
                <w:rFonts w:ascii="Times New Roman" w:eastAsia="Calibri" w:hAnsi="Times New Roman" w:cs="Times New Roman"/>
                <w:sz w:val="24"/>
                <w:lang w:val="ro-RO"/>
              </w:rPr>
            </w:pPr>
            <w:r w:rsidRPr="00B4237E">
              <w:rPr>
                <w:rFonts w:ascii="Times New Roman" w:eastAsia="Calibri" w:hAnsi="Times New Roman" w:cs="Times New Roman"/>
                <w:sz w:val="24"/>
                <w:lang w:val="ro-RO"/>
              </w:rPr>
              <w:t xml:space="preserve">Valorile randamentului energetic aferent încălzirii apei al </w:t>
            </w:r>
            <w:proofErr w:type="spellStart"/>
            <w:r w:rsidRPr="00B4237E">
              <w:rPr>
                <w:rFonts w:ascii="Times New Roman" w:eastAsia="Calibri" w:hAnsi="Times New Roman" w:cs="Times New Roman"/>
                <w:sz w:val="24"/>
                <w:lang w:val="ro-RO"/>
              </w:rPr>
              <w:t>instalaţiilor</w:t>
            </w:r>
            <w:proofErr w:type="spellEnd"/>
            <w:r w:rsidRPr="00B4237E">
              <w:rPr>
                <w:rFonts w:ascii="Times New Roman" w:eastAsia="Calibri" w:hAnsi="Times New Roman" w:cs="Times New Roman"/>
                <w:sz w:val="24"/>
                <w:lang w:val="ro-RO"/>
              </w:rPr>
              <w:t xml:space="preserve"> de încălzire cu </w:t>
            </w:r>
            <w:proofErr w:type="spellStart"/>
            <w:r w:rsidRPr="00B4237E">
              <w:rPr>
                <w:rFonts w:ascii="Times New Roman" w:eastAsia="Calibri" w:hAnsi="Times New Roman" w:cs="Times New Roman"/>
                <w:sz w:val="24"/>
                <w:lang w:val="ro-RO"/>
              </w:rPr>
              <w:t>funcţie</w:t>
            </w:r>
            <w:proofErr w:type="spellEnd"/>
            <w:r w:rsidRPr="00B4237E">
              <w:rPr>
                <w:rFonts w:ascii="Times New Roman" w:eastAsia="Calibri" w:hAnsi="Times New Roman" w:cs="Times New Roman"/>
                <w:sz w:val="24"/>
                <w:lang w:val="ro-RO"/>
              </w:rPr>
              <w:t xml:space="preserve"> dublă</w:t>
            </w:r>
          </w:p>
          <w:tbl>
            <w:tblPr>
              <w:tblOverlap w:val="never"/>
              <w:tblW w:w="97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16"/>
              <w:gridCol w:w="791"/>
              <w:gridCol w:w="791"/>
              <w:gridCol w:w="797"/>
              <w:gridCol w:w="791"/>
              <w:gridCol w:w="791"/>
              <w:gridCol w:w="791"/>
              <w:gridCol w:w="797"/>
              <w:gridCol w:w="791"/>
              <w:gridCol w:w="791"/>
              <w:gridCol w:w="827"/>
            </w:tblGrid>
            <w:tr w:rsidR="00B4237E" w:rsidRPr="00B4237E" w14:paraId="5F884DD9" w14:textId="77777777" w:rsidTr="00023266">
              <w:trPr>
                <w:trHeight w:val="418"/>
              </w:trPr>
              <w:tc>
                <w:tcPr>
                  <w:tcW w:w="1816" w:type="dxa"/>
                  <w:shd w:val="clear" w:color="auto" w:fill="FFFFFF"/>
                  <w:vAlign w:val="center"/>
                </w:tcPr>
                <w:p w14:paraId="6BB86E6A" w14:textId="77777777" w:rsidR="00B4237E" w:rsidRPr="00B4237E" w:rsidRDefault="00B4237E" w:rsidP="00B4237E">
                  <w:pPr>
                    <w:spacing w:after="0" w:line="240" w:lineRule="auto"/>
                    <w:rPr>
                      <w:rFonts w:ascii="Times New Roman" w:eastAsia="Calibri" w:hAnsi="Times New Roman" w:cs="Times New Roman"/>
                      <w:b/>
                      <w:sz w:val="24"/>
                      <w:lang w:val="ro-RO" w:bidi="ro-RO"/>
                    </w:rPr>
                  </w:pPr>
                  <w:r w:rsidRPr="00B4237E">
                    <w:rPr>
                      <w:rFonts w:ascii="Times New Roman" w:eastAsia="Calibri" w:hAnsi="Times New Roman" w:cs="Times New Roman"/>
                      <w:b/>
                      <w:sz w:val="24"/>
                      <w:lang w:val="ro-RO" w:bidi="ro-RO"/>
                    </w:rPr>
                    <w:t>Profilul de sarcină declarat</w:t>
                  </w:r>
                </w:p>
              </w:tc>
              <w:tc>
                <w:tcPr>
                  <w:tcW w:w="791" w:type="dxa"/>
                  <w:shd w:val="clear" w:color="auto" w:fill="FFFFFF"/>
                  <w:vAlign w:val="center"/>
                </w:tcPr>
                <w:p w14:paraId="1D70D677"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3XS</w:t>
                  </w:r>
                </w:p>
              </w:tc>
              <w:tc>
                <w:tcPr>
                  <w:tcW w:w="791" w:type="dxa"/>
                  <w:shd w:val="clear" w:color="auto" w:fill="FFFFFF"/>
                  <w:vAlign w:val="center"/>
                </w:tcPr>
                <w:p w14:paraId="0CE053BF"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XXS</w:t>
                  </w:r>
                </w:p>
              </w:tc>
              <w:tc>
                <w:tcPr>
                  <w:tcW w:w="797" w:type="dxa"/>
                  <w:shd w:val="clear" w:color="auto" w:fill="FFFFFF"/>
                  <w:vAlign w:val="center"/>
                </w:tcPr>
                <w:p w14:paraId="14F988ED"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XS</w:t>
                  </w:r>
                </w:p>
              </w:tc>
              <w:tc>
                <w:tcPr>
                  <w:tcW w:w="791" w:type="dxa"/>
                  <w:shd w:val="clear" w:color="auto" w:fill="FFFFFF"/>
                  <w:vAlign w:val="center"/>
                </w:tcPr>
                <w:p w14:paraId="4406AAF6"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S</w:t>
                  </w:r>
                </w:p>
              </w:tc>
              <w:tc>
                <w:tcPr>
                  <w:tcW w:w="791" w:type="dxa"/>
                  <w:shd w:val="clear" w:color="auto" w:fill="FFFFFF"/>
                  <w:vAlign w:val="center"/>
                </w:tcPr>
                <w:p w14:paraId="4ED9886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M</w:t>
                  </w:r>
                </w:p>
              </w:tc>
              <w:tc>
                <w:tcPr>
                  <w:tcW w:w="791" w:type="dxa"/>
                  <w:shd w:val="clear" w:color="auto" w:fill="FFFFFF"/>
                  <w:vAlign w:val="center"/>
                </w:tcPr>
                <w:p w14:paraId="0A533DAD"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L</w:t>
                  </w:r>
                </w:p>
              </w:tc>
              <w:tc>
                <w:tcPr>
                  <w:tcW w:w="797" w:type="dxa"/>
                  <w:shd w:val="clear" w:color="auto" w:fill="FFFFFF"/>
                  <w:vAlign w:val="center"/>
                </w:tcPr>
                <w:p w14:paraId="3671D04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XL</w:t>
                  </w:r>
                </w:p>
              </w:tc>
              <w:tc>
                <w:tcPr>
                  <w:tcW w:w="791" w:type="dxa"/>
                  <w:shd w:val="clear" w:color="auto" w:fill="FFFFFF"/>
                  <w:vAlign w:val="center"/>
                </w:tcPr>
                <w:p w14:paraId="47509ACC"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XXL</w:t>
                  </w:r>
                </w:p>
              </w:tc>
              <w:tc>
                <w:tcPr>
                  <w:tcW w:w="791" w:type="dxa"/>
                  <w:shd w:val="clear" w:color="auto" w:fill="FFFFFF"/>
                  <w:vAlign w:val="center"/>
                </w:tcPr>
                <w:p w14:paraId="7A4F5DDF"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3XL</w:t>
                  </w:r>
                </w:p>
              </w:tc>
              <w:tc>
                <w:tcPr>
                  <w:tcW w:w="827" w:type="dxa"/>
                  <w:shd w:val="clear" w:color="auto" w:fill="FFFFFF"/>
                  <w:vAlign w:val="center"/>
                </w:tcPr>
                <w:p w14:paraId="51D12514"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4XL</w:t>
                  </w:r>
                </w:p>
              </w:tc>
            </w:tr>
            <w:tr w:rsidR="00B4237E" w:rsidRPr="00B4237E" w14:paraId="63C71D65" w14:textId="77777777" w:rsidTr="00023266">
              <w:trPr>
                <w:trHeight w:val="996"/>
              </w:trPr>
              <w:tc>
                <w:tcPr>
                  <w:tcW w:w="1816" w:type="dxa"/>
                  <w:shd w:val="clear" w:color="auto" w:fill="FFFFFF"/>
                  <w:vAlign w:val="center"/>
                </w:tcPr>
                <w:p w14:paraId="0B1F7905" w14:textId="77777777" w:rsidR="00B4237E" w:rsidRPr="00B4237E" w:rsidRDefault="00B4237E" w:rsidP="00B4237E">
                  <w:pPr>
                    <w:spacing w:after="0" w:line="240" w:lineRule="auto"/>
                    <w:rPr>
                      <w:rFonts w:ascii="Times New Roman" w:eastAsia="Calibri" w:hAnsi="Times New Roman" w:cs="Times New Roman"/>
                      <w:b/>
                      <w:sz w:val="24"/>
                      <w:lang w:val="ro-RO" w:bidi="ro-RO"/>
                    </w:rPr>
                  </w:pPr>
                  <w:r w:rsidRPr="00B4237E">
                    <w:rPr>
                      <w:rFonts w:ascii="Times New Roman" w:eastAsia="Calibri" w:hAnsi="Times New Roman" w:cs="Times New Roman"/>
                      <w:b/>
                      <w:sz w:val="24"/>
                      <w:lang w:val="ro-RO" w:bidi="ro-RO"/>
                    </w:rPr>
                    <w:t>Randamentul energetic aferent încălzirii apei</w:t>
                  </w:r>
                </w:p>
              </w:tc>
              <w:tc>
                <w:tcPr>
                  <w:tcW w:w="791" w:type="dxa"/>
                  <w:shd w:val="clear" w:color="auto" w:fill="FFFFFF"/>
                  <w:vAlign w:val="center"/>
                </w:tcPr>
                <w:p w14:paraId="5172599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32 %</w:t>
                  </w:r>
                </w:p>
              </w:tc>
              <w:tc>
                <w:tcPr>
                  <w:tcW w:w="791" w:type="dxa"/>
                  <w:shd w:val="clear" w:color="auto" w:fill="FFFFFF"/>
                  <w:vAlign w:val="center"/>
                </w:tcPr>
                <w:p w14:paraId="2AE47044"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32 %</w:t>
                  </w:r>
                </w:p>
              </w:tc>
              <w:tc>
                <w:tcPr>
                  <w:tcW w:w="797" w:type="dxa"/>
                  <w:shd w:val="clear" w:color="auto" w:fill="FFFFFF"/>
                  <w:vAlign w:val="center"/>
                </w:tcPr>
                <w:p w14:paraId="18B3BC31"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i/>
                      <w:iCs/>
                      <w:sz w:val="24"/>
                      <w:lang w:val="ro-RO" w:bidi="ro-RO"/>
                    </w:rPr>
                    <w:t>32 %</w:t>
                  </w:r>
                </w:p>
              </w:tc>
              <w:tc>
                <w:tcPr>
                  <w:tcW w:w="791" w:type="dxa"/>
                  <w:shd w:val="clear" w:color="auto" w:fill="FFFFFF"/>
                  <w:vAlign w:val="center"/>
                </w:tcPr>
                <w:p w14:paraId="42477553"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i/>
                      <w:iCs/>
                      <w:sz w:val="24"/>
                      <w:lang w:val="ro-RO" w:bidi="ro-RO"/>
                    </w:rPr>
                    <w:t>32 %</w:t>
                  </w:r>
                </w:p>
              </w:tc>
              <w:tc>
                <w:tcPr>
                  <w:tcW w:w="791" w:type="dxa"/>
                  <w:shd w:val="clear" w:color="auto" w:fill="FFFFFF"/>
                  <w:vAlign w:val="center"/>
                </w:tcPr>
                <w:p w14:paraId="4A6CBC9B"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36 %</w:t>
                  </w:r>
                </w:p>
              </w:tc>
              <w:tc>
                <w:tcPr>
                  <w:tcW w:w="791" w:type="dxa"/>
                  <w:shd w:val="clear" w:color="auto" w:fill="FFFFFF"/>
                  <w:vAlign w:val="center"/>
                </w:tcPr>
                <w:p w14:paraId="488C5CC7"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37 %</w:t>
                  </w:r>
                </w:p>
              </w:tc>
              <w:tc>
                <w:tcPr>
                  <w:tcW w:w="797" w:type="dxa"/>
                  <w:shd w:val="clear" w:color="auto" w:fill="FFFFFF"/>
                  <w:vAlign w:val="center"/>
                </w:tcPr>
                <w:p w14:paraId="4BD0094C"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38 %</w:t>
                  </w:r>
                </w:p>
              </w:tc>
              <w:tc>
                <w:tcPr>
                  <w:tcW w:w="791" w:type="dxa"/>
                  <w:shd w:val="clear" w:color="auto" w:fill="FFFFFF"/>
                  <w:vAlign w:val="center"/>
                </w:tcPr>
                <w:p w14:paraId="07017BA2"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60 %</w:t>
                  </w:r>
                </w:p>
              </w:tc>
              <w:tc>
                <w:tcPr>
                  <w:tcW w:w="791" w:type="dxa"/>
                  <w:shd w:val="clear" w:color="auto" w:fill="FFFFFF"/>
                  <w:vAlign w:val="center"/>
                </w:tcPr>
                <w:p w14:paraId="5EF0B337" w14:textId="77777777" w:rsidR="00B4237E" w:rsidRPr="00B4237E" w:rsidRDefault="00B4237E" w:rsidP="00B4237E">
                  <w:pPr>
                    <w:spacing w:after="0" w:line="240" w:lineRule="auto"/>
                    <w:rPr>
                      <w:rFonts w:ascii="Times New Roman" w:eastAsia="Calibri" w:hAnsi="Times New Roman" w:cs="Times New Roman"/>
                      <w:sz w:val="24"/>
                      <w:lang w:val="ro-RO" w:bidi="ro-RO"/>
                    </w:rPr>
                  </w:pPr>
                  <w:r w:rsidRPr="00B4237E">
                    <w:rPr>
                      <w:rFonts w:ascii="Times New Roman" w:eastAsia="Calibri" w:hAnsi="Times New Roman" w:cs="Times New Roman"/>
                      <w:sz w:val="24"/>
                      <w:lang w:val="ro-RO" w:bidi="ro-RO"/>
                    </w:rPr>
                    <w:t>64 %</w:t>
                  </w:r>
                </w:p>
              </w:tc>
              <w:tc>
                <w:tcPr>
                  <w:tcW w:w="827" w:type="dxa"/>
                  <w:shd w:val="clear" w:color="auto" w:fill="FFFFFF"/>
                  <w:vAlign w:val="center"/>
                </w:tcPr>
                <w:p w14:paraId="53183C1E" w14:textId="77777777" w:rsidR="00B4237E" w:rsidRPr="00B4237E" w:rsidRDefault="00B4237E" w:rsidP="00B4237E">
                  <w:pPr>
                    <w:numPr>
                      <w:ilvl w:val="0"/>
                      <w:numId w:val="27"/>
                    </w:numPr>
                    <w:spacing w:after="0" w:line="240" w:lineRule="auto"/>
                    <w:contextualSpacing/>
                    <w:rPr>
                      <w:rFonts w:ascii="Times New Roman" w:eastAsia="Calibri" w:hAnsi="Times New Roman" w:cs="Times New Roman"/>
                      <w:sz w:val="24"/>
                      <w:lang w:val="ro-RO" w:bidi="ro-RO"/>
                    </w:rPr>
                  </w:pPr>
                </w:p>
              </w:tc>
            </w:tr>
          </w:tbl>
          <w:p w14:paraId="403C07E7" w14:textId="77777777" w:rsidR="00B4237E" w:rsidRPr="0002702C" w:rsidRDefault="00B4237E" w:rsidP="00B4237E">
            <w:pPr>
              <w:pStyle w:val="ListParagraph"/>
              <w:tabs>
                <w:tab w:val="left" w:pos="1418"/>
              </w:tabs>
              <w:spacing w:after="60"/>
              <w:jc w:val="both"/>
              <w:rPr>
                <w:rFonts w:ascii="Times New Roman" w:eastAsia="Batang" w:hAnsi="Times New Roman" w:cs="Times New Roman"/>
                <w:bCs/>
                <w:sz w:val="24"/>
                <w:szCs w:val="24"/>
                <w:lang w:val="ro-RO" w:eastAsia="ja-JP"/>
              </w:rPr>
            </w:pPr>
          </w:p>
          <w:p w14:paraId="197CE498" w14:textId="1CA7DCB9" w:rsidR="000E7D61" w:rsidRPr="00AB70DE" w:rsidRDefault="00AB70D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AB70DE">
              <w:rPr>
                <w:rFonts w:ascii="Times New Roman" w:eastAsia="Batang" w:hAnsi="Times New Roman" w:cs="Times New Roman"/>
                <w:b/>
                <w:bCs/>
                <w:sz w:val="24"/>
                <w:szCs w:val="24"/>
                <w:lang w:val="ro-RO" w:eastAsia="ja-JP"/>
              </w:rPr>
              <w:t>erințe</w:t>
            </w:r>
            <w:r w:rsidR="000E7D61" w:rsidRPr="00AB70DE">
              <w:rPr>
                <w:rFonts w:ascii="Times New Roman" w:eastAsia="Batang" w:hAnsi="Times New Roman" w:cs="Times New Roman"/>
                <w:b/>
                <w:bCs/>
                <w:sz w:val="24"/>
                <w:szCs w:val="24"/>
                <w:lang w:val="ro-RO" w:eastAsia="ja-JP"/>
              </w:rPr>
              <w:t xml:space="preserve"> privind nivelul de putere acustică</w:t>
            </w:r>
            <w:r w:rsidR="00DE5790" w:rsidRPr="00AB70DE">
              <w:rPr>
                <w:rFonts w:ascii="Times New Roman" w:eastAsia="Batang" w:hAnsi="Times New Roman" w:cs="Times New Roman"/>
                <w:b/>
                <w:bCs/>
                <w:sz w:val="24"/>
                <w:szCs w:val="24"/>
                <w:lang w:val="ro-RO" w:eastAsia="ja-JP"/>
              </w:rPr>
              <w:t>;</w:t>
            </w:r>
          </w:p>
          <w:p w14:paraId="4D263529" w14:textId="77777777" w:rsidR="00B4237E" w:rsidRPr="00B4237E" w:rsidRDefault="00B4237E" w:rsidP="00B4237E">
            <w:pPr>
              <w:spacing w:before="120" w:after="0" w:line="240" w:lineRule="auto"/>
              <w:ind w:left="284"/>
              <w:contextualSpacing/>
              <w:jc w:val="both"/>
              <w:rPr>
                <w:rFonts w:ascii="Times New Roman" w:hAnsi="Times New Roman" w:cs="Times New Roman"/>
                <w:b/>
                <w:sz w:val="24"/>
                <w:szCs w:val="24"/>
                <w:lang w:val="ro-RO"/>
              </w:rPr>
            </w:pPr>
            <w:r w:rsidRPr="00B4237E">
              <w:rPr>
                <w:rFonts w:ascii="Times New Roman" w:hAnsi="Times New Roman" w:cs="Times New Roman"/>
                <w:sz w:val="24"/>
                <w:szCs w:val="24"/>
                <w:lang w:val="ro-RO"/>
              </w:rPr>
              <w:t xml:space="preserve">De la </w:t>
            </w:r>
            <w:r w:rsidRPr="00B4237E">
              <w:rPr>
                <w:rFonts w:ascii="Times New Roman" w:eastAsia="Calibri" w:hAnsi="Times New Roman" w:cs="Times New Roman"/>
                <w:sz w:val="24"/>
                <w:szCs w:val="24"/>
                <w:lang w:val="ro-RO"/>
              </w:rPr>
              <w:t>data</w:t>
            </w:r>
            <w:r w:rsidRPr="00B4237E">
              <w:rPr>
                <w:rFonts w:ascii="Times New Roman" w:hAnsi="Times New Roman" w:cs="Times New Roman"/>
                <w:sz w:val="24"/>
                <w:szCs w:val="24"/>
                <w:lang w:val="ro-RO"/>
              </w:rPr>
              <w:t xml:space="preserve"> intrării în vigoare a prezentului Regulament</w:t>
            </w:r>
            <w:r w:rsidRPr="00B4237E">
              <w:rPr>
                <w:sz w:val="24"/>
                <w:szCs w:val="24"/>
                <w:lang w:val="ro-RO"/>
              </w:rPr>
              <w:t xml:space="preserve"> </w:t>
            </w:r>
            <w:r w:rsidRPr="00B4237E">
              <w:rPr>
                <w:rFonts w:ascii="Times New Roman" w:hAnsi="Times New Roman" w:cs="Times New Roman"/>
                <w:sz w:val="24"/>
                <w:szCs w:val="24"/>
                <w:lang w:val="ro-RO"/>
              </w:rPr>
              <w:t xml:space="preserve">nivelul de putere acustică a </w:t>
            </w:r>
            <w:proofErr w:type="spellStart"/>
            <w:r w:rsidRPr="00B4237E">
              <w:rPr>
                <w:rFonts w:ascii="Times New Roman" w:hAnsi="Times New Roman" w:cs="Times New Roman"/>
                <w:sz w:val="24"/>
                <w:szCs w:val="24"/>
                <w:lang w:val="ro-RO"/>
              </w:rPr>
              <w:t>instalaţiilor</w:t>
            </w:r>
            <w:proofErr w:type="spellEnd"/>
            <w:r w:rsidRPr="00B4237E">
              <w:rPr>
                <w:rFonts w:ascii="Times New Roman" w:hAnsi="Times New Roman" w:cs="Times New Roman"/>
                <w:sz w:val="24"/>
                <w:szCs w:val="24"/>
                <w:lang w:val="ro-RO"/>
              </w:rPr>
              <w:t xml:space="preserve"> cu pompă de căldură pentru încălzirea incintelor </w:t>
            </w:r>
            <w:proofErr w:type="spellStart"/>
            <w:r w:rsidRPr="00B4237E">
              <w:rPr>
                <w:rFonts w:ascii="Times New Roman" w:hAnsi="Times New Roman" w:cs="Times New Roman"/>
                <w:sz w:val="24"/>
                <w:szCs w:val="24"/>
                <w:lang w:val="ro-RO"/>
              </w:rPr>
              <w:t>şi</w:t>
            </w:r>
            <w:proofErr w:type="spellEnd"/>
            <w:r w:rsidRPr="00B4237E">
              <w:rPr>
                <w:rFonts w:ascii="Times New Roman" w:hAnsi="Times New Roman" w:cs="Times New Roman"/>
                <w:sz w:val="24"/>
                <w:szCs w:val="24"/>
                <w:lang w:val="ro-RO"/>
              </w:rPr>
              <w:t xml:space="preserve"> a </w:t>
            </w:r>
            <w:proofErr w:type="spellStart"/>
            <w:r w:rsidRPr="00B4237E">
              <w:rPr>
                <w:rFonts w:ascii="Times New Roman" w:hAnsi="Times New Roman" w:cs="Times New Roman"/>
                <w:sz w:val="24"/>
                <w:szCs w:val="24"/>
                <w:lang w:val="ro-RO"/>
              </w:rPr>
              <w:t>instalaţiilor</w:t>
            </w:r>
            <w:proofErr w:type="spellEnd"/>
            <w:r w:rsidRPr="00B4237E">
              <w:rPr>
                <w:rFonts w:ascii="Times New Roman" w:hAnsi="Times New Roman" w:cs="Times New Roman"/>
                <w:sz w:val="24"/>
                <w:szCs w:val="24"/>
                <w:lang w:val="ro-RO"/>
              </w:rPr>
              <w:t xml:space="preserve"> de încălzire cu pompă de căldură cu </w:t>
            </w:r>
            <w:proofErr w:type="spellStart"/>
            <w:r w:rsidRPr="00B4237E">
              <w:rPr>
                <w:rFonts w:ascii="Times New Roman" w:hAnsi="Times New Roman" w:cs="Times New Roman"/>
                <w:sz w:val="24"/>
                <w:szCs w:val="24"/>
                <w:lang w:val="ro-RO"/>
              </w:rPr>
              <w:t>funcţie</w:t>
            </w:r>
            <w:proofErr w:type="spellEnd"/>
            <w:r w:rsidRPr="00B4237E">
              <w:rPr>
                <w:rFonts w:ascii="Times New Roman" w:hAnsi="Times New Roman" w:cs="Times New Roman"/>
                <w:sz w:val="24"/>
                <w:szCs w:val="24"/>
                <w:lang w:val="ro-RO"/>
              </w:rPr>
              <w:t xml:space="preserve"> dublă nu trebuie să </w:t>
            </w:r>
            <w:proofErr w:type="spellStart"/>
            <w:r w:rsidRPr="00B4237E">
              <w:rPr>
                <w:rFonts w:ascii="Times New Roman" w:hAnsi="Times New Roman" w:cs="Times New Roman"/>
                <w:sz w:val="24"/>
                <w:szCs w:val="24"/>
                <w:lang w:val="ro-RO"/>
              </w:rPr>
              <w:t>depăşească</w:t>
            </w:r>
            <w:proofErr w:type="spellEnd"/>
            <w:r w:rsidRPr="00B4237E">
              <w:rPr>
                <w:rFonts w:ascii="Times New Roman" w:hAnsi="Times New Roman" w:cs="Times New Roman"/>
                <w:sz w:val="24"/>
                <w:szCs w:val="24"/>
                <w:lang w:val="ro-RO"/>
              </w:rPr>
              <w:t xml:space="preserve"> valorile prezentate în tabelul 2. </w:t>
            </w:r>
          </w:p>
          <w:p w14:paraId="4DD24068" w14:textId="77777777" w:rsidR="00B4237E" w:rsidRPr="00F321FD" w:rsidRDefault="00B4237E" w:rsidP="00B4237E">
            <w:pPr>
              <w:pStyle w:val="ListParagraph"/>
              <w:spacing w:after="0" w:line="240" w:lineRule="auto"/>
              <w:jc w:val="right"/>
              <w:rPr>
                <w:rFonts w:ascii="Times New Roman" w:hAnsi="Times New Roman" w:cs="Times New Roman"/>
                <w:sz w:val="24"/>
                <w:szCs w:val="24"/>
                <w:lang w:val="ro-RO"/>
              </w:rPr>
            </w:pPr>
            <w:r w:rsidRPr="00F321FD">
              <w:rPr>
                <w:rFonts w:ascii="Times New Roman" w:hAnsi="Times New Roman" w:cs="Times New Roman"/>
                <w:sz w:val="24"/>
                <w:szCs w:val="24"/>
                <w:lang w:val="ro-RO"/>
              </w:rPr>
              <w:t>Tabelul 2</w:t>
            </w:r>
          </w:p>
          <w:p w14:paraId="15FDBFCF" w14:textId="77777777" w:rsidR="00B4237E" w:rsidRPr="00F321FD" w:rsidRDefault="00B4237E" w:rsidP="00B4237E">
            <w:pPr>
              <w:pStyle w:val="ListParagraph"/>
              <w:spacing w:after="0" w:line="240" w:lineRule="auto"/>
              <w:jc w:val="center"/>
              <w:rPr>
                <w:rFonts w:ascii="Times New Roman" w:hAnsi="Times New Roman" w:cs="Times New Roman"/>
                <w:b/>
                <w:sz w:val="24"/>
                <w:szCs w:val="24"/>
                <w:lang w:val="ro-RO"/>
              </w:rPr>
            </w:pPr>
            <w:r w:rsidRPr="00F321FD">
              <w:rPr>
                <w:rFonts w:ascii="Times New Roman" w:hAnsi="Times New Roman" w:cs="Times New Roman"/>
                <w:b/>
                <w:sz w:val="24"/>
                <w:szCs w:val="24"/>
                <w:lang w:val="ro-RO"/>
              </w:rPr>
              <w:t xml:space="preserve">Valorile nivelului de putere acustică a </w:t>
            </w:r>
            <w:proofErr w:type="spellStart"/>
            <w:r w:rsidRPr="00F321FD">
              <w:rPr>
                <w:rFonts w:ascii="Times New Roman" w:hAnsi="Times New Roman" w:cs="Times New Roman"/>
                <w:b/>
                <w:sz w:val="24"/>
                <w:szCs w:val="24"/>
                <w:lang w:val="ro-RO"/>
              </w:rPr>
              <w:t>instalaţiilor</w:t>
            </w:r>
            <w:proofErr w:type="spellEnd"/>
            <w:r w:rsidRPr="00F321FD">
              <w:rPr>
                <w:rFonts w:ascii="Times New Roman" w:hAnsi="Times New Roman" w:cs="Times New Roman"/>
                <w:b/>
                <w:sz w:val="24"/>
                <w:szCs w:val="24"/>
                <w:lang w:val="ro-RO"/>
              </w:rPr>
              <w:t xml:space="preserve"> cu pompă de căldură pentru încălzirea incintelor </w:t>
            </w:r>
            <w:proofErr w:type="spellStart"/>
            <w:r w:rsidRPr="00F321FD">
              <w:rPr>
                <w:rFonts w:ascii="Times New Roman" w:hAnsi="Times New Roman" w:cs="Times New Roman"/>
                <w:b/>
                <w:sz w:val="24"/>
                <w:szCs w:val="24"/>
                <w:lang w:val="ro-RO"/>
              </w:rPr>
              <w:t>şi</w:t>
            </w:r>
            <w:proofErr w:type="spellEnd"/>
            <w:r w:rsidRPr="00F321FD">
              <w:rPr>
                <w:rFonts w:ascii="Times New Roman" w:hAnsi="Times New Roman" w:cs="Times New Roman"/>
                <w:b/>
                <w:sz w:val="24"/>
                <w:szCs w:val="24"/>
                <w:lang w:val="ro-RO"/>
              </w:rPr>
              <w:t xml:space="preserve"> a </w:t>
            </w:r>
            <w:proofErr w:type="spellStart"/>
            <w:r w:rsidRPr="00F321FD">
              <w:rPr>
                <w:rFonts w:ascii="Times New Roman" w:hAnsi="Times New Roman" w:cs="Times New Roman"/>
                <w:b/>
                <w:sz w:val="24"/>
                <w:szCs w:val="24"/>
                <w:lang w:val="ro-RO"/>
              </w:rPr>
              <w:t>instalaţiilor</w:t>
            </w:r>
            <w:proofErr w:type="spellEnd"/>
            <w:r w:rsidRPr="00F321FD">
              <w:rPr>
                <w:rFonts w:ascii="Times New Roman" w:hAnsi="Times New Roman" w:cs="Times New Roman"/>
                <w:b/>
                <w:sz w:val="24"/>
                <w:szCs w:val="24"/>
                <w:lang w:val="ro-RO"/>
              </w:rPr>
              <w:t xml:space="preserve"> de încălzire cu pompă de căldură cu </w:t>
            </w:r>
            <w:proofErr w:type="spellStart"/>
            <w:r w:rsidRPr="00F321FD">
              <w:rPr>
                <w:rFonts w:ascii="Times New Roman" w:hAnsi="Times New Roman" w:cs="Times New Roman"/>
                <w:b/>
                <w:sz w:val="24"/>
                <w:szCs w:val="24"/>
                <w:lang w:val="ro-RO"/>
              </w:rPr>
              <w:t>funcţie</w:t>
            </w:r>
            <w:proofErr w:type="spellEnd"/>
            <w:r w:rsidRPr="00F321FD">
              <w:rPr>
                <w:rFonts w:ascii="Times New Roman" w:hAnsi="Times New Roman" w:cs="Times New Roman"/>
                <w:b/>
                <w:sz w:val="24"/>
                <w:szCs w:val="24"/>
                <w:lang w:val="ro-RO"/>
              </w:rPr>
              <w:t xml:space="preserve"> dublă</w:t>
            </w:r>
          </w:p>
          <w:tbl>
            <w:tblPr>
              <w:tblOverlap w:val="never"/>
              <w:tblW w:w="97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1"/>
              <w:gridCol w:w="1226"/>
              <w:gridCol w:w="1225"/>
              <w:gridCol w:w="1225"/>
              <w:gridCol w:w="1201"/>
              <w:gridCol w:w="1203"/>
              <w:gridCol w:w="1201"/>
              <w:gridCol w:w="1232"/>
            </w:tblGrid>
            <w:tr w:rsidR="00B4237E" w:rsidRPr="00B4237E" w14:paraId="3B6A6002" w14:textId="77777777" w:rsidTr="00023266">
              <w:trPr>
                <w:trHeight w:val="555"/>
              </w:trPr>
              <w:tc>
                <w:tcPr>
                  <w:tcW w:w="2497" w:type="dxa"/>
                  <w:gridSpan w:val="2"/>
                  <w:shd w:val="clear" w:color="auto" w:fill="FFFFFF"/>
                  <w:vAlign w:val="center"/>
                </w:tcPr>
                <w:p w14:paraId="42B41C80"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Putere termică nominală &lt;</w:t>
                  </w:r>
                </w:p>
                <w:p w14:paraId="12B62C1A"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 kW</w:t>
                  </w:r>
                </w:p>
              </w:tc>
              <w:tc>
                <w:tcPr>
                  <w:tcW w:w="2450" w:type="dxa"/>
                  <w:gridSpan w:val="2"/>
                  <w:shd w:val="clear" w:color="auto" w:fill="FFFFFF"/>
                  <w:vAlign w:val="center"/>
                </w:tcPr>
                <w:p w14:paraId="71C68D80"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Putere termică nominală &gt; 6 kW </w:t>
                  </w:r>
                  <w:proofErr w:type="spellStart"/>
                  <w:r w:rsidRPr="00F321FD">
                    <w:rPr>
                      <w:rFonts w:ascii="Times New Roman" w:hAnsi="Times New Roman" w:cs="Times New Roman"/>
                      <w:sz w:val="24"/>
                      <w:szCs w:val="24"/>
                      <w:lang w:val="ro-RO" w:bidi="ro-RO"/>
                    </w:rPr>
                    <w:t>şi</w:t>
                  </w:r>
                  <w:proofErr w:type="spellEnd"/>
                  <w:r w:rsidRPr="00F321FD">
                    <w:rPr>
                      <w:rFonts w:ascii="Times New Roman" w:hAnsi="Times New Roman" w:cs="Times New Roman"/>
                      <w:sz w:val="24"/>
                      <w:szCs w:val="24"/>
                      <w:lang w:val="ro-RO" w:bidi="ro-RO"/>
                    </w:rPr>
                    <w:t xml:space="preserve"> &lt; 12 kW</w:t>
                  </w:r>
                </w:p>
              </w:tc>
              <w:tc>
                <w:tcPr>
                  <w:tcW w:w="2404" w:type="dxa"/>
                  <w:gridSpan w:val="2"/>
                  <w:shd w:val="clear" w:color="auto" w:fill="FFFFFF"/>
                  <w:vAlign w:val="center"/>
                </w:tcPr>
                <w:p w14:paraId="692F6035"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Putere termică nominală &gt; 12 kW </w:t>
                  </w:r>
                  <w:proofErr w:type="spellStart"/>
                  <w:r w:rsidRPr="00F321FD">
                    <w:rPr>
                      <w:rFonts w:ascii="Times New Roman" w:hAnsi="Times New Roman" w:cs="Times New Roman"/>
                      <w:sz w:val="24"/>
                      <w:szCs w:val="24"/>
                      <w:lang w:val="ro-RO" w:bidi="ro-RO"/>
                    </w:rPr>
                    <w:t>şi</w:t>
                  </w:r>
                  <w:proofErr w:type="spellEnd"/>
                  <w:r w:rsidRPr="00F321FD">
                    <w:rPr>
                      <w:rFonts w:ascii="Times New Roman" w:hAnsi="Times New Roman" w:cs="Times New Roman"/>
                      <w:sz w:val="24"/>
                      <w:szCs w:val="24"/>
                      <w:lang w:val="ro-RO" w:bidi="ro-RO"/>
                    </w:rPr>
                    <w:t xml:space="preserve"> &lt; 30 kW</w:t>
                  </w:r>
                </w:p>
              </w:tc>
              <w:tc>
                <w:tcPr>
                  <w:tcW w:w="2433" w:type="dxa"/>
                  <w:gridSpan w:val="2"/>
                  <w:shd w:val="clear" w:color="auto" w:fill="FFFFFF"/>
                  <w:vAlign w:val="center"/>
                </w:tcPr>
                <w:p w14:paraId="598AC312"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Putere termică nominală &gt; 30 kW </w:t>
                  </w:r>
                  <w:proofErr w:type="spellStart"/>
                  <w:r w:rsidRPr="00F321FD">
                    <w:rPr>
                      <w:rFonts w:ascii="Times New Roman" w:hAnsi="Times New Roman" w:cs="Times New Roman"/>
                      <w:sz w:val="24"/>
                      <w:szCs w:val="24"/>
                      <w:lang w:val="ro-RO" w:bidi="ro-RO"/>
                    </w:rPr>
                    <w:t>şi</w:t>
                  </w:r>
                  <w:proofErr w:type="spellEnd"/>
                  <w:r w:rsidRPr="00F321FD">
                    <w:rPr>
                      <w:rFonts w:ascii="Times New Roman" w:hAnsi="Times New Roman" w:cs="Times New Roman"/>
                      <w:sz w:val="24"/>
                      <w:szCs w:val="24"/>
                      <w:lang w:val="ro-RO" w:bidi="ro-RO"/>
                    </w:rPr>
                    <w:t xml:space="preserve"> &lt; 70 kW</w:t>
                  </w:r>
                </w:p>
              </w:tc>
            </w:tr>
            <w:tr w:rsidR="00B4237E" w:rsidRPr="00B4237E" w14:paraId="6342369B" w14:textId="77777777" w:rsidTr="00023266">
              <w:trPr>
                <w:trHeight w:val="1446"/>
              </w:trPr>
              <w:tc>
                <w:tcPr>
                  <w:tcW w:w="1271" w:type="dxa"/>
                  <w:shd w:val="clear" w:color="auto" w:fill="FFFFFF"/>
                  <w:vAlign w:val="bottom"/>
                </w:tcPr>
                <w:p w14:paraId="7AF1F7BA"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  interior</w:t>
                  </w:r>
                </w:p>
              </w:tc>
              <w:tc>
                <w:tcPr>
                  <w:tcW w:w="1226" w:type="dxa"/>
                  <w:shd w:val="clear" w:color="auto" w:fill="FFFFFF"/>
                  <w:vAlign w:val="bottom"/>
                </w:tcPr>
                <w:p w14:paraId="2FB993F5"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w:t>
                  </w:r>
                  <w:r w:rsidRPr="00F321FD">
                    <w:rPr>
                      <w:rFonts w:ascii="Times New Roman" w:hAnsi="Times New Roman" w:cs="Times New Roman"/>
                      <w:sz w:val="24"/>
                      <w:szCs w:val="24"/>
                      <w:lang w:val="ro-RO" w:bidi="ro-RO"/>
                    </w:rPr>
                    <w:t xml:space="preserve">, în </w:t>
                  </w:r>
                </w:p>
                <w:p w14:paraId="7D6DDB5E"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exterior</w:t>
                  </w:r>
                </w:p>
              </w:tc>
              <w:tc>
                <w:tcPr>
                  <w:tcW w:w="1225" w:type="dxa"/>
                  <w:shd w:val="clear" w:color="auto" w:fill="FFFFFF"/>
                  <w:vAlign w:val="bottom"/>
                </w:tcPr>
                <w:p w14:paraId="7A859C48"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p>
                <w:p w14:paraId="72C96F2A"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interior</w:t>
                  </w:r>
                </w:p>
              </w:tc>
              <w:tc>
                <w:tcPr>
                  <w:tcW w:w="1225" w:type="dxa"/>
                  <w:shd w:val="clear" w:color="auto" w:fill="FFFFFF"/>
                  <w:vAlign w:val="bottom"/>
                </w:tcPr>
                <w:p w14:paraId="34BA8596"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c>
                <w:tcPr>
                  <w:tcW w:w="1201" w:type="dxa"/>
                  <w:shd w:val="clear" w:color="auto" w:fill="FFFFFF"/>
                  <w:vAlign w:val="bottom"/>
                </w:tcPr>
                <w:p w14:paraId="72A3918C"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interior</w:t>
                  </w:r>
                </w:p>
              </w:tc>
              <w:tc>
                <w:tcPr>
                  <w:tcW w:w="1203" w:type="dxa"/>
                  <w:shd w:val="clear" w:color="auto" w:fill="FFFFFF"/>
                  <w:vAlign w:val="bottom"/>
                </w:tcPr>
                <w:p w14:paraId="0813A1B2"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exterior</w:t>
                  </w:r>
                </w:p>
              </w:tc>
              <w:tc>
                <w:tcPr>
                  <w:tcW w:w="1201" w:type="dxa"/>
                  <w:shd w:val="clear" w:color="auto" w:fill="FFFFFF"/>
                  <w:vAlign w:val="bottom"/>
                </w:tcPr>
                <w:p w14:paraId="742EEAA0" w14:textId="77777777" w:rsidR="00B4237E" w:rsidRPr="00F321FD" w:rsidRDefault="00B4237E" w:rsidP="00B4237E">
                  <w:pPr>
                    <w:spacing w:after="0" w:line="240" w:lineRule="auto"/>
                    <w:jc w:val="both"/>
                    <w:rPr>
                      <w:rFonts w:ascii="Times New Roman" w:hAnsi="Times New Roman" w:cs="Times New Roman"/>
                      <w:i/>
                      <w:iCs/>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vertAlign w:val="superscript"/>
                      <w:lang w:val="ro-RO" w:bidi="ro-RO"/>
                    </w:rPr>
                    <w:t>(</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en-US"/>
                    </w:rPr>
                    <w:t>interior</w:t>
                  </w:r>
                </w:p>
              </w:tc>
              <w:tc>
                <w:tcPr>
                  <w:tcW w:w="1232" w:type="dxa"/>
                  <w:shd w:val="clear" w:color="auto" w:fill="FFFFFF"/>
                  <w:vAlign w:val="bottom"/>
                </w:tcPr>
                <w:p w14:paraId="46EBE879" w14:textId="77777777" w:rsidR="00B4237E" w:rsidRPr="00F321FD" w:rsidRDefault="00B4237E" w:rsidP="00B4237E">
                  <w:pPr>
                    <w:spacing w:after="0" w:line="240" w:lineRule="auto"/>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 xml:space="preserve">Nivelul de putere acustică </w:t>
                  </w:r>
                  <w:r w:rsidRPr="00F321FD">
                    <w:rPr>
                      <w:rFonts w:ascii="Times New Roman" w:hAnsi="Times New Roman" w:cs="Times New Roman"/>
                      <w:i/>
                      <w:iCs/>
                      <w:sz w:val="24"/>
                      <w:szCs w:val="24"/>
                      <w:lang w:val="ro-RO" w:bidi="ro-RO"/>
                    </w:rPr>
                    <w:t>(L</w:t>
                  </w:r>
                  <w:r w:rsidRPr="00F321FD">
                    <w:rPr>
                      <w:rFonts w:ascii="Times New Roman" w:hAnsi="Times New Roman" w:cs="Times New Roman"/>
                      <w:i/>
                      <w:iCs/>
                      <w:sz w:val="24"/>
                      <w:szCs w:val="24"/>
                      <w:vertAlign w:val="subscript"/>
                      <w:lang w:val="ro-RO" w:bidi="ro-RO"/>
                    </w:rPr>
                    <w:t>WA</w:t>
                  </w:r>
                  <w:r w:rsidRPr="00F321FD">
                    <w:rPr>
                      <w:rFonts w:ascii="Times New Roman" w:hAnsi="Times New Roman" w:cs="Times New Roman"/>
                      <w:i/>
                      <w:iCs/>
                      <w:sz w:val="24"/>
                      <w:szCs w:val="24"/>
                      <w:lang w:val="ro-RO" w:bidi="ro-RO"/>
                    </w:rPr>
                    <w:t xml:space="preserve">), </w:t>
                  </w:r>
                  <w:r w:rsidRPr="00F321FD">
                    <w:rPr>
                      <w:rFonts w:ascii="Times New Roman" w:hAnsi="Times New Roman" w:cs="Times New Roman"/>
                      <w:sz w:val="24"/>
                      <w:szCs w:val="24"/>
                      <w:lang w:val="ro-RO" w:bidi="ro-RO"/>
                    </w:rPr>
                    <w:t>în</w:t>
                  </w:r>
                  <w:r w:rsidRPr="00F321FD">
                    <w:rPr>
                      <w:rFonts w:ascii="Times New Roman" w:hAnsi="Times New Roman" w:cs="Times New Roman"/>
                      <w:sz w:val="24"/>
                      <w:szCs w:val="24"/>
                      <w:vertAlign w:val="superscript"/>
                      <w:lang w:val="ro-RO" w:bidi="ro-RO"/>
                    </w:rPr>
                    <w:t xml:space="preserve"> </w:t>
                  </w:r>
                  <w:r w:rsidRPr="00F321FD">
                    <w:rPr>
                      <w:rFonts w:ascii="Times New Roman" w:hAnsi="Times New Roman" w:cs="Times New Roman"/>
                      <w:sz w:val="24"/>
                      <w:szCs w:val="24"/>
                      <w:lang w:val="ro-RO" w:bidi="ro-RO"/>
                    </w:rPr>
                    <w:t>exterior</w:t>
                  </w:r>
                </w:p>
              </w:tc>
            </w:tr>
            <w:tr w:rsidR="00B4237E" w:rsidRPr="00F321FD" w14:paraId="372368B7" w14:textId="77777777" w:rsidTr="00023266">
              <w:trPr>
                <w:trHeight w:val="413"/>
              </w:trPr>
              <w:tc>
                <w:tcPr>
                  <w:tcW w:w="1271" w:type="dxa"/>
                  <w:shd w:val="clear" w:color="auto" w:fill="FFFFFF"/>
                  <w:vAlign w:val="center"/>
                </w:tcPr>
                <w:p w14:paraId="7E35D18A"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60 dB</w:t>
                  </w:r>
                </w:p>
              </w:tc>
              <w:tc>
                <w:tcPr>
                  <w:tcW w:w="1226" w:type="dxa"/>
                  <w:shd w:val="clear" w:color="auto" w:fill="FFFFFF"/>
                  <w:vAlign w:val="center"/>
                </w:tcPr>
                <w:p w14:paraId="71B49749"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381CCAF9"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65 dB</w:t>
                  </w:r>
                </w:p>
              </w:tc>
              <w:tc>
                <w:tcPr>
                  <w:tcW w:w="1225" w:type="dxa"/>
                  <w:shd w:val="clear" w:color="auto" w:fill="FFFFFF"/>
                  <w:vAlign w:val="center"/>
                </w:tcPr>
                <w:p w14:paraId="43A38B3F"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1" w:type="dxa"/>
                  <w:shd w:val="clear" w:color="auto" w:fill="FFFFFF"/>
                  <w:vAlign w:val="center"/>
                </w:tcPr>
                <w:p w14:paraId="7421D317"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70 dB</w:t>
                  </w:r>
                </w:p>
              </w:tc>
              <w:tc>
                <w:tcPr>
                  <w:tcW w:w="1203" w:type="dxa"/>
                  <w:shd w:val="clear" w:color="auto" w:fill="FFFFFF"/>
                  <w:vAlign w:val="center"/>
                </w:tcPr>
                <w:p w14:paraId="50AC0613"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78 dB</w:t>
                  </w:r>
                </w:p>
              </w:tc>
              <w:tc>
                <w:tcPr>
                  <w:tcW w:w="1201" w:type="dxa"/>
                  <w:shd w:val="clear" w:color="auto" w:fill="FFFFFF"/>
                  <w:vAlign w:val="center"/>
                </w:tcPr>
                <w:p w14:paraId="7271F651"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80 dB</w:t>
                  </w:r>
                </w:p>
              </w:tc>
              <w:tc>
                <w:tcPr>
                  <w:tcW w:w="1232" w:type="dxa"/>
                  <w:shd w:val="clear" w:color="auto" w:fill="FFFFFF"/>
                  <w:vAlign w:val="center"/>
                </w:tcPr>
                <w:p w14:paraId="19038574" w14:textId="77777777" w:rsidR="00B4237E" w:rsidRPr="00F321FD" w:rsidRDefault="00B4237E" w:rsidP="00B4237E">
                  <w:pPr>
                    <w:spacing w:after="0" w:line="240" w:lineRule="auto"/>
                    <w:ind w:firstLine="360"/>
                    <w:jc w:val="both"/>
                    <w:rPr>
                      <w:rFonts w:ascii="Times New Roman" w:hAnsi="Times New Roman" w:cs="Times New Roman"/>
                      <w:sz w:val="24"/>
                      <w:szCs w:val="24"/>
                      <w:lang w:val="ro-RO" w:bidi="ro-RO"/>
                    </w:rPr>
                  </w:pPr>
                  <w:r w:rsidRPr="00F321FD">
                    <w:rPr>
                      <w:rFonts w:ascii="Times New Roman" w:hAnsi="Times New Roman" w:cs="Times New Roman"/>
                      <w:sz w:val="24"/>
                      <w:szCs w:val="24"/>
                      <w:lang w:val="ro-RO" w:bidi="ro-RO"/>
                    </w:rPr>
                    <w:t>88 dB</w:t>
                  </w:r>
                </w:p>
              </w:tc>
            </w:tr>
          </w:tbl>
          <w:p w14:paraId="0A6D5F1B" w14:textId="77777777" w:rsidR="00B4237E" w:rsidRPr="00B4237E" w:rsidRDefault="00B4237E" w:rsidP="00B4237E">
            <w:pPr>
              <w:tabs>
                <w:tab w:val="left" w:pos="1418"/>
              </w:tabs>
              <w:spacing w:after="60"/>
              <w:jc w:val="both"/>
              <w:rPr>
                <w:rFonts w:ascii="Times New Roman" w:eastAsia="Batang" w:hAnsi="Times New Roman" w:cs="Times New Roman"/>
                <w:bCs/>
                <w:sz w:val="24"/>
                <w:szCs w:val="24"/>
                <w:lang w:val="ro-RO" w:eastAsia="ja-JP"/>
              </w:rPr>
            </w:pPr>
          </w:p>
          <w:p w14:paraId="56D08FB0" w14:textId="21D4A8FE" w:rsidR="00DE5790" w:rsidRPr="00AB70DE" w:rsidRDefault="00AB70DE" w:rsidP="00B4237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Pr>
                <w:rFonts w:ascii="Times New Roman" w:eastAsia="Batang" w:hAnsi="Times New Roman" w:cs="Times New Roman"/>
                <w:b/>
                <w:bCs/>
                <w:sz w:val="24"/>
                <w:szCs w:val="24"/>
                <w:lang w:val="ro-RO" w:eastAsia="ja-JP"/>
              </w:rPr>
              <w:t>C</w:t>
            </w:r>
            <w:r w:rsidR="00B76CED" w:rsidRPr="00AB70DE">
              <w:rPr>
                <w:rFonts w:ascii="Times New Roman" w:eastAsia="Batang" w:hAnsi="Times New Roman" w:cs="Times New Roman"/>
                <w:b/>
                <w:bCs/>
                <w:sz w:val="24"/>
                <w:szCs w:val="24"/>
                <w:lang w:val="ro-RO" w:eastAsia="ja-JP"/>
              </w:rPr>
              <w:t>erințe</w:t>
            </w:r>
            <w:r w:rsidR="00DE5790" w:rsidRPr="00AB70DE">
              <w:rPr>
                <w:rFonts w:ascii="Times New Roman" w:eastAsia="Batang" w:hAnsi="Times New Roman" w:cs="Times New Roman"/>
                <w:b/>
                <w:bCs/>
                <w:sz w:val="24"/>
                <w:szCs w:val="24"/>
                <w:lang w:val="ro-RO" w:eastAsia="ja-JP"/>
              </w:rPr>
              <w:t xml:space="preserve"> privind emisiile de oxizi de azot;</w:t>
            </w:r>
          </w:p>
          <w:p w14:paraId="20E9D1E5" w14:textId="77777777" w:rsidR="00AB70DE" w:rsidRPr="00AB70DE" w:rsidRDefault="00AB70DE" w:rsidP="00AB70DE">
            <w:p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De la data intrării în vigoare a prezentului Regulament</w:t>
            </w:r>
            <w:r w:rsidRPr="00AB70DE">
              <w:rPr>
                <w:rFonts w:ascii="Calibri" w:eastAsia="Calibri" w:hAnsi="Calibri" w:cs="Times New Roman"/>
                <w:sz w:val="24"/>
                <w:szCs w:val="24"/>
                <w:lang w:val="ro-RO"/>
              </w:rPr>
              <w:t xml:space="preserve"> </w:t>
            </w:r>
            <w:r w:rsidRPr="00AB70DE">
              <w:rPr>
                <w:rFonts w:ascii="Times New Roman" w:eastAsia="Calibri" w:hAnsi="Times New Roman" w:cs="Times New Roman"/>
                <w:sz w:val="24"/>
                <w:szCs w:val="24"/>
                <w:lang w:val="ro-RO"/>
              </w:rPr>
              <w:t xml:space="preserve">emisiile de oxizi de azot, exprimate în dioxid de azot, generate de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nu trebuie să </w:t>
            </w:r>
            <w:proofErr w:type="spellStart"/>
            <w:r w:rsidRPr="00AB70DE">
              <w:rPr>
                <w:rFonts w:ascii="Times New Roman" w:eastAsia="Calibri" w:hAnsi="Times New Roman" w:cs="Times New Roman"/>
                <w:sz w:val="24"/>
                <w:szCs w:val="24"/>
                <w:lang w:val="ro-RO"/>
              </w:rPr>
              <w:t>depăşească</w:t>
            </w:r>
            <w:proofErr w:type="spellEnd"/>
            <w:r w:rsidRPr="00AB70DE">
              <w:rPr>
                <w:rFonts w:ascii="Times New Roman" w:eastAsia="Calibri" w:hAnsi="Times New Roman" w:cs="Times New Roman"/>
                <w:sz w:val="24"/>
                <w:szCs w:val="24"/>
                <w:lang w:val="ro-RO"/>
              </w:rPr>
              <w:t xml:space="preserve"> următoarele valori:</w:t>
            </w:r>
          </w:p>
          <w:p w14:paraId="4525FAF5"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cazan care utilizează combustibil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cazan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care utilizează combustibil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combustibil de 56 mg/kWh în termeni de PCS;</w:t>
            </w:r>
          </w:p>
          <w:p w14:paraId="5D196EC1"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lastRenderedPageBreak/>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cazan care utilizează combustibil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cazan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care utilizează combustibil care utilizează combustibili lichizi: consum de combustibil de 120 mg/kWh în termeni de PCS;</w:t>
            </w:r>
          </w:p>
          <w:p w14:paraId="33BAD594"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dispozitiv cu ardere externă,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combustibil de 70 mg/kWh în termeni de PCS;</w:t>
            </w:r>
          </w:p>
          <w:p w14:paraId="21A06516"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dispozitiv cu ardere externă, care utilizează combustibili lichizi: consum de combustibil de 120 mg/kWh în termeni de PCS;</w:t>
            </w:r>
          </w:p>
          <w:p w14:paraId="2152BA10"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motor cu ardere internă,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combustibil de 240 mg/kWh în termeni de PCS;</w:t>
            </w:r>
          </w:p>
          <w:p w14:paraId="7DB8ACB5"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echipate cu motor cu ardere internă, care utilizează combustibili lichizi: consum de combustibil de 420 mg/kWh în termeni de PCS;</w:t>
            </w:r>
          </w:p>
          <w:p w14:paraId="30C6A519"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dispozitiv cu ardere externă,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combustibil de 70 mg/kWh în termeni de PCS;</w:t>
            </w:r>
          </w:p>
          <w:p w14:paraId="4FB887F9"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dispozitiv cu ardere externă care utilizează combustibili lichizi: consum de combustibil de 120 mg/kWh în termeni de PCS;</w:t>
            </w:r>
          </w:p>
          <w:p w14:paraId="754537C4"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Pentru </w:t>
            </w:r>
            <w:proofErr w:type="spellStart"/>
            <w:r w:rsidRPr="00AB70DE">
              <w:rPr>
                <w:rFonts w:ascii="Times New Roman" w:eastAsia="Calibri" w:hAnsi="Times New Roman" w:cs="Times New Roman"/>
                <w:sz w:val="24"/>
                <w:szCs w:val="24"/>
                <w:lang w:val="ro-RO"/>
              </w:rPr>
              <w:t>instalaţie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motor cu ardere internă care utilizează combustibili </w:t>
            </w:r>
            <w:proofErr w:type="spellStart"/>
            <w:r w:rsidRPr="00AB70DE">
              <w:rPr>
                <w:rFonts w:ascii="Times New Roman" w:eastAsia="Calibri" w:hAnsi="Times New Roman" w:cs="Times New Roman"/>
                <w:sz w:val="24"/>
                <w:szCs w:val="24"/>
                <w:lang w:val="ro-RO"/>
              </w:rPr>
              <w:t>gazoşi</w:t>
            </w:r>
            <w:proofErr w:type="spellEnd"/>
            <w:r w:rsidRPr="00AB70DE">
              <w:rPr>
                <w:rFonts w:ascii="Times New Roman" w:eastAsia="Calibri" w:hAnsi="Times New Roman" w:cs="Times New Roman"/>
                <w:sz w:val="24"/>
                <w:szCs w:val="24"/>
                <w:lang w:val="ro-RO"/>
              </w:rPr>
              <w:t>: consum de combustibil de 240 mg/kWh în termeni de PCS;</w:t>
            </w:r>
          </w:p>
          <w:p w14:paraId="7B795203" w14:textId="77777777" w:rsidR="00AB70DE" w:rsidRPr="00AB70DE" w:rsidRDefault="00AB70DE" w:rsidP="00AB70DE">
            <w:pPr>
              <w:numPr>
                <w:ilvl w:val="0"/>
                <w:numId w:val="29"/>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echipate cu motor cu ardere internă care utilizează combustibili lichizi: consum de combustibil de 420 mg/kWh în termeni de PCS.</w:t>
            </w:r>
          </w:p>
          <w:p w14:paraId="43DF1CE2" w14:textId="77777777" w:rsidR="00AB70DE" w:rsidRPr="00AB70DE" w:rsidRDefault="00AB70DE" w:rsidP="00AB70DE">
            <w:pPr>
              <w:tabs>
                <w:tab w:val="left" w:pos="1418"/>
              </w:tabs>
              <w:spacing w:after="60"/>
              <w:jc w:val="both"/>
              <w:rPr>
                <w:rFonts w:ascii="Times New Roman" w:eastAsia="Batang" w:hAnsi="Times New Roman" w:cs="Times New Roman"/>
                <w:bCs/>
                <w:sz w:val="24"/>
                <w:szCs w:val="24"/>
                <w:lang w:val="ro-RO" w:eastAsia="ja-JP"/>
              </w:rPr>
            </w:pPr>
          </w:p>
          <w:p w14:paraId="1A9B4691" w14:textId="3F7EAD90" w:rsidR="00DE5790" w:rsidRPr="00AB70DE" w:rsidRDefault="00AB70DE" w:rsidP="00AB70DE">
            <w:pPr>
              <w:pStyle w:val="ListParagraph"/>
              <w:numPr>
                <w:ilvl w:val="0"/>
                <w:numId w:val="26"/>
              </w:numPr>
              <w:tabs>
                <w:tab w:val="left" w:pos="1418"/>
              </w:tabs>
              <w:spacing w:after="60"/>
              <w:jc w:val="both"/>
              <w:rPr>
                <w:rFonts w:ascii="Times New Roman" w:eastAsia="Batang" w:hAnsi="Times New Roman" w:cs="Times New Roman"/>
                <w:b/>
                <w:bCs/>
                <w:sz w:val="24"/>
                <w:szCs w:val="24"/>
                <w:lang w:val="ro-RO" w:eastAsia="ja-JP"/>
              </w:rPr>
            </w:pPr>
            <w:r w:rsidRPr="00AB70DE">
              <w:rPr>
                <w:rFonts w:ascii="Times New Roman" w:eastAsia="Batang" w:hAnsi="Times New Roman" w:cs="Times New Roman"/>
                <w:b/>
                <w:bCs/>
                <w:sz w:val="24"/>
                <w:szCs w:val="24"/>
                <w:lang w:val="ro-RO" w:eastAsia="ja-JP"/>
              </w:rPr>
              <w:t>C</w:t>
            </w:r>
            <w:r w:rsidR="00B76CED" w:rsidRPr="00AB70DE">
              <w:rPr>
                <w:rFonts w:ascii="Times New Roman" w:eastAsia="Batang" w:hAnsi="Times New Roman" w:cs="Times New Roman"/>
                <w:b/>
                <w:bCs/>
                <w:sz w:val="24"/>
                <w:szCs w:val="24"/>
                <w:lang w:val="ro-RO" w:eastAsia="ja-JP"/>
              </w:rPr>
              <w:t>erințe</w:t>
            </w:r>
            <w:r w:rsidR="00DE5790" w:rsidRPr="00AB70DE">
              <w:rPr>
                <w:rFonts w:ascii="Times New Roman" w:eastAsia="Batang" w:hAnsi="Times New Roman" w:cs="Times New Roman"/>
                <w:b/>
                <w:bCs/>
                <w:sz w:val="24"/>
                <w:szCs w:val="24"/>
                <w:lang w:val="ro-RO" w:eastAsia="ja-JP"/>
              </w:rPr>
              <w:t xml:space="preserve"> privind informațiile despre produs.</w:t>
            </w:r>
          </w:p>
          <w:p w14:paraId="6607D67B" w14:textId="70D9D623" w:rsidR="00AB70DE" w:rsidRPr="00AB70DE" w:rsidRDefault="00AB70DE" w:rsidP="00AB70DE">
            <w:pPr>
              <w:spacing w:before="120" w:after="0"/>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De l</w:t>
            </w:r>
            <w:r w:rsidRPr="00AB70DE">
              <w:rPr>
                <w:rFonts w:ascii="Times New Roman" w:eastAsia="Calibri" w:hAnsi="Times New Roman" w:cs="Times New Roman"/>
                <w:sz w:val="24"/>
                <w:szCs w:val="24"/>
                <w:lang w:val="ro-RO"/>
              </w:rPr>
              <w:t>a data intrării în vigoare a prezentului Regulament</w:t>
            </w:r>
            <w:r w:rsidRPr="00AB70DE">
              <w:rPr>
                <w:rFonts w:ascii="Calibri" w:eastAsia="Calibri" w:hAnsi="Calibri" w:cs="Times New Roman"/>
                <w:sz w:val="24"/>
                <w:szCs w:val="24"/>
                <w:lang w:val="ro-RO"/>
              </w:rPr>
              <w:t xml:space="preserve"> </w:t>
            </w:r>
            <w:r w:rsidRPr="00AB70DE">
              <w:rPr>
                <w:rFonts w:ascii="Times New Roman" w:eastAsia="Calibri" w:hAnsi="Times New Roman" w:cs="Times New Roman"/>
                <w:sz w:val="24"/>
                <w:szCs w:val="24"/>
                <w:lang w:val="ro-RO"/>
              </w:rPr>
              <w:t xml:space="preserve">se furnizează următoarele </w:t>
            </w:r>
            <w:proofErr w:type="spellStart"/>
            <w:r w:rsidRPr="00AB70DE">
              <w:rPr>
                <w:rFonts w:ascii="Times New Roman" w:eastAsia="Calibri" w:hAnsi="Times New Roman" w:cs="Times New Roman"/>
                <w:sz w:val="24"/>
                <w:szCs w:val="24"/>
                <w:lang w:val="ro-RO"/>
              </w:rPr>
              <w:t>informaţii</w:t>
            </w:r>
            <w:proofErr w:type="spellEnd"/>
            <w:r w:rsidRPr="00AB70DE">
              <w:rPr>
                <w:rFonts w:ascii="Times New Roman" w:eastAsia="Calibri" w:hAnsi="Times New Roman" w:cs="Times New Roman"/>
                <w:sz w:val="24"/>
                <w:szCs w:val="24"/>
                <w:lang w:val="ro-RO"/>
              </w:rPr>
              <w:t xml:space="preserve"> despre produs referitoare la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w:t>
            </w:r>
          </w:p>
          <w:p w14:paraId="55BC1655" w14:textId="77777777" w:rsidR="00AB70DE" w:rsidRPr="00AB70DE" w:rsidRDefault="00AB70DE" w:rsidP="00AB70DE">
            <w:pPr>
              <w:numPr>
                <w:ilvl w:val="0"/>
                <w:numId w:val="30"/>
              </w:numPr>
              <w:spacing w:before="120" w:after="0"/>
              <w:ind w:left="0"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manualele cu </w:t>
            </w:r>
            <w:proofErr w:type="spellStart"/>
            <w:r w:rsidRPr="00AB70DE">
              <w:rPr>
                <w:rFonts w:ascii="Times New Roman" w:eastAsia="Calibri" w:hAnsi="Times New Roman" w:cs="Times New Roman"/>
                <w:sz w:val="24"/>
                <w:szCs w:val="24"/>
                <w:lang w:val="ro-RO"/>
              </w:rPr>
              <w:t>instrucţiuni</w:t>
            </w:r>
            <w:proofErr w:type="spellEnd"/>
            <w:r w:rsidRPr="00AB70DE">
              <w:rPr>
                <w:rFonts w:ascii="Times New Roman" w:eastAsia="Calibri" w:hAnsi="Times New Roman" w:cs="Times New Roman"/>
                <w:sz w:val="24"/>
                <w:szCs w:val="24"/>
                <w:lang w:val="ro-RO"/>
              </w:rPr>
              <w:t xml:space="preserve"> pentru instalatori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utilizatorii finali, precum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site-urile web cu acces liber ale producătorilor, ale </w:t>
            </w:r>
            <w:proofErr w:type="spellStart"/>
            <w:r w:rsidRPr="00AB70DE">
              <w:rPr>
                <w:rFonts w:ascii="Times New Roman" w:eastAsia="Calibri" w:hAnsi="Times New Roman" w:cs="Times New Roman"/>
                <w:sz w:val="24"/>
                <w:szCs w:val="24"/>
                <w:lang w:val="ro-RO"/>
              </w:rPr>
              <w:t>reprezentanţilor</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autorizaţi</w:t>
            </w:r>
            <w:proofErr w:type="spellEnd"/>
            <w:r w:rsidRPr="00AB70DE">
              <w:rPr>
                <w:rFonts w:ascii="Times New Roman" w:eastAsia="Calibri" w:hAnsi="Times New Roman" w:cs="Times New Roman"/>
                <w:sz w:val="24"/>
                <w:szCs w:val="24"/>
                <w:lang w:val="ro-RO"/>
              </w:rPr>
              <w:t xml:space="preserve"> ai acestora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ale importatorilor trebuie să </w:t>
            </w:r>
            <w:proofErr w:type="spellStart"/>
            <w:r w:rsidRPr="00AB70DE">
              <w:rPr>
                <w:rFonts w:ascii="Times New Roman" w:eastAsia="Calibri" w:hAnsi="Times New Roman" w:cs="Times New Roman"/>
                <w:sz w:val="24"/>
                <w:szCs w:val="24"/>
                <w:lang w:val="ro-RO"/>
              </w:rPr>
              <w:t>conţină</w:t>
            </w:r>
            <w:proofErr w:type="spellEnd"/>
            <w:r w:rsidRPr="00AB70DE">
              <w:rPr>
                <w:rFonts w:ascii="Times New Roman" w:eastAsia="Calibri" w:hAnsi="Times New Roman" w:cs="Times New Roman"/>
                <w:sz w:val="24"/>
                <w:szCs w:val="24"/>
                <w:lang w:val="ro-RO"/>
              </w:rPr>
              <w:t xml:space="preserve"> elementele următoare:</w:t>
            </w:r>
          </w:p>
          <w:p w14:paraId="2BB19911"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1)</w:t>
            </w:r>
            <w:r w:rsidRPr="00AB70DE">
              <w:rPr>
                <w:rFonts w:ascii="Times New Roman" w:eastAsia="Calibri" w:hAnsi="Times New Roman" w:cs="Times New Roman"/>
                <w:sz w:val="24"/>
                <w:szCs w:val="24"/>
                <w:lang w:val="ro-RO"/>
              </w:rPr>
              <w:tab/>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cazan pentru încălzirea incintelor,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pentru încălzire cu cazan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parametrii tehnici </w:t>
            </w:r>
            <w:proofErr w:type="spellStart"/>
            <w:r w:rsidRPr="00AB70DE">
              <w:rPr>
                <w:rFonts w:ascii="Times New Roman" w:eastAsia="Calibri" w:hAnsi="Times New Roman" w:cs="Times New Roman"/>
                <w:sz w:val="24"/>
                <w:szCs w:val="24"/>
                <w:lang w:val="ro-RO"/>
              </w:rPr>
              <w:t>prevăzuţi</w:t>
            </w:r>
            <w:proofErr w:type="spellEnd"/>
            <w:r w:rsidRPr="00AB70DE">
              <w:rPr>
                <w:rFonts w:ascii="Times New Roman" w:eastAsia="Calibri" w:hAnsi="Times New Roman" w:cs="Times New Roman"/>
                <w:sz w:val="24"/>
                <w:szCs w:val="24"/>
                <w:lang w:val="ro-RO"/>
              </w:rPr>
              <w:t xml:space="preserve"> în tabelul 1, </w:t>
            </w:r>
            <w:proofErr w:type="spellStart"/>
            <w:r w:rsidRPr="00AB70DE">
              <w:rPr>
                <w:rFonts w:ascii="Times New Roman" w:eastAsia="Calibri" w:hAnsi="Times New Roman" w:cs="Times New Roman"/>
                <w:sz w:val="24"/>
                <w:szCs w:val="24"/>
                <w:lang w:val="ro-RO"/>
              </w:rPr>
              <w:t>măsuraţi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calculaţi</w:t>
            </w:r>
            <w:proofErr w:type="spellEnd"/>
            <w:r w:rsidRPr="00AB70DE">
              <w:rPr>
                <w:rFonts w:ascii="Times New Roman" w:eastAsia="Calibri" w:hAnsi="Times New Roman" w:cs="Times New Roman"/>
                <w:sz w:val="24"/>
                <w:szCs w:val="24"/>
                <w:lang w:val="ro-RO"/>
              </w:rPr>
              <w:t xml:space="preserve"> în conformitate cu anexa 3;</w:t>
            </w:r>
          </w:p>
          <w:p w14:paraId="5749E103"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2)</w:t>
            </w:r>
            <w:r w:rsidRPr="00AB70DE">
              <w:rPr>
                <w:rFonts w:ascii="Times New Roman" w:eastAsia="Calibri" w:hAnsi="Times New Roman" w:cs="Times New Roman"/>
                <w:sz w:val="24"/>
                <w:szCs w:val="24"/>
                <w:lang w:val="ro-RO"/>
              </w:rPr>
              <w:tab/>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parametrii tehnici </w:t>
            </w:r>
            <w:proofErr w:type="spellStart"/>
            <w:r w:rsidRPr="00AB70DE">
              <w:rPr>
                <w:rFonts w:ascii="Times New Roman" w:eastAsia="Calibri" w:hAnsi="Times New Roman" w:cs="Times New Roman"/>
                <w:sz w:val="24"/>
                <w:szCs w:val="24"/>
                <w:lang w:val="ro-RO"/>
              </w:rPr>
              <w:t>prevăzuţi</w:t>
            </w:r>
            <w:proofErr w:type="spellEnd"/>
            <w:r w:rsidRPr="00AB70DE">
              <w:rPr>
                <w:rFonts w:ascii="Times New Roman" w:eastAsia="Calibri" w:hAnsi="Times New Roman" w:cs="Times New Roman"/>
                <w:sz w:val="24"/>
                <w:szCs w:val="24"/>
                <w:lang w:val="ro-RO"/>
              </w:rPr>
              <w:t xml:space="preserve"> în tabelul 2, </w:t>
            </w:r>
            <w:proofErr w:type="spellStart"/>
            <w:r w:rsidRPr="00AB70DE">
              <w:rPr>
                <w:rFonts w:ascii="Times New Roman" w:eastAsia="Calibri" w:hAnsi="Times New Roman" w:cs="Times New Roman"/>
                <w:sz w:val="24"/>
                <w:szCs w:val="24"/>
                <w:lang w:val="ro-RO"/>
              </w:rPr>
              <w:t>măsuraţi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calculaţi</w:t>
            </w:r>
            <w:proofErr w:type="spellEnd"/>
            <w:r w:rsidRPr="00AB70DE">
              <w:rPr>
                <w:rFonts w:ascii="Times New Roman" w:eastAsia="Calibri" w:hAnsi="Times New Roman" w:cs="Times New Roman"/>
                <w:sz w:val="24"/>
                <w:szCs w:val="24"/>
                <w:lang w:val="ro-RO"/>
              </w:rPr>
              <w:t xml:space="preserve"> în conformitate cu anexa 3;</w:t>
            </w:r>
          </w:p>
          <w:p w14:paraId="484A2700"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3)</w:t>
            </w:r>
            <w:r w:rsidRPr="00AB70DE">
              <w:rPr>
                <w:rFonts w:ascii="Times New Roman" w:eastAsia="Calibri" w:hAnsi="Times New Roman" w:cs="Times New Roman"/>
                <w:sz w:val="24"/>
                <w:szCs w:val="24"/>
                <w:lang w:val="ro-RO"/>
              </w:rPr>
              <w:tab/>
              <w:t xml:space="preserve">eventualele </w:t>
            </w:r>
            <w:proofErr w:type="spellStart"/>
            <w:r w:rsidRPr="00AB70DE">
              <w:rPr>
                <w:rFonts w:ascii="Times New Roman" w:eastAsia="Calibri" w:hAnsi="Times New Roman" w:cs="Times New Roman"/>
                <w:sz w:val="24"/>
                <w:szCs w:val="24"/>
                <w:lang w:val="ro-RO"/>
              </w:rPr>
              <w:t>precauţii</w:t>
            </w:r>
            <w:proofErr w:type="spellEnd"/>
            <w:r w:rsidRPr="00AB70DE">
              <w:rPr>
                <w:rFonts w:ascii="Times New Roman" w:eastAsia="Calibri" w:hAnsi="Times New Roman" w:cs="Times New Roman"/>
                <w:sz w:val="24"/>
                <w:szCs w:val="24"/>
                <w:lang w:val="ro-RO"/>
              </w:rPr>
              <w:t xml:space="preserve"> speciale care trebuie luate în momentul asamblării, al instalării sau al </w:t>
            </w:r>
            <w:proofErr w:type="spellStart"/>
            <w:r w:rsidRPr="00AB70DE">
              <w:rPr>
                <w:rFonts w:ascii="Times New Roman" w:eastAsia="Calibri" w:hAnsi="Times New Roman" w:cs="Times New Roman"/>
                <w:sz w:val="24"/>
                <w:szCs w:val="24"/>
                <w:lang w:val="ro-RO"/>
              </w:rPr>
              <w:t>întreţinerii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instalaţiei</w:t>
            </w:r>
            <w:proofErr w:type="spellEnd"/>
            <w:r w:rsidRPr="00AB70DE">
              <w:rPr>
                <w:rFonts w:ascii="Times New Roman" w:eastAsia="Calibri" w:hAnsi="Times New Roman" w:cs="Times New Roman"/>
                <w:sz w:val="24"/>
                <w:szCs w:val="24"/>
                <w:lang w:val="ro-RO"/>
              </w:rPr>
              <w:t xml:space="preserve"> de încălzire;</w:t>
            </w:r>
          </w:p>
          <w:p w14:paraId="5FC70EF4"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4)</w:t>
            </w:r>
            <w:r w:rsidRPr="00AB70DE">
              <w:rPr>
                <w:rFonts w:ascii="Times New Roman" w:eastAsia="Calibri" w:hAnsi="Times New Roman" w:cs="Times New Roman"/>
                <w:sz w:val="24"/>
                <w:szCs w:val="24"/>
                <w:lang w:val="ro-RO"/>
              </w:rPr>
              <w:tab/>
              <w:t xml:space="preserve">pentru cazanele de tip B1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cazanele combinate de tip B1, caracteristicile acestora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următorul text standard: „Acest cazan cu tiraj natural este destinat să fie conectat exclusiv la o </w:t>
            </w:r>
            <w:proofErr w:type="spellStart"/>
            <w:r w:rsidRPr="00AB70DE">
              <w:rPr>
                <w:rFonts w:ascii="Times New Roman" w:eastAsia="Calibri" w:hAnsi="Times New Roman" w:cs="Times New Roman"/>
                <w:sz w:val="24"/>
                <w:szCs w:val="24"/>
                <w:lang w:val="ro-RO"/>
              </w:rPr>
              <w:t>ţeavă</w:t>
            </w:r>
            <w:proofErr w:type="spellEnd"/>
            <w:r w:rsidRPr="00AB70DE">
              <w:rPr>
                <w:rFonts w:ascii="Times New Roman" w:eastAsia="Calibri" w:hAnsi="Times New Roman" w:cs="Times New Roman"/>
                <w:sz w:val="24"/>
                <w:szCs w:val="24"/>
                <w:lang w:val="ro-RO"/>
              </w:rPr>
              <w:t xml:space="preserve"> de fum care este comună mai multor </w:t>
            </w:r>
            <w:proofErr w:type="spellStart"/>
            <w:r w:rsidRPr="00AB70DE">
              <w:rPr>
                <w:rFonts w:ascii="Times New Roman" w:eastAsia="Calibri" w:hAnsi="Times New Roman" w:cs="Times New Roman"/>
                <w:sz w:val="24"/>
                <w:szCs w:val="24"/>
                <w:lang w:val="ro-RO"/>
              </w:rPr>
              <w:t>locuinţe</w:t>
            </w:r>
            <w:proofErr w:type="spellEnd"/>
            <w:r w:rsidRPr="00AB70DE">
              <w:rPr>
                <w:rFonts w:ascii="Times New Roman" w:eastAsia="Calibri" w:hAnsi="Times New Roman" w:cs="Times New Roman"/>
                <w:sz w:val="24"/>
                <w:szCs w:val="24"/>
                <w:lang w:val="ro-RO"/>
              </w:rPr>
              <w:t xml:space="preserve"> din clădirile existente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prin care reziduurile de ardere </w:t>
            </w:r>
            <w:r w:rsidRPr="00AB70DE">
              <w:rPr>
                <w:rFonts w:ascii="Times New Roman" w:eastAsia="Calibri" w:hAnsi="Times New Roman" w:cs="Times New Roman"/>
                <w:sz w:val="24"/>
                <w:szCs w:val="24"/>
                <w:lang w:val="ro-RO"/>
              </w:rPr>
              <w:lastRenderedPageBreak/>
              <w:t xml:space="preserve">sunt evacuate către exteriorul încăperii în care se află cazanul. Acesta trage aerul de ardere direct din încăpere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are încorporată o clapetă de tiraj. Din cauza </w:t>
            </w:r>
            <w:proofErr w:type="spellStart"/>
            <w:r w:rsidRPr="00AB70DE">
              <w:rPr>
                <w:rFonts w:ascii="Times New Roman" w:eastAsia="Calibri" w:hAnsi="Times New Roman" w:cs="Times New Roman"/>
                <w:sz w:val="24"/>
                <w:szCs w:val="24"/>
                <w:lang w:val="ro-RO"/>
              </w:rPr>
              <w:t>eficienţei</w:t>
            </w:r>
            <w:proofErr w:type="spellEnd"/>
            <w:r w:rsidRPr="00AB70DE">
              <w:rPr>
                <w:rFonts w:ascii="Times New Roman" w:eastAsia="Calibri" w:hAnsi="Times New Roman" w:cs="Times New Roman"/>
                <w:sz w:val="24"/>
                <w:szCs w:val="24"/>
                <w:lang w:val="ro-RO"/>
              </w:rPr>
              <w:t xml:space="preserve"> mai reduse, orice altă utilizare a acestui cazan trebuie evitată, căci ar determina un consum de energie mai ridicat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costuri </w:t>
            </w:r>
            <w:proofErr w:type="spellStart"/>
            <w:r w:rsidRPr="00AB70DE">
              <w:rPr>
                <w:rFonts w:ascii="Times New Roman" w:eastAsia="Calibri" w:hAnsi="Times New Roman" w:cs="Times New Roman"/>
                <w:sz w:val="24"/>
                <w:szCs w:val="24"/>
                <w:lang w:val="ro-RO"/>
              </w:rPr>
              <w:t>operaţionale</w:t>
            </w:r>
            <w:proofErr w:type="spellEnd"/>
            <w:r w:rsidRPr="00AB70DE">
              <w:rPr>
                <w:rFonts w:ascii="Times New Roman" w:eastAsia="Calibri" w:hAnsi="Times New Roman" w:cs="Times New Roman"/>
                <w:sz w:val="24"/>
                <w:szCs w:val="24"/>
                <w:lang w:val="ro-RO"/>
              </w:rPr>
              <w:t xml:space="preserve"> mai mari.”;</w:t>
            </w:r>
          </w:p>
          <w:p w14:paraId="72958C51"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5)</w:t>
            </w:r>
            <w:r w:rsidRPr="00AB70DE">
              <w:rPr>
                <w:rFonts w:ascii="Times New Roman" w:eastAsia="Calibri" w:hAnsi="Times New Roman" w:cs="Times New Roman"/>
                <w:sz w:val="24"/>
                <w:szCs w:val="24"/>
                <w:lang w:val="ro-RO"/>
              </w:rPr>
              <w:tab/>
              <w:t xml:space="preserve">pentru generatoarele de căldură proiectate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pentru carcasele de </w:t>
            </w:r>
            <w:proofErr w:type="spellStart"/>
            <w:r w:rsidRPr="00AB70DE">
              <w:rPr>
                <w:rFonts w:ascii="Times New Roman" w:eastAsia="Calibri" w:hAnsi="Times New Roman" w:cs="Times New Roman"/>
                <w:sz w:val="24"/>
                <w:szCs w:val="24"/>
                <w:lang w:val="ro-RO"/>
              </w:rPr>
              <w:t>instalaţie</w:t>
            </w:r>
            <w:proofErr w:type="spellEnd"/>
            <w:r w:rsidRPr="00AB70DE">
              <w:rPr>
                <w:rFonts w:ascii="Times New Roman" w:eastAsia="Calibri" w:hAnsi="Times New Roman" w:cs="Times New Roman"/>
                <w:sz w:val="24"/>
                <w:szCs w:val="24"/>
                <w:lang w:val="ro-RO"/>
              </w:rPr>
              <w:t xml:space="preserve"> de încălzire care urmează să fie echipate cu astfel de generatoare de căldură, caracteristicile acestora, </w:t>
            </w:r>
            <w:proofErr w:type="spellStart"/>
            <w:r w:rsidRPr="00AB70DE">
              <w:rPr>
                <w:rFonts w:ascii="Times New Roman" w:eastAsia="Calibri" w:hAnsi="Times New Roman" w:cs="Times New Roman"/>
                <w:sz w:val="24"/>
                <w:szCs w:val="24"/>
                <w:lang w:val="ro-RO"/>
              </w:rPr>
              <w:t>cerinţele</w:t>
            </w:r>
            <w:proofErr w:type="spellEnd"/>
            <w:r w:rsidRPr="00AB70DE">
              <w:rPr>
                <w:rFonts w:ascii="Times New Roman" w:eastAsia="Calibri" w:hAnsi="Times New Roman" w:cs="Times New Roman"/>
                <w:sz w:val="24"/>
                <w:szCs w:val="24"/>
                <w:lang w:val="ro-RO"/>
              </w:rPr>
              <w:t xml:space="preserve"> privind asamblarea, pentru a se asigura </w:t>
            </w:r>
            <w:proofErr w:type="spellStart"/>
            <w:r w:rsidRPr="00AB70DE">
              <w:rPr>
                <w:rFonts w:ascii="Times New Roman" w:eastAsia="Calibri" w:hAnsi="Times New Roman" w:cs="Times New Roman"/>
                <w:sz w:val="24"/>
                <w:szCs w:val="24"/>
                <w:lang w:val="ro-RO"/>
              </w:rPr>
              <w:t>confor-mitatea</w:t>
            </w:r>
            <w:proofErr w:type="spellEnd"/>
            <w:r w:rsidRPr="00AB70DE">
              <w:rPr>
                <w:rFonts w:ascii="Times New Roman" w:eastAsia="Calibri" w:hAnsi="Times New Roman" w:cs="Times New Roman"/>
                <w:sz w:val="24"/>
                <w:szCs w:val="24"/>
                <w:lang w:val="ro-RO"/>
              </w:rPr>
              <w:t xml:space="preserve"> cu </w:t>
            </w:r>
            <w:proofErr w:type="spellStart"/>
            <w:r w:rsidRPr="00AB70DE">
              <w:rPr>
                <w:rFonts w:ascii="Times New Roman" w:eastAsia="Calibri" w:hAnsi="Times New Roman" w:cs="Times New Roman"/>
                <w:sz w:val="24"/>
                <w:szCs w:val="24"/>
                <w:lang w:val="ro-RO"/>
              </w:rPr>
              <w:t>cerinţele</w:t>
            </w:r>
            <w:proofErr w:type="spellEnd"/>
            <w:r w:rsidRPr="00AB70DE">
              <w:rPr>
                <w:rFonts w:ascii="Times New Roman" w:eastAsia="Calibri" w:hAnsi="Times New Roman" w:cs="Times New Roman"/>
                <w:sz w:val="24"/>
                <w:szCs w:val="24"/>
                <w:lang w:val="ro-RO"/>
              </w:rPr>
              <w:t xml:space="preserve"> în materie de proiectare ecologică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dacă este cazul, lista </w:t>
            </w:r>
            <w:proofErr w:type="spellStart"/>
            <w:r w:rsidRPr="00AB70DE">
              <w:rPr>
                <w:rFonts w:ascii="Times New Roman" w:eastAsia="Calibri" w:hAnsi="Times New Roman" w:cs="Times New Roman"/>
                <w:sz w:val="24"/>
                <w:szCs w:val="24"/>
                <w:lang w:val="ro-RO"/>
              </w:rPr>
              <w:t>combinaţiilor</w:t>
            </w:r>
            <w:proofErr w:type="spellEnd"/>
            <w:r w:rsidRPr="00AB70DE">
              <w:rPr>
                <w:rFonts w:ascii="Times New Roman" w:eastAsia="Calibri" w:hAnsi="Times New Roman" w:cs="Times New Roman"/>
                <w:sz w:val="24"/>
                <w:szCs w:val="24"/>
                <w:lang w:val="ro-RO"/>
              </w:rPr>
              <w:t xml:space="preserve"> recomandate de producător;</w:t>
            </w:r>
          </w:p>
          <w:p w14:paraId="6E34EBEB"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6)</w:t>
            </w:r>
            <w:r w:rsidRPr="00AB70DE">
              <w:rPr>
                <w:rFonts w:ascii="Times New Roman" w:eastAsia="Calibri" w:hAnsi="Times New Roman" w:cs="Times New Roman"/>
                <w:sz w:val="24"/>
                <w:szCs w:val="24"/>
                <w:lang w:val="ro-RO"/>
              </w:rPr>
              <w:tab/>
            </w:r>
            <w:proofErr w:type="spellStart"/>
            <w:r w:rsidRPr="00AB70DE">
              <w:rPr>
                <w:rFonts w:ascii="Times New Roman" w:eastAsia="Calibri" w:hAnsi="Times New Roman" w:cs="Times New Roman"/>
                <w:sz w:val="24"/>
                <w:szCs w:val="24"/>
                <w:lang w:val="ro-RO"/>
              </w:rPr>
              <w:t>informaţii</w:t>
            </w:r>
            <w:proofErr w:type="spellEnd"/>
            <w:r w:rsidRPr="00AB70DE">
              <w:rPr>
                <w:rFonts w:ascii="Times New Roman" w:eastAsia="Calibri" w:hAnsi="Times New Roman" w:cs="Times New Roman"/>
                <w:sz w:val="24"/>
                <w:szCs w:val="24"/>
                <w:lang w:val="ro-RO"/>
              </w:rPr>
              <w:t xml:space="preserve"> relevante privind dezasamblarea, reciclarea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/sau eliminarea la </w:t>
            </w:r>
            <w:proofErr w:type="spellStart"/>
            <w:r w:rsidRPr="00AB70DE">
              <w:rPr>
                <w:rFonts w:ascii="Times New Roman" w:eastAsia="Calibri" w:hAnsi="Times New Roman" w:cs="Times New Roman"/>
                <w:sz w:val="24"/>
                <w:szCs w:val="24"/>
                <w:lang w:val="ro-RO"/>
              </w:rPr>
              <w:t>sfârşitul</w:t>
            </w:r>
            <w:proofErr w:type="spellEnd"/>
            <w:r w:rsidRPr="00AB70DE">
              <w:rPr>
                <w:rFonts w:ascii="Times New Roman" w:eastAsia="Calibri" w:hAnsi="Times New Roman" w:cs="Times New Roman"/>
                <w:sz w:val="24"/>
                <w:szCs w:val="24"/>
                <w:lang w:val="ro-RO"/>
              </w:rPr>
              <w:t xml:space="preserve"> ciclului de </w:t>
            </w:r>
            <w:proofErr w:type="spellStart"/>
            <w:r w:rsidRPr="00AB70DE">
              <w:rPr>
                <w:rFonts w:ascii="Times New Roman" w:eastAsia="Calibri" w:hAnsi="Times New Roman" w:cs="Times New Roman"/>
                <w:sz w:val="24"/>
                <w:szCs w:val="24"/>
                <w:lang w:val="ro-RO"/>
              </w:rPr>
              <w:t>viaţă</w:t>
            </w:r>
            <w:proofErr w:type="spellEnd"/>
            <w:r w:rsidRPr="00AB70DE">
              <w:rPr>
                <w:rFonts w:ascii="Times New Roman" w:eastAsia="Calibri" w:hAnsi="Times New Roman" w:cs="Times New Roman"/>
                <w:sz w:val="24"/>
                <w:szCs w:val="24"/>
                <w:lang w:val="ro-RO"/>
              </w:rPr>
              <w:t>;</w:t>
            </w:r>
          </w:p>
          <w:p w14:paraId="7F4B972B"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b)</w:t>
            </w:r>
            <w:r w:rsidRPr="00AB70DE">
              <w:rPr>
                <w:rFonts w:ascii="Times New Roman" w:eastAsia="Calibri" w:hAnsi="Times New Roman" w:cs="Times New Roman"/>
                <w:sz w:val="24"/>
                <w:szCs w:val="24"/>
                <w:lang w:val="ro-RO"/>
              </w:rPr>
              <w:tab/>
              <w:t xml:space="preserve">în scopul evaluării </w:t>
            </w:r>
            <w:proofErr w:type="spellStart"/>
            <w:r w:rsidRPr="00AB70DE">
              <w:rPr>
                <w:rFonts w:ascii="Times New Roman" w:eastAsia="Calibri" w:hAnsi="Times New Roman" w:cs="Times New Roman"/>
                <w:sz w:val="24"/>
                <w:szCs w:val="24"/>
                <w:lang w:val="ro-RO"/>
              </w:rPr>
              <w:t>conformităţii</w:t>
            </w:r>
            <w:proofErr w:type="spellEnd"/>
            <w:r w:rsidRPr="00AB70DE">
              <w:rPr>
                <w:rFonts w:ascii="Times New Roman" w:eastAsia="Calibri" w:hAnsi="Times New Roman" w:cs="Times New Roman"/>
                <w:sz w:val="24"/>
                <w:szCs w:val="24"/>
                <w:lang w:val="ro-RO"/>
              </w:rPr>
              <w:t xml:space="preserve"> în temeiul capitolului IV al Regulamentului, </w:t>
            </w:r>
            <w:proofErr w:type="spellStart"/>
            <w:r w:rsidRPr="00AB70DE">
              <w:rPr>
                <w:rFonts w:ascii="Times New Roman" w:eastAsia="Calibri" w:hAnsi="Times New Roman" w:cs="Times New Roman"/>
                <w:sz w:val="24"/>
                <w:szCs w:val="24"/>
                <w:lang w:val="ro-RO"/>
              </w:rPr>
              <w:t>documentaţia</w:t>
            </w:r>
            <w:proofErr w:type="spellEnd"/>
            <w:r w:rsidRPr="00AB70DE">
              <w:rPr>
                <w:rFonts w:ascii="Times New Roman" w:eastAsia="Calibri" w:hAnsi="Times New Roman" w:cs="Times New Roman"/>
                <w:sz w:val="24"/>
                <w:szCs w:val="24"/>
                <w:lang w:val="ro-RO"/>
              </w:rPr>
              <w:t xml:space="preserve"> tehnică trebuie să </w:t>
            </w:r>
            <w:proofErr w:type="spellStart"/>
            <w:r w:rsidRPr="00AB70DE">
              <w:rPr>
                <w:rFonts w:ascii="Times New Roman" w:eastAsia="Calibri" w:hAnsi="Times New Roman" w:cs="Times New Roman"/>
                <w:sz w:val="24"/>
                <w:szCs w:val="24"/>
                <w:lang w:val="ro-RO"/>
              </w:rPr>
              <w:t>conţină</w:t>
            </w:r>
            <w:proofErr w:type="spellEnd"/>
            <w:r w:rsidRPr="00AB70DE">
              <w:rPr>
                <w:rFonts w:ascii="Times New Roman" w:eastAsia="Calibri" w:hAnsi="Times New Roman" w:cs="Times New Roman"/>
                <w:sz w:val="24"/>
                <w:szCs w:val="24"/>
                <w:lang w:val="ro-RO"/>
              </w:rPr>
              <w:t xml:space="preserve"> următoarele elemente:</w:t>
            </w:r>
          </w:p>
          <w:p w14:paraId="11F3561E" w14:textId="77777777" w:rsidR="00AB70DE" w:rsidRPr="00AB70DE" w:rsidRDefault="00AB70DE" w:rsidP="00AB70DE">
            <w:pPr>
              <w:spacing w:before="120" w:after="0"/>
              <w:ind w:firstLine="284"/>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1)</w:t>
            </w:r>
            <w:r w:rsidRPr="00AB70DE">
              <w:rPr>
                <w:rFonts w:ascii="Times New Roman" w:eastAsia="Calibri" w:hAnsi="Times New Roman" w:cs="Times New Roman"/>
                <w:sz w:val="24"/>
                <w:szCs w:val="24"/>
                <w:lang w:val="ro-RO"/>
              </w:rPr>
              <w:tab/>
              <w:t>elementele specificate la litera a);</w:t>
            </w:r>
          </w:p>
          <w:p w14:paraId="3F3B7C5D"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2)</w:t>
            </w:r>
            <w:r w:rsidRPr="00AB70DE">
              <w:rPr>
                <w:rFonts w:ascii="Times New Roman" w:eastAsia="Calibri" w:hAnsi="Times New Roman" w:cs="Times New Roman"/>
                <w:sz w:val="24"/>
                <w:szCs w:val="24"/>
                <w:lang w:val="ro-RO"/>
              </w:rPr>
              <w:tab/>
              <w:t xml:space="preserve">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pompă de căldură pentru încălzirea incintelor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de încălzire cu pompă de căldură cu </w:t>
            </w:r>
            <w:proofErr w:type="spellStart"/>
            <w:r w:rsidRPr="00AB70DE">
              <w:rPr>
                <w:rFonts w:ascii="Times New Roman" w:eastAsia="Calibri" w:hAnsi="Times New Roman" w:cs="Times New Roman"/>
                <w:sz w:val="24"/>
                <w:szCs w:val="24"/>
                <w:lang w:val="ro-RO"/>
              </w:rPr>
              <w:t>funcţie</w:t>
            </w:r>
            <w:proofErr w:type="spellEnd"/>
            <w:r w:rsidRPr="00AB70DE">
              <w:rPr>
                <w:rFonts w:ascii="Times New Roman" w:eastAsia="Calibri" w:hAnsi="Times New Roman" w:cs="Times New Roman"/>
                <w:sz w:val="24"/>
                <w:szCs w:val="24"/>
                <w:lang w:val="ro-RO"/>
              </w:rPr>
              <w:t xml:space="preserve"> dublă, dacă </w:t>
            </w:r>
            <w:proofErr w:type="spellStart"/>
            <w:r w:rsidRPr="00AB70DE">
              <w:rPr>
                <w:rFonts w:ascii="Times New Roman" w:eastAsia="Calibri" w:hAnsi="Times New Roman" w:cs="Times New Roman"/>
                <w:sz w:val="24"/>
                <w:szCs w:val="24"/>
                <w:lang w:val="ro-RO"/>
              </w:rPr>
              <w:t>informaţiile</w:t>
            </w:r>
            <w:proofErr w:type="spellEnd"/>
            <w:r w:rsidRPr="00AB70DE">
              <w:rPr>
                <w:rFonts w:ascii="Times New Roman" w:eastAsia="Calibri" w:hAnsi="Times New Roman" w:cs="Times New Roman"/>
                <w:sz w:val="24"/>
                <w:szCs w:val="24"/>
                <w:lang w:val="ro-RO"/>
              </w:rPr>
              <w:t xml:space="preserve"> privind un anumit model care include o </w:t>
            </w:r>
            <w:proofErr w:type="spellStart"/>
            <w:r w:rsidRPr="00AB70DE">
              <w:rPr>
                <w:rFonts w:ascii="Times New Roman" w:eastAsia="Calibri" w:hAnsi="Times New Roman" w:cs="Times New Roman"/>
                <w:sz w:val="24"/>
                <w:szCs w:val="24"/>
                <w:lang w:val="ro-RO"/>
              </w:rPr>
              <w:t>combinaţie</w:t>
            </w:r>
            <w:proofErr w:type="spellEnd"/>
            <w:r w:rsidRPr="00AB70DE">
              <w:rPr>
                <w:rFonts w:ascii="Times New Roman" w:eastAsia="Calibri" w:hAnsi="Times New Roman" w:cs="Times New Roman"/>
                <w:sz w:val="24"/>
                <w:szCs w:val="24"/>
                <w:lang w:val="ro-RO"/>
              </w:rPr>
              <w:t xml:space="preserve"> de </w:t>
            </w:r>
            <w:proofErr w:type="spellStart"/>
            <w:r w:rsidRPr="00AB70DE">
              <w:rPr>
                <w:rFonts w:ascii="Times New Roman" w:eastAsia="Calibri" w:hAnsi="Times New Roman" w:cs="Times New Roman"/>
                <w:sz w:val="24"/>
                <w:szCs w:val="24"/>
                <w:lang w:val="ro-RO"/>
              </w:rPr>
              <w:t>unităţi</w:t>
            </w:r>
            <w:proofErr w:type="spellEnd"/>
            <w:r w:rsidRPr="00AB70DE">
              <w:rPr>
                <w:rFonts w:ascii="Times New Roman" w:eastAsia="Calibri" w:hAnsi="Times New Roman" w:cs="Times New Roman"/>
                <w:sz w:val="24"/>
                <w:szCs w:val="24"/>
                <w:lang w:val="ro-RO"/>
              </w:rPr>
              <w:t xml:space="preserve"> interioare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exterioare au fost </w:t>
            </w:r>
            <w:proofErr w:type="spellStart"/>
            <w:r w:rsidRPr="00AB70DE">
              <w:rPr>
                <w:rFonts w:ascii="Times New Roman" w:eastAsia="Calibri" w:hAnsi="Times New Roman" w:cs="Times New Roman"/>
                <w:sz w:val="24"/>
                <w:szCs w:val="24"/>
                <w:lang w:val="ro-RO"/>
              </w:rPr>
              <w:t>obţinute</w:t>
            </w:r>
            <w:proofErr w:type="spellEnd"/>
            <w:r w:rsidRPr="00AB70DE">
              <w:rPr>
                <w:rFonts w:ascii="Times New Roman" w:eastAsia="Calibri" w:hAnsi="Times New Roman" w:cs="Times New Roman"/>
                <w:sz w:val="24"/>
                <w:szCs w:val="24"/>
                <w:lang w:val="ro-RO"/>
              </w:rPr>
              <w:t xml:space="preserve"> prin calcul pe baza caracteristicilor de proiectare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/sau prin extrapolare de la alte </w:t>
            </w:r>
            <w:proofErr w:type="spellStart"/>
            <w:r w:rsidRPr="00AB70DE">
              <w:rPr>
                <w:rFonts w:ascii="Times New Roman" w:eastAsia="Calibri" w:hAnsi="Times New Roman" w:cs="Times New Roman"/>
                <w:sz w:val="24"/>
                <w:szCs w:val="24"/>
                <w:lang w:val="ro-RO"/>
              </w:rPr>
              <w:t>combinaţii</w:t>
            </w:r>
            <w:proofErr w:type="spellEnd"/>
            <w:r w:rsidRPr="00AB70DE">
              <w:rPr>
                <w:rFonts w:ascii="Times New Roman" w:eastAsia="Calibri" w:hAnsi="Times New Roman" w:cs="Times New Roman"/>
                <w:sz w:val="24"/>
                <w:szCs w:val="24"/>
                <w:lang w:val="ro-RO"/>
              </w:rPr>
              <w:t xml:space="preserve">, detaliile referitoare la aceste calcule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/sau extrapolări, precum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ale eventualelor teste efectuate pentru verificarea preciziei calculelor, inclusiv detaliile privind modelul matematic utilizat pentru calcularea </w:t>
            </w:r>
            <w:proofErr w:type="spellStart"/>
            <w:r w:rsidRPr="00AB70DE">
              <w:rPr>
                <w:rFonts w:ascii="Times New Roman" w:eastAsia="Calibri" w:hAnsi="Times New Roman" w:cs="Times New Roman"/>
                <w:sz w:val="24"/>
                <w:szCs w:val="24"/>
                <w:lang w:val="ro-RO"/>
              </w:rPr>
              <w:t>performanţei</w:t>
            </w:r>
            <w:proofErr w:type="spellEnd"/>
            <w:r w:rsidRPr="00AB70DE">
              <w:rPr>
                <w:rFonts w:ascii="Times New Roman" w:eastAsia="Calibri" w:hAnsi="Times New Roman" w:cs="Times New Roman"/>
                <w:sz w:val="24"/>
                <w:szCs w:val="24"/>
                <w:lang w:val="ro-RO"/>
              </w:rPr>
              <w:t xml:space="preserve"> </w:t>
            </w:r>
            <w:proofErr w:type="spellStart"/>
            <w:r w:rsidRPr="00AB70DE">
              <w:rPr>
                <w:rFonts w:ascii="Times New Roman" w:eastAsia="Calibri" w:hAnsi="Times New Roman" w:cs="Times New Roman"/>
                <w:sz w:val="24"/>
                <w:szCs w:val="24"/>
                <w:lang w:val="ro-RO"/>
              </w:rPr>
              <w:t>combinaţiilor</w:t>
            </w:r>
            <w:proofErr w:type="spellEnd"/>
            <w:r w:rsidRPr="00AB70DE">
              <w:rPr>
                <w:rFonts w:ascii="Times New Roman" w:eastAsia="Calibri" w:hAnsi="Times New Roman" w:cs="Times New Roman"/>
                <w:sz w:val="24"/>
                <w:szCs w:val="24"/>
                <w:lang w:val="ro-RO"/>
              </w:rPr>
              <w:t xml:space="preserve"> respective </w:t>
            </w:r>
            <w:proofErr w:type="spellStart"/>
            <w:r w:rsidRPr="00AB70DE">
              <w:rPr>
                <w:rFonts w:ascii="Times New Roman" w:eastAsia="Calibri" w:hAnsi="Times New Roman" w:cs="Times New Roman"/>
                <w:sz w:val="24"/>
                <w:szCs w:val="24"/>
                <w:lang w:val="ro-RO"/>
              </w:rPr>
              <w:t>şi</w:t>
            </w:r>
            <w:proofErr w:type="spellEnd"/>
            <w:r w:rsidRPr="00AB70DE">
              <w:rPr>
                <w:rFonts w:ascii="Times New Roman" w:eastAsia="Calibri" w:hAnsi="Times New Roman" w:cs="Times New Roman"/>
                <w:sz w:val="24"/>
                <w:szCs w:val="24"/>
                <w:lang w:val="ro-RO"/>
              </w:rPr>
              <w:t xml:space="preserve"> măsurătorile efectuate pentru a verifica acest model;</w:t>
            </w:r>
          </w:p>
          <w:p w14:paraId="681ECFDA"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c)</w:t>
            </w:r>
            <w:r w:rsidRPr="00AB70DE">
              <w:rPr>
                <w:rFonts w:ascii="Times New Roman" w:eastAsia="Calibri" w:hAnsi="Times New Roman" w:cs="Times New Roman"/>
                <w:sz w:val="24"/>
                <w:szCs w:val="24"/>
                <w:lang w:val="ro-RO"/>
              </w:rPr>
              <w:tab/>
              <w:t xml:space="preserve">următoarele </w:t>
            </w:r>
            <w:proofErr w:type="spellStart"/>
            <w:r w:rsidRPr="00AB70DE">
              <w:rPr>
                <w:rFonts w:ascii="Times New Roman" w:eastAsia="Calibri" w:hAnsi="Times New Roman" w:cs="Times New Roman"/>
                <w:sz w:val="24"/>
                <w:szCs w:val="24"/>
                <w:lang w:val="ro-RO"/>
              </w:rPr>
              <w:t>informaţii</w:t>
            </w:r>
            <w:proofErr w:type="spellEnd"/>
            <w:r w:rsidRPr="00AB70DE">
              <w:rPr>
                <w:rFonts w:ascii="Times New Roman" w:eastAsia="Calibri" w:hAnsi="Times New Roman" w:cs="Times New Roman"/>
                <w:sz w:val="24"/>
                <w:szCs w:val="24"/>
                <w:lang w:val="ro-RO"/>
              </w:rPr>
              <w:t xml:space="preserve"> trebuie marcate în mod durabil pe </w:t>
            </w:r>
            <w:proofErr w:type="spellStart"/>
            <w:r w:rsidRPr="00AB70DE">
              <w:rPr>
                <w:rFonts w:ascii="Times New Roman" w:eastAsia="Calibri" w:hAnsi="Times New Roman" w:cs="Times New Roman"/>
                <w:sz w:val="24"/>
                <w:szCs w:val="24"/>
                <w:lang w:val="ro-RO"/>
              </w:rPr>
              <w:t>instalaţia</w:t>
            </w:r>
            <w:proofErr w:type="spellEnd"/>
            <w:r w:rsidRPr="00AB70DE">
              <w:rPr>
                <w:rFonts w:ascii="Times New Roman" w:eastAsia="Calibri" w:hAnsi="Times New Roman" w:cs="Times New Roman"/>
                <w:sz w:val="24"/>
                <w:szCs w:val="24"/>
                <w:lang w:val="ro-RO"/>
              </w:rPr>
              <w:t xml:space="preserve"> de încălzire:</w:t>
            </w:r>
          </w:p>
          <w:p w14:paraId="0118D6C2"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1) „cazan de tip B1” sau „cazan combinat de tip B1”;</w:t>
            </w:r>
          </w:p>
          <w:p w14:paraId="30F38DEB" w14:textId="77777777" w:rsidR="00AB70DE" w:rsidRPr="00AB70DE" w:rsidRDefault="00AB70DE" w:rsidP="00AB70DE">
            <w:pPr>
              <w:spacing w:before="120" w:after="0"/>
              <w:ind w:firstLine="284"/>
              <w:contextualSpacing/>
              <w:jc w:val="both"/>
              <w:rPr>
                <w:rFonts w:ascii="Times New Roman" w:eastAsia="Calibri" w:hAnsi="Times New Roman" w:cs="Times New Roman"/>
                <w:sz w:val="24"/>
                <w:szCs w:val="24"/>
                <w:lang w:val="ro-RO"/>
              </w:rPr>
            </w:pPr>
            <w:r w:rsidRPr="00AB70DE">
              <w:rPr>
                <w:rFonts w:ascii="Times New Roman" w:eastAsia="Calibri" w:hAnsi="Times New Roman" w:cs="Times New Roman"/>
                <w:sz w:val="24"/>
                <w:szCs w:val="24"/>
                <w:lang w:val="ro-RO"/>
              </w:rPr>
              <w:t xml:space="preserve">2) pentru </w:t>
            </w:r>
            <w:proofErr w:type="spellStart"/>
            <w:r w:rsidRPr="00AB70DE">
              <w:rPr>
                <w:rFonts w:ascii="Times New Roman" w:eastAsia="Calibri" w:hAnsi="Times New Roman" w:cs="Times New Roman"/>
                <w:sz w:val="24"/>
                <w:szCs w:val="24"/>
                <w:lang w:val="ro-RO"/>
              </w:rPr>
              <w:t>instalaţiile</w:t>
            </w:r>
            <w:proofErr w:type="spellEnd"/>
            <w:r w:rsidRPr="00AB70DE">
              <w:rPr>
                <w:rFonts w:ascii="Times New Roman" w:eastAsia="Calibri" w:hAnsi="Times New Roman" w:cs="Times New Roman"/>
                <w:sz w:val="24"/>
                <w:szCs w:val="24"/>
                <w:lang w:val="ro-RO"/>
              </w:rPr>
              <w:t xml:space="preserve"> cu cogenerare pentru încălzirea incintelor se aplică capacitatea electrică.</w:t>
            </w:r>
          </w:p>
          <w:p w14:paraId="7663CBBF" w14:textId="77777777" w:rsidR="00AB70DE" w:rsidRPr="00AB70DE" w:rsidRDefault="00AB70DE" w:rsidP="00AB70DE">
            <w:pPr>
              <w:tabs>
                <w:tab w:val="left" w:pos="1418"/>
              </w:tabs>
              <w:spacing w:after="60"/>
              <w:jc w:val="both"/>
              <w:rPr>
                <w:rFonts w:ascii="Times New Roman" w:eastAsia="Batang" w:hAnsi="Times New Roman" w:cs="Times New Roman"/>
                <w:b/>
                <w:bCs/>
                <w:sz w:val="24"/>
                <w:szCs w:val="24"/>
                <w:lang w:val="ro-RO" w:eastAsia="ja-JP"/>
              </w:rPr>
            </w:pPr>
          </w:p>
          <w:p w14:paraId="6861F5A7" w14:textId="4DB19913" w:rsidR="000E7D61" w:rsidRPr="0002702C" w:rsidRDefault="00300045"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 xml:space="preserve">Regulamentul stabilește </w:t>
            </w:r>
            <w:r w:rsidR="004A11BB" w:rsidRPr="0002702C">
              <w:rPr>
                <w:rFonts w:ascii="Times New Roman" w:eastAsia="Batang" w:hAnsi="Times New Roman" w:cs="Times New Roman"/>
                <w:bCs/>
                <w:sz w:val="24"/>
                <w:szCs w:val="24"/>
                <w:lang w:val="ro-RO" w:eastAsia="ja-JP"/>
              </w:rPr>
              <w:t>p</w:t>
            </w:r>
            <w:r w:rsidRPr="0002702C">
              <w:rPr>
                <w:rFonts w:ascii="Times New Roman" w:eastAsia="Batang" w:hAnsi="Times New Roman" w:cs="Times New Roman"/>
                <w:bCs/>
                <w:sz w:val="24"/>
                <w:szCs w:val="24"/>
                <w:lang w:val="ro-RO" w:eastAsia="ja-JP"/>
              </w:rPr>
              <w:t xml:space="preserve">rocedura de verificare în scopul supravegherii pieței </w:t>
            </w:r>
            <w:r w:rsidR="004A11BB" w:rsidRPr="0002702C">
              <w:rPr>
                <w:rFonts w:ascii="Times New Roman" w:eastAsia="Batang" w:hAnsi="Times New Roman" w:cs="Times New Roman"/>
                <w:bCs/>
                <w:sz w:val="24"/>
                <w:szCs w:val="24"/>
                <w:lang w:val="ro-RO" w:eastAsia="ja-JP"/>
              </w:rPr>
              <w:t xml:space="preserve">pe care o respectă Agenția pentru Protecția Consumatorilor și Supravegherea Pieței la verificarea conformității unui model de produs cu </w:t>
            </w:r>
            <w:proofErr w:type="spellStart"/>
            <w:r w:rsidR="004A11BB" w:rsidRPr="0002702C">
              <w:rPr>
                <w:rFonts w:ascii="Times New Roman" w:eastAsia="Batang" w:hAnsi="Times New Roman" w:cs="Times New Roman"/>
                <w:bCs/>
                <w:sz w:val="24"/>
                <w:szCs w:val="24"/>
                <w:lang w:val="ro-RO" w:eastAsia="ja-JP"/>
              </w:rPr>
              <w:t>cerinţele</w:t>
            </w:r>
            <w:proofErr w:type="spellEnd"/>
            <w:r w:rsidR="004A11BB" w:rsidRPr="0002702C">
              <w:rPr>
                <w:rFonts w:ascii="Times New Roman" w:eastAsia="Batang" w:hAnsi="Times New Roman" w:cs="Times New Roman"/>
                <w:bCs/>
                <w:sz w:val="24"/>
                <w:szCs w:val="24"/>
                <w:lang w:val="ro-RO" w:eastAsia="ja-JP"/>
              </w:rPr>
              <w:t xml:space="preserve"> prevăzute în prezentul regulament în temeiul art. 17 al Legii nr. 151/2014 privind cerințele în materie de proiectare ecologică aplicabile produselor cu impact energetic.</w:t>
            </w:r>
          </w:p>
          <w:p w14:paraId="1118ADD3" w14:textId="4C435740" w:rsidR="000E7670" w:rsidRPr="0002702C" w:rsidRDefault="005176BF"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 xml:space="preserve">Regulamentul stabilește procedurile de evaluare a conformității </w:t>
            </w:r>
            <w:r w:rsidR="000E7670" w:rsidRPr="0002702C">
              <w:rPr>
                <w:rFonts w:ascii="Times New Roman" w:eastAsia="Batang" w:hAnsi="Times New Roman" w:cs="Times New Roman"/>
                <w:bCs/>
                <w:sz w:val="24"/>
                <w:szCs w:val="24"/>
                <w:lang w:val="ro-RO" w:eastAsia="ja-JP"/>
              </w:rPr>
              <w:t xml:space="preserve">a instalațiilor de încălzire a incintelor și instalațiilor de încălzire cu funcție dublă </w:t>
            </w:r>
            <w:r w:rsidRPr="0002702C">
              <w:rPr>
                <w:rFonts w:ascii="Times New Roman" w:eastAsia="Batang" w:hAnsi="Times New Roman" w:cs="Times New Roman"/>
                <w:bCs/>
                <w:sz w:val="24"/>
                <w:szCs w:val="24"/>
                <w:lang w:val="ro-RO" w:eastAsia="ja-JP"/>
              </w:rPr>
              <w:t xml:space="preserve">de către </w:t>
            </w:r>
            <w:r w:rsidR="00A7191E" w:rsidRPr="0002702C">
              <w:rPr>
                <w:rFonts w:ascii="Times New Roman" w:eastAsia="Batang" w:hAnsi="Times New Roman" w:cs="Times New Roman"/>
                <w:bCs/>
                <w:sz w:val="24"/>
                <w:szCs w:val="24"/>
                <w:lang w:val="ro-RO" w:eastAsia="ja-JP"/>
              </w:rPr>
              <w:t>producător/ distribuitor și organismul notificat</w:t>
            </w:r>
            <w:r w:rsidR="000E7670" w:rsidRPr="0002702C">
              <w:rPr>
                <w:rFonts w:ascii="Times New Roman" w:eastAsia="Batang" w:hAnsi="Times New Roman" w:cs="Times New Roman"/>
                <w:bCs/>
                <w:sz w:val="24"/>
                <w:szCs w:val="24"/>
                <w:lang w:val="ro-RO" w:eastAsia="ja-JP"/>
              </w:rPr>
              <w:t xml:space="preserve">, inclusiv și procedurile preluate din </w:t>
            </w:r>
            <w:proofErr w:type="spellStart"/>
            <w:r w:rsidR="008F403A" w:rsidRPr="0002702C">
              <w:rPr>
                <w:rFonts w:ascii="Times New Roman" w:eastAsia="Batang" w:hAnsi="Times New Roman" w:cs="Times New Roman"/>
                <w:bCs/>
                <w:sz w:val="24"/>
                <w:szCs w:val="24"/>
                <w:lang w:val="ro-RO" w:eastAsia="ja-JP"/>
              </w:rPr>
              <w:t>Hotărîrea</w:t>
            </w:r>
            <w:proofErr w:type="spellEnd"/>
            <w:r w:rsidR="008F403A" w:rsidRPr="0002702C">
              <w:rPr>
                <w:rFonts w:ascii="Times New Roman" w:eastAsia="Batang" w:hAnsi="Times New Roman" w:cs="Times New Roman"/>
                <w:bCs/>
                <w:sz w:val="24"/>
                <w:szCs w:val="24"/>
                <w:lang w:val="ro-RO" w:eastAsia="ja-JP"/>
              </w:rPr>
              <w:t xml:space="preserve"> Guvernului nr. 428/2009 cu privire la aprobarea Reglementării tehnice „</w:t>
            </w:r>
            <w:proofErr w:type="spellStart"/>
            <w:r w:rsidR="008F403A" w:rsidRPr="0002702C">
              <w:rPr>
                <w:rFonts w:ascii="Times New Roman" w:eastAsia="Batang" w:hAnsi="Times New Roman" w:cs="Times New Roman"/>
                <w:bCs/>
                <w:sz w:val="24"/>
                <w:szCs w:val="24"/>
                <w:lang w:val="ro-RO" w:eastAsia="ja-JP"/>
              </w:rPr>
              <w:t>Cerinţe</w:t>
            </w:r>
            <w:proofErr w:type="spellEnd"/>
            <w:r w:rsidR="008F403A" w:rsidRPr="0002702C">
              <w:rPr>
                <w:rFonts w:ascii="Times New Roman" w:eastAsia="Batang" w:hAnsi="Times New Roman" w:cs="Times New Roman"/>
                <w:bCs/>
                <w:sz w:val="24"/>
                <w:szCs w:val="24"/>
                <w:lang w:val="ro-RO" w:eastAsia="ja-JP"/>
              </w:rPr>
              <w:t xml:space="preserve"> de randament pentru cazanele noi de apă caldă cu combustie lichidă sau gazoasă”.</w:t>
            </w:r>
          </w:p>
          <w:p w14:paraId="5B77F01A" w14:textId="77777777" w:rsidR="00383CAA" w:rsidRDefault="008F403A" w:rsidP="0002702C">
            <w:pPr>
              <w:tabs>
                <w:tab w:val="left" w:pos="1418"/>
              </w:tabs>
              <w:spacing w:after="60"/>
              <w:jc w:val="both"/>
              <w:rPr>
                <w:rFonts w:ascii="Times New Roman" w:eastAsia="Batang" w:hAnsi="Times New Roman" w:cs="Times New Roman"/>
                <w:bCs/>
                <w:sz w:val="24"/>
                <w:szCs w:val="24"/>
                <w:lang w:val="ro-RO" w:eastAsia="ja-JP"/>
              </w:rPr>
            </w:pPr>
            <w:r w:rsidRPr="0002702C">
              <w:rPr>
                <w:rFonts w:ascii="Times New Roman" w:eastAsia="Batang" w:hAnsi="Times New Roman" w:cs="Times New Roman"/>
                <w:bCs/>
                <w:sz w:val="24"/>
                <w:szCs w:val="24"/>
                <w:lang w:val="ro-RO" w:eastAsia="ja-JP"/>
              </w:rPr>
              <w:t xml:space="preserve">Se abrogă </w:t>
            </w:r>
            <w:proofErr w:type="spellStart"/>
            <w:r w:rsidRPr="0002702C">
              <w:rPr>
                <w:rFonts w:ascii="Times New Roman" w:eastAsia="Batang" w:hAnsi="Times New Roman" w:cs="Times New Roman"/>
                <w:bCs/>
                <w:sz w:val="24"/>
                <w:szCs w:val="24"/>
                <w:lang w:val="ro-RO" w:eastAsia="ja-JP"/>
              </w:rPr>
              <w:t>Hotărîrea</w:t>
            </w:r>
            <w:proofErr w:type="spellEnd"/>
            <w:r w:rsidRPr="0002702C">
              <w:rPr>
                <w:rFonts w:ascii="Times New Roman" w:eastAsia="Batang" w:hAnsi="Times New Roman" w:cs="Times New Roman"/>
                <w:bCs/>
                <w:sz w:val="24"/>
                <w:szCs w:val="24"/>
                <w:lang w:val="ro-RO" w:eastAsia="ja-JP"/>
              </w:rPr>
              <w:t xml:space="preserve"> Guvernului nr. 428/2009 cu privire la aprobarea Reglementării tehnice „</w:t>
            </w:r>
            <w:r w:rsidR="00B4237E" w:rsidRPr="0002702C">
              <w:rPr>
                <w:rFonts w:ascii="Times New Roman" w:eastAsia="Batang" w:hAnsi="Times New Roman" w:cs="Times New Roman"/>
                <w:bCs/>
                <w:sz w:val="24"/>
                <w:szCs w:val="24"/>
                <w:lang w:val="ro-RO" w:eastAsia="ja-JP"/>
              </w:rPr>
              <w:t>Cerințe</w:t>
            </w:r>
            <w:r w:rsidRPr="0002702C">
              <w:rPr>
                <w:rFonts w:ascii="Times New Roman" w:eastAsia="Batang" w:hAnsi="Times New Roman" w:cs="Times New Roman"/>
                <w:bCs/>
                <w:sz w:val="24"/>
                <w:szCs w:val="24"/>
                <w:lang w:val="ro-RO" w:eastAsia="ja-JP"/>
              </w:rPr>
              <w:t xml:space="preserve"> de randament pentru cazanele noi de apă caldă cu combustie lichidă sau gazoasă”.</w:t>
            </w:r>
          </w:p>
          <w:p w14:paraId="755D75E6" w14:textId="64EFB822" w:rsidR="00B4237E" w:rsidRPr="00B4237E" w:rsidRDefault="00B4237E" w:rsidP="0002702C">
            <w:pPr>
              <w:tabs>
                <w:tab w:val="left" w:pos="1418"/>
              </w:tabs>
              <w:spacing w:after="60"/>
              <w:jc w:val="both"/>
              <w:rPr>
                <w:rFonts w:ascii="Times New Roman" w:eastAsia="Batang" w:hAnsi="Times New Roman" w:cs="Times New Roman"/>
                <w:bCs/>
                <w:sz w:val="24"/>
                <w:szCs w:val="24"/>
                <w:lang w:val="ro-RO" w:eastAsia="ja-JP"/>
              </w:rPr>
            </w:pPr>
          </w:p>
        </w:tc>
      </w:tr>
      <w:tr w:rsidR="00B468B6" w:rsidRPr="00B76CED" w14:paraId="5C0C1AC2" w14:textId="77777777" w:rsidTr="003319EB">
        <w:trPr>
          <w:jc w:val="center"/>
        </w:trPr>
        <w:tc>
          <w:tcPr>
            <w:tcW w:w="5000" w:type="pct"/>
            <w:gridSpan w:val="2"/>
            <w:shd w:val="clear" w:color="auto" w:fill="auto"/>
            <w:tcMar>
              <w:top w:w="15" w:type="dxa"/>
              <w:left w:w="45" w:type="dxa"/>
              <w:bottom w:w="15" w:type="dxa"/>
              <w:right w:w="45" w:type="dxa"/>
            </w:tcMar>
          </w:tcPr>
          <w:p w14:paraId="746183D9" w14:textId="46BBB28F"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c) </w:t>
            </w:r>
            <w:r w:rsidR="001D4C66"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w:t>
            </w:r>
            <w:r w:rsidR="001D4C66" w:rsidRPr="00EB1C0D">
              <w:rPr>
                <w:rFonts w:ascii="Times New Roman" w:eastAsia="Calibri" w:hAnsi="Times New Roman" w:cs="Times New Roman"/>
                <w:b/>
                <w:sz w:val="24"/>
                <w:szCs w:val="24"/>
                <w:lang w:val="ro-RO" w:eastAsia="en-GB"/>
              </w:rPr>
              <w:t>opțiunile</w:t>
            </w:r>
            <w:r w:rsidRPr="00EB1C0D">
              <w:rPr>
                <w:rFonts w:ascii="Times New Roman" w:eastAsia="Calibri" w:hAnsi="Times New Roman" w:cs="Times New Roman"/>
                <w:b/>
                <w:sz w:val="24"/>
                <w:szCs w:val="24"/>
                <w:lang w:val="ro-RO" w:eastAsia="en-GB"/>
              </w:rPr>
              <w:t xml:space="preserve"> alternative analizate sau </w:t>
            </w:r>
            <w:r w:rsidR="001D4C66" w:rsidRPr="00EB1C0D">
              <w:rPr>
                <w:rFonts w:ascii="Times New Roman" w:eastAsia="Calibri" w:hAnsi="Times New Roman" w:cs="Times New Roman"/>
                <w:b/>
                <w:sz w:val="24"/>
                <w:szCs w:val="24"/>
                <w:lang w:val="ro-RO" w:eastAsia="en-GB"/>
              </w:rPr>
              <w:t>explicați</w:t>
            </w:r>
            <w:r w:rsidRPr="00EB1C0D">
              <w:rPr>
                <w:rFonts w:ascii="Times New Roman" w:eastAsia="Calibri" w:hAnsi="Times New Roman" w:cs="Times New Roman"/>
                <w:b/>
                <w:sz w:val="24"/>
                <w:szCs w:val="24"/>
                <w:lang w:val="ro-RO" w:eastAsia="en-GB"/>
              </w:rPr>
              <w:t xml:space="preserve"> motivul de ce acestea nu au fost luate în considerare</w:t>
            </w:r>
            <w:r w:rsidR="001D4C66" w:rsidRPr="00EB1C0D">
              <w:rPr>
                <w:rFonts w:ascii="Times New Roman" w:eastAsia="Calibri" w:hAnsi="Times New Roman" w:cs="Times New Roman"/>
                <w:b/>
                <w:sz w:val="24"/>
                <w:szCs w:val="24"/>
                <w:lang w:val="ro-RO" w:eastAsia="en-GB"/>
              </w:rPr>
              <w:t>.</w:t>
            </w:r>
          </w:p>
        </w:tc>
      </w:tr>
      <w:tr w:rsidR="00B468B6" w:rsidRPr="00B76CED" w14:paraId="5118EC8A" w14:textId="77777777" w:rsidTr="003319EB">
        <w:trPr>
          <w:jc w:val="center"/>
        </w:trPr>
        <w:tc>
          <w:tcPr>
            <w:tcW w:w="5000" w:type="pct"/>
            <w:gridSpan w:val="2"/>
            <w:tcMar>
              <w:top w:w="15" w:type="dxa"/>
              <w:left w:w="45" w:type="dxa"/>
              <w:bottom w:w="15" w:type="dxa"/>
              <w:right w:w="45" w:type="dxa"/>
            </w:tcMar>
          </w:tcPr>
          <w:p w14:paraId="576B794A" w14:textId="3349B304" w:rsidR="004F6F8E" w:rsidRPr="00AA5197" w:rsidRDefault="00E55A94" w:rsidP="006630ED">
            <w:pPr>
              <w:spacing w:before="120" w:after="1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Nu au fost analizate careva opțiuni alter</w:t>
            </w:r>
            <w:r w:rsidR="00351E26">
              <w:rPr>
                <w:rFonts w:ascii="Times New Roman" w:eastAsia="Times New Roman" w:hAnsi="Times New Roman" w:cs="Times New Roman"/>
                <w:sz w:val="24"/>
                <w:szCs w:val="24"/>
                <w:lang w:val="ro-RO" w:eastAsia="ru-RU"/>
              </w:rPr>
              <w:t xml:space="preserve">native din considerentul </w:t>
            </w:r>
          </w:p>
        </w:tc>
      </w:tr>
      <w:tr w:rsidR="00B468B6" w:rsidRPr="00EB1C0D" w14:paraId="1909242E" w14:textId="77777777" w:rsidTr="003319EB">
        <w:trPr>
          <w:jc w:val="center"/>
        </w:trPr>
        <w:tc>
          <w:tcPr>
            <w:tcW w:w="5000" w:type="pct"/>
            <w:gridSpan w:val="2"/>
            <w:shd w:val="clear" w:color="auto" w:fill="auto"/>
            <w:tcMar>
              <w:top w:w="15" w:type="dxa"/>
              <w:left w:w="45" w:type="dxa"/>
              <w:bottom w:w="15" w:type="dxa"/>
              <w:right w:w="45" w:type="dxa"/>
            </w:tcMar>
          </w:tcPr>
          <w:p w14:paraId="4437501C" w14:textId="057A5A73"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t>4. ANALIZA IMPACTURILOR OPȚIUNILOR</w:t>
            </w:r>
          </w:p>
        </w:tc>
      </w:tr>
      <w:tr w:rsidR="00B468B6" w:rsidRPr="00B76CED" w14:paraId="20E1D850" w14:textId="77777777" w:rsidTr="003319EB">
        <w:trPr>
          <w:jc w:val="center"/>
        </w:trPr>
        <w:tc>
          <w:tcPr>
            <w:tcW w:w="5000" w:type="pct"/>
            <w:gridSpan w:val="2"/>
            <w:shd w:val="clear" w:color="auto" w:fill="auto"/>
            <w:tcMar>
              <w:top w:w="15" w:type="dxa"/>
              <w:left w:w="45" w:type="dxa"/>
              <w:bottom w:w="15" w:type="dxa"/>
              <w:right w:w="45" w:type="dxa"/>
            </w:tcMar>
          </w:tcPr>
          <w:p w14:paraId="0EBDC2AB" w14:textId="27EABF2B"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a) </w:t>
            </w:r>
            <w:r w:rsidR="000E05A6"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efectele negative </w:t>
            </w:r>
            <w:r w:rsidR="000E05A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pozitive ale stării actuale </w:t>
            </w:r>
            <w:r w:rsidR="000E05A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w:t>
            </w:r>
            <w:r w:rsidR="000E05A6" w:rsidRPr="00EB1C0D">
              <w:rPr>
                <w:rFonts w:ascii="Times New Roman" w:eastAsia="Calibri" w:hAnsi="Times New Roman" w:cs="Times New Roman"/>
                <w:b/>
                <w:sz w:val="24"/>
                <w:szCs w:val="24"/>
                <w:lang w:val="ro-RO" w:eastAsia="en-GB"/>
              </w:rPr>
              <w:t>evoluția</w:t>
            </w:r>
            <w:r w:rsidRPr="00EB1C0D">
              <w:rPr>
                <w:rFonts w:ascii="Times New Roman" w:eastAsia="Calibri" w:hAnsi="Times New Roman" w:cs="Times New Roman"/>
                <w:b/>
                <w:sz w:val="24"/>
                <w:szCs w:val="24"/>
                <w:lang w:val="ro-RO" w:eastAsia="en-GB"/>
              </w:rPr>
              <w:t xml:space="preserve"> acestora în viitor, care vor sta la baza calculării impacturilor </w:t>
            </w:r>
            <w:r w:rsidR="000E05A6" w:rsidRPr="00EB1C0D">
              <w:rPr>
                <w:rFonts w:ascii="Times New Roman" w:eastAsia="Calibri" w:hAnsi="Times New Roman" w:cs="Times New Roman"/>
                <w:b/>
                <w:sz w:val="24"/>
                <w:szCs w:val="24"/>
                <w:lang w:val="ro-RO" w:eastAsia="en-GB"/>
              </w:rPr>
              <w:t>opțiunii</w:t>
            </w:r>
            <w:r w:rsidRPr="00EB1C0D">
              <w:rPr>
                <w:rFonts w:ascii="Times New Roman" w:eastAsia="Calibri" w:hAnsi="Times New Roman" w:cs="Times New Roman"/>
                <w:b/>
                <w:sz w:val="24"/>
                <w:szCs w:val="24"/>
                <w:lang w:val="ro-RO" w:eastAsia="en-GB"/>
              </w:rPr>
              <w:t xml:space="preserve"> recomandate</w:t>
            </w:r>
          </w:p>
        </w:tc>
      </w:tr>
      <w:tr w:rsidR="00B468B6" w:rsidRPr="00B76CED" w14:paraId="5BF19495" w14:textId="77777777" w:rsidTr="003319EB">
        <w:trPr>
          <w:jc w:val="center"/>
        </w:trPr>
        <w:tc>
          <w:tcPr>
            <w:tcW w:w="5000" w:type="pct"/>
            <w:gridSpan w:val="2"/>
            <w:tcMar>
              <w:top w:w="15" w:type="dxa"/>
              <w:left w:w="45" w:type="dxa"/>
              <w:bottom w:w="15" w:type="dxa"/>
              <w:right w:w="45" w:type="dxa"/>
            </w:tcMar>
          </w:tcPr>
          <w:p w14:paraId="4E55C3ED" w14:textId="4BC93C71" w:rsidR="00B57321" w:rsidRDefault="003164AF" w:rsidP="006341B0">
            <w:pPr>
              <w:pStyle w:val="ListParagraph"/>
              <w:tabs>
                <w:tab w:val="left" w:pos="1418"/>
              </w:tabs>
              <w:spacing w:after="0"/>
              <w:ind w:left="0"/>
              <w:contextualSpacing w:val="0"/>
              <w:jc w:val="both"/>
              <w:rPr>
                <w:rFonts w:ascii="Times New Roman" w:eastAsia="Times New Roman" w:hAnsi="Times New Roman" w:cs="Times New Roman"/>
                <w:sz w:val="24"/>
                <w:szCs w:val="24"/>
                <w:lang w:val="ro-RO" w:eastAsia="ro-RO"/>
              </w:rPr>
            </w:pPr>
            <w:r w:rsidRPr="00B57321">
              <w:rPr>
                <w:rFonts w:ascii="Times New Roman" w:eastAsia="Times New Roman" w:hAnsi="Times New Roman" w:cs="Times New Roman"/>
                <w:b/>
                <w:sz w:val="24"/>
                <w:szCs w:val="24"/>
                <w:lang w:val="ro-RO" w:eastAsia="ro-RO"/>
              </w:rPr>
              <w:t>Efecte pozitive</w:t>
            </w:r>
            <w:r>
              <w:rPr>
                <w:rFonts w:ascii="Times New Roman" w:eastAsia="Times New Roman" w:hAnsi="Times New Roman" w:cs="Times New Roman"/>
                <w:sz w:val="24"/>
                <w:szCs w:val="24"/>
                <w:lang w:val="ro-RO" w:eastAsia="ro-RO"/>
              </w:rPr>
              <w:t xml:space="preserve"> – </w:t>
            </w:r>
            <w:r w:rsidR="00963AB4">
              <w:rPr>
                <w:rFonts w:ascii="Times New Roman" w:eastAsia="Times New Roman" w:hAnsi="Times New Roman" w:cs="Times New Roman"/>
                <w:sz w:val="24"/>
                <w:szCs w:val="24"/>
                <w:lang w:val="ro-RO" w:eastAsia="ro-RO"/>
              </w:rPr>
              <w:t>nu există efecte pozitive.</w:t>
            </w:r>
          </w:p>
          <w:p w14:paraId="0EF46B26" w14:textId="271D2526" w:rsidR="006341B0" w:rsidRDefault="002549CF" w:rsidP="006341B0">
            <w:pPr>
              <w:pStyle w:val="ListParagraph"/>
              <w:tabs>
                <w:tab w:val="left" w:pos="1418"/>
              </w:tabs>
              <w:spacing w:after="0"/>
              <w:ind w:left="0"/>
              <w:contextualSpacing w:val="0"/>
              <w:jc w:val="both"/>
              <w:rPr>
                <w:rFonts w:ascii="Times New Roman" w:eastAsia="Times New Roman" w:hAnsi="Times New Roman" w:cs="Times New Roman"/>
                <w:b/>
                <w:sz w:val="24"/>
                <w:szCs w:val="24"/>
                <w:lang w:val="ro-RO" w:eastAsia="ro-RO"/>
              </w:rPr>
            </w:pPr>
            <w:r w:rsidRPr="00B57321">
              <w:rPr>
                <w:rFonts w:ascii="Times New Roman" w:eastAsia="Times New Roman" w:hAnsi="Times New Roman" w:cs="Times New Roman"/>
                <w:b/>
                <w:sz w:val="24"/>
                <w:szCs w:val="24"/>
                <w:lang w:val="ro-RO" w:eastAsia="ro-RO"/>
              </w:rPr>
              <w:t>E</w:t>
            </w:r>
            <w:r>
              <w:rPr>
                <w:rFonts w:ascii="Times New Roman" w:eastAsia="Times New Roman" w:hAnsi="Times New Roman" w:cs="Times New Roman"/>
                <w:b/>
                <w:sz w:val="24"/>
                <w:szCs w:val="24"/>
                <w:lang w:val="ro-RO" w:eastAsia="ro-RO"/>
              </w:rPr>
              <w:t>fecte nega</w:t>
            </w:r>
            <w:r w:rsidRPr="00B57321">
              <w:rPr>
                <w:rFonts w:ascii="Times New Roman" w:eastAsia="Times New Roman" w:hAnsi="Times New Roman" w:cs="Times New Roman"/>
                <w:b/>
                <w:sz w:val="24"/>
                <w:szCs w:val="24"/>
                <w:lang w:val="ro-RO" w:eastAsia="ro-RO"/>
              </w:rPr>
              <w:t>tive</w:t>
            </w:r>
            <w:r w:rsidR="006341B0">
              <w:rPr>
                <w:rFonts w:ascii="Times New Roman" w:eastAsia="Times New Roman" w:hAnsi="Times New Roman" w:cs="Times New Roman"/>
                <w:b/>
                <w:sz w:val="24"/>
                <w:szCs w:val="24"/>
                <w:lang w:val="ro-RO" w:eastAsia="ro-RO"/>
              </w:rPr>
              <w:t>:</w:t>
            </w:r>
            <w:r>
              <w:rPr>
                <w:rFonts w:ascii="Times New Roman" w:eastAsia="Times New Roman" w:hAnsi="Times New Roman" w:cs="Times New Roman"/>
                <w:b/>
                <w:sz w:val="24"/>
                <w:szCs w:val="24"/>
                <w:lang w:val="ro-RO" w:eastAsia="ro-RO"/>
              </w:rPr>
              <w:t xml:space="preserve"> </w:t>
            </w:r>
          </w:p>
          <w:p w14:paraId="404464A7" w14:textId="5ABB8A86"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sidRPr="00F402B6">
              <w:rPr>
                <w:rFonts w:ascii="Times New Roman" w:eastAsia="Batang" w:hAnsi="Times New Roman" w:cs="Times New Roman"/>
                <w:bCs/>
                <w:sz w:val="24"/>
                <w:szCs w:val="24"/>
                <w:lang w:val="ro-RO" w:eastAsia="ja-JP"/>
              </w:rPr>
              <w:t xml:space="preserve">Producătorii și distribuitorii instalațiilor pentru încălzirea incintelor </w:t>
            </w:r>
            <w:proofErr w:type="spellStart"/>
            <w:r w:rsidRPr="00F402B6">
              <w:rPr>
                <w:rFonts w:ascii="Times New Roman" w:eastAsia="Batang" w:hAnsi="Times New Roman" w:cs="Times New Roman"/>
                <w:bCs/>
                <w:sz w:val="24"/>
                <w:szCs w:val="24"/>
                <w:lang w:val="ro-RO" w:eastAsia="ja-JP"/>
              </w:rPr>
              <w:t>şi</w:t>
            </w:r>
            <w:proofErr w:type="spellEnd"/>
            <w:r w:rsidRPr="00F402B6">
              <w:rPr>
                <w:rFonts w:ascii="Times New Roman" w:eastAsia="Batang" w:hAnsi="Times New Roman" w:cs="Times New Roman"/>
                <w:bCs/>
                <w:sz w:val="24"/>
                <w:szCs w:val="24"/>
                <w:lang w:val="ro-RO" w:eastAsia="ja-JP"/>
              </w:rPr>
              <w:t xml:space="preserve"> instalațiilor de încălzire cu </w:t>
            </w:r>
            <w:r w:rsidR="001C7A97" w:rsidRPr="00F402B6">
              <w:rPr>
                <w:rFonts w:ascii="Times New Roman" w:eastAsia="Batang" w:hAnsi="Times New Roman" w:cs="Times New Roman"/>
                <w:bCs/>
                <w:sz w:val="24"/>
                <w:szCs w:val="24"/>
                <w:lang w:val="ro-RO" w:eastAsia="ja-JP"/>
              </w:rPr>
              <w:t>funcție</w:t>
            </w:r>
            <w:r w:rsidRPr="00F402B6">
              <w:rPr>
                <w:rFonts w:ascii="Times New Roman" w:eastAsia="Batang" w:hAnsi="Times New Roman" w:cs="Times New Roman"/>
                <w:bCs/>
                <w:sz w:val="24"/>
                <w:szCs w:val="24"/>
                <w:lang w:val="ro-RO" w:eastAsia="ja-JP"/>
              </w:rPr>
              <w:t xml:space="preserve"> dublă, </w:t>
            </w:r>
            <w:r>
              <w:rPr>
                <w:rFonts w:ascii="Times New Roman" w:eastAsia="Batang" w:hAnsi="Times New Roman" w:cs="Times New Roman"/>
                <w:bCs/>
                <w:sz w:val="24"/>
                <w:szCs w:val="24"/>
                <w:lang w:val="ro-RO" w:eastAsia="ja-JP"/>
              </w:rPr>
              <w:t>continuă să plaseze</w:t>
            </w:r>
            <w:r w:rsidRPr="00F402B6">
              <w:rPr>
                <w:rFonts w:ascii="Times New Roman" w:eastAsia="Batang" w:hAnsi="Times New Roman" w:cs="Times New Roman"/>
                <w:bCs/>
                <w:sz w:val="24"/>
                <w:szCs w:val="24"/>
                <w:lang w:val="ro-RO" w:eastAsia="ja-JP"/>
              </w:rPr>
              <w:t xml:space="preserve"> pe piață produse ce respectă cerințele</w:t>
            </w:r>
            <w:r>
              <w:rPr>
                <w:rFonts w:ascii="Times New Roman" w:eastAsia="Batang" w:hAnsi="Times New Roman" w:cs="Times New Roman"/>
                <w:bCs/>
                <w:sz w:val="24"/>
                <w:szCs w:val="24"/>
                <w:lang w:val="ro-RO" w:eastAsia="ja-JP"/>
              </w:rPr>
              <w:t xml:space="preserve"> stabilite în HG 428/2009</w:t>
            </w:r>
            <w:r w:rsidRPr="00F402B6">
              <w:rPr>
                <w:rFonts w:ascii="Times New Roman" w:eastAsia="Batang" w:hAnsi="Times New Roman" w:cs="Times New Roman"/>
                <w:bCs/>
                <w:sz w:val="24"/>
                <w:szCs w:val="24"/>
                <w:lang w:val="ro-RO" w:eastAsia="ja-JP"/>
              </w:rPr>
              <w:t>;</w:t>
            </w:r>
          </w:p>
          <w:p w14:paraId="1AD6351C" w14:textId="77777777"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Consumatorii nu au acces sigur la instalații </w:t>
            </w:r>
            <w:r w:rsidRPr="00DF4519">
              <w:rPr>
                <w:rFonts w:ascii="Times New Roman" w:eastAsia="Batang" w:hAnsi="Times New Roman" w:cs="Times New Roman"/>
                <w:bCs/>
                <w:sz w:val="24"/>
                <w:szCs w:val="24"/>
                <w:lang w:val="ro-RO" w:eastAsia="ja-JP"/>
              </w:rPr>
              <w:t>pentru încălzirea incinte</w:t>
            </w:r>
            <w:r>
              <w:rPr>
                <w:rFonts w:ascii="Times New Roman" w:eastAsia="Batang" w:hAnsi="Times New Roman" w:cs="Times New Roman"/>
                <w:bCs/>
                <w:sz w:val="24"/>
                <w:szCs w:val="24"/>
                <w:lang w:val="ro-RO" w:eastAsia="ja-JP"/>
              </w:rPr>
              <w:t xml:space="preserve">lor </w:t>
            </w:r>
            <w:proofErr w:type="spellStart"/>
            <w:r>
              <w:rPr>
                <w:rFonts w:ascii="Times New Roman" w:eastAsia="Batang" w:hAnsi="Times New Roman" w:cs="Times New Roman"/>
                <w:bCs/>
                <w:sz w:val="24"/>
                <w:szCs w:val="24"/>
                <w:lang w:val="ro-RO" w:eastAsia="ja-JP"/>
              </w:rPr>
              <w:t>şi</w:t>
            </w:r>
            <w:proofErr w:type="spellEnd"/>
            <w:r>
              <w:rPr>
                <w:rFonts w:ascii="Times New Roman" w:eastAsia="Batang" w:hAnsi="Times New Roman" w:cs="Times New Roman"/>
                <w:bCs/>
                <w:sz w:val="24"/>
                <w:szCs w:val="24"/>
                <w:lang w:val="ro-RO" w:eastAsia="ja-JP"/>
              </w:rPr>
              <w:t xml:space="preserve"> instalații </w:t>
            </w:r>
            <w:r w:rsidRPr="00DF4519">
              <w:rPr>
                <w:rFonts w:ascii="Times New Roman" w:eastAsia="Batang" w:hAnsi="Times New Roman" w:cs="Times New Roman"/>
                <w:bCs/>
                <w:sz w:val="24"/>
                <w:szCs w:val="24"/>
                <w:lang w:val="ro-RO" w:eastAsia="ja-JP"/>
              </w:rPr>
              <w:t>de încălzire cu funcție dublă</w:t>
            </w:r>
            <w:r>
              <w:rPr>
                <w:rFonts w:ascii="Times New Roman" w:eastAsia="Batang" w:hAnsi="Times New Roman" w:cs="Times New Roman"/>
                <w:bCs/>
                <w:sz w:val="24"/>
                <w:szCs w:val="24"/>
                <w:lang w:val="ro-RO" w:eastAsia="ja-JP"/>
              </w:rPr>
              <w:t xml:space="preserve"> performante, în conformitate cu ultimele evoluții teogonice;</w:t>
            </w:r>
          </w:p>
          <w:p w14:paraId="26C02FDE" w14:textId="77777777"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Alegerea și achiziționarea în cunoștință de cauză, de către consumator, a </w:t>
            </w:r>
            <w:r w:rsidRPr="00731371">
              <w:rPr>
                <w:rFonts w:ascii="Times New Roman" w:eastAsia="Batang" w:hAnsi="Times New Roman" w:cs="Times New Roman"/>
                <w:bCs/>
                <w:sz w:val="24"/>
                <w:szCs w:val="24"/>
                <w:lang w:val="ro-RO" w:eastAsia="ja-JP"/>
              </w:rPr>
              <w:t xml:space="preserve">instalațiilor pentru încălzirea incintelor </w:t>
            </w:r>
            <w:proofErr w:type="spellStart"/>
            <w:r w:rsidRPr="00731371">
              <w:rPr>
                <w:rFonts w:ascii="Times New Roman" w:eastAsia="Batang" w:hAnsi="Times New Roman" w:cs="Times New Roman"/>
                <w:bCs/>
                <w:sz w:val="24"/>
                <w:szCs w:val="24"/>
                <w:lang w:val="ro-RO" w:eastAsia="ja-JP"/>
              </w:rPr>
              <w:t>şi</w:t>
            </w:r>
            <w:proofErr w:type="spellEnd"/>
            <w:r w:rsidRPr="00731371">
              <w:rPr>
                <w:rFonts w:ascii="Times New Roman" w:eastAsia="Batang" w:hAnsi="Times New Roman" w:cs="Times New Roman"/>
                <w:bCs/>
                <w:sz w:val="24"/>
                <w:szCs w:val="24"/>
                <w:lang w:val="ro-RO" w:eastAsia="ja-JP"/>
              </w:rPr>
              <w:t xml:space="preserve"> instalațiilor de încălzire cu funcție dublă </w:t>
            </w:r>
            <w:r>
              <w:rPr>
                <w:rFonts w:ascii="Times New Roman" w:eastAsia="Batang" w:hAnsi="Times New Roman" w:cs="Times New Roman"/>
                <w:bCs/>
                <w:sz w:val="24"/>
                <w:szCs w:val="24"/>
                <w:lang w:val="ro-RO" w:eastAsia="ja-JP"/>
              </w:rPr>
              <w:t>este complicată dificilă și practic imposibilă, având în vedere că pe piață sunt plasate produse conforme vechilor și noilor cerințe.</w:t>
            </w:r>
          </w:p>
          <w:p w14:paraId="35F91012" w14:textId="4378905E" w:rsidR="006B6525" w:rsidRDefault="006B6525" w:rsidP="006B6525">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N</w:t>
            </w:r>
            <w:r w:rsidRPr="00384CA5">
              <w:rPr>
                <w:rFonts w:ascii="Times New Roman" w:eastAsia="Batang" w:hAnsi="Times New Roman" w:cs="Times New Roman"/>
                <w:bCs/>
                <w:sz w:val="24"/>
                <w:szCs w:val="24"/>
                <w:lang w:val="ro-RO" w:eastAsia="ja-JP"/>
              </w:rPr>
              <w:t xml:space="preserve">u vor fi reduse barierele în calea comerțului și nu vor fi stabilite cerințele unificate cu cele a UE față </w:t>
            </w:r>
            <w:r w:rsidR="00963AB4">
              <w:rPr>
                <w:rFonts w:ascii="Times New Roman" w:eastAsia="Batang" w:hAnsi="Times New Roman" w:cs="Times New Roman"/>
                <w:bCs/>
                <w:sz w:val="24"/>
                <w:szCs w:val="24"/>
                <w:lang w:val="ro-RO" w:eastAsia="ja-JP"/>
              </w:rPr>
              <w:t xml:space="preserve">de </w:t>
            </w:r>
            <w:r w:rsidR="00963AB4" w:rsidRPr="00963AB4">
              <w:rPr>
                <w:rFonts w:ascii="Times New Roman" w:eastAsia="Batang" w:hAnsi="Times New Roman" w:cs="Times New Roman"/>
                <w:bCs/>
                <w:sz w:val="24"/>
                <w:szCs w:val="24"/>
                <w:lang w:val="ro-RO" w:eastAsia="ja-JP"/>
              </w:rPr>
              <w:t>insta</w:t>
            </w:r>
            <w:r w:rsidR="00963AB4">
              <w:rPr>
                <w:rFonts w:ascii="Times New Roman" w:eastAsia="Batang" w:hAnsi="Times New Roman" w:cs="Times New Roman"/>
                <w:bCs/>
                <w:sz w:val="24"/>
                <w:szCs w:val="24"/>
                <w:lang w:val="ro-RO" w:eastAsia="ja-JP"/>
              </w:rPr>
              <w:t>lațiile</w:t>
            </w:r>
            <w:r w:rsidR="00963AB4" w:rsidRPr="00963AB4">
              <w:rPr>
                <w:rFonts w:ascii="Times New Roman" w:eastAsia="Batang" w:hAnsi="Times New Roman" w:cs="Times New Roman"/>
                <w:bCs/>
                <w:sz w:val="24"/>
                <w:szCs w:val="24"/>
                <w:lang w:val="ro-RO" w:eastAsia="ja-JP"/>
              </w:rPr>
              <w:t xml:space="preserve"> pentru încălzirea incintelor </w:t>
            </w:r>
            <w:proofErr w:type="spellStart"/>
            <w:r w:rsidR="00963AB4" w:rsidRPr="00963AB4">
              <w:rPr>
                <w:rFonts w:ascii="Times New Roman" w:eastAsia="Batang" w:hAnsi="Times New Roman" w:cs="Times New Roman"/>
                <w:bCs/>
                <w:sz w:val="24"/>
                <w:szCs w:val="24"/>
                <w:lang w:val="ro-RO" w:eastAsia="ja-JP"/>
              </w:rPr>
              <w:t>şi</w:t>
            </w:r>
            <w:proofErr w:type="spellEnd"/>
            <w:r w:rsidR="00963AB4" w:rsidRPr="00963AB4">
              <w:rPr>
                <w:rFonts w:ascii="Times New Roman" w:eastAsia="Batang" w:hAnsi="Times New Roman" w:cs="Times New Roman"/>
                <w:bCs/>
                <w:sz w:val="24"/>
                <w:szCs w:val="24"/>
                <w:lang w:val="ro-RO" w:eastAsia="ja-JP"/>
              </w:rPr>
              <w:t xml:space="preserve"> instalațiil</w:t>
            </w:r>
            <w:r w:rsidR="00963AB4">
              <w:rPr>
                <w:rFonts w:ascii="Times New Roman" w:eastAsia="Batang" w:hAnsi="Times New Roman" w:cs="Times New Roman"/>
                <w:bCs/>
                <w:sz w:val="24"/>
                <w:szCs w:val="24"/>
                <w:lang w:val="ro-RO" w:eastAsia="ja-JP"/>
              </w:rPr>
              <w:t>e</w:t>
            </w:r>
            <w:r w:rsidR="00963AB4" w:rsidRPr="00963AB4">
              <w:rPr>
                <w:rFonts w:ascii="Times New Roman" w:eastAsia="Batang" w:hAnsi="Times New Roman" w:cs="Times New Roman"/>
                <w:bCs/>
                <w:sz w:val="24"/>
                <w:szCs w:val="24"/>
                <w:lang w:val="ro-RO" w:eastAsia="ja-JP"/>
              </w:rPr>
              <w:t xml:space="preserve"> de încălzire cu funcție dublă</w:t>
            </w:r>
            <w:r w:rsidRPr="00384CA5">
              <w:rPr>
                <w:rFonts w:ascii="Times New Roman" w:eastAsia="Batang" w:hAnsi="Times New Roman" w:cs="Times New Roman"/>
                <w:bCs/>
                <w:sz w:val="24"/>
                <w:szCs w:val="24"/>
                <w:lang w:val="ro-RO" w:eastAsia="ja-JP"/>
              </w:rPr>
              <w:t>.</w:t>
            </w:r>
          </w:p>
          <w:p w14:paraId="5765155E" w14:textId="0220A54E" w:rsidR="00764EBD" w:rsidRPr="00764EBD" w:rsidRDefault="006B6525" w:rsidP="001C7A97">
            <w:pPr>
              <w:tabs>
                <w:tab w:val="left" w:pos="1418"/>
              </w:tabs>
              <w:spacing w:after="0"/>
              <w:jc w:val="both"/>
              <w:rPr>
                <w:rFonts w:ascii="Times New Roman" w:eastAsia="Batang" w:hAnsi="Times New Roman" w:cs="Times New Roman"/>
                <w:bCs/>
                <w:sz w:val="24"/>
                <w:szCs w:val="24"/>
                <w:lang w:val="ro-RO" w:eastAsia="ja-JP"/>
              </w:rPr>
            </w:pPr>
            <w:r w:rsidRPr="001C7A97">
              <w:rPr>
                <w:rFonts w:ascii="Times New Roman" w:eastAsia="Batang" w:hAnsi="Times New Roman" w:cs="Times New Roman"/>
                <w:bCs/>
                <w:sz w:val="24"/>
                <w:szCs w:val="24"/>
                <w:lang w:val="ro-RO" w:eastAsia="ja-JP"/>
              </w:rPr>
              <w:t xml:space="preserve">Agenția pentru Protecția Consumatorilor nu va dispune de un instrument prin care poate verifica corespundarea a instalațiilor pentru încălzirea incintelor </w:t>
            </w:r>
            <w:proofErr w:type="spellStart"/>
            <w:r w:rsidRPr="001C7A97">
              <w:rPr>
                <w:rFonts w:ascii="Times New Roman" w:eastAsia="Batang" w:hAnsi="Times New Roman" w:cs="Times New Roman"/>
                <w:bCs/>
                <w:sz w:val="24"/>
                <w:szCs w:val="24"/>
                <w:lang w:val="ro-RO" w:eastAsia="ja-JP"/>
              </w:rPr>
              <w:t>şi</w:t>
            </w:r>
            <w:proofErr w:type="spellEnd"/>
            <w:r w:rsidRPr="001C7A97">
              <w:rPr>
                <w:rFonts w:ascii="Times New Roman" w:eastAsia="Batang" w:hAnsi="Times New Roman" w:cs="Times New Roman"/>
                <w:bCs/>
                <w:sz w:val="24"/>
                <w:szCs w:val="24"/>
                <w:lang w:val="ro-RO" w:eastAsia="ja-JP"/>
              </w:rPr>
              <w:t xml:space="preserve"> instalațiilor de încălzire cu funcție dublă cu noile cerințe</w:t>
            </w:r>
            <w:r w:rsidR="00764EBD">
              <w:rPr>
                <w:rFonts w:ascii="Times New Roman" w:eastAsia="Batang" w:hAnsi="Times New Roman" w:cs="Times New Roman"/>
                <w:bCs/>
                <w:sz w:val="24"/>
                <w:szCs w:val="24"/>
                <w:lang w:val="ro-RO" w:eastAsia="ja-JP"/>
              </w:rPr>
              <w:t>.</w:t>
            </w:r>
          </w:p>
        </w:tc>
      </w:tr>
      <w:tr w:rsidR="00B468B6" w:rsidRPr="00B76CED" w14:paraId="29810746" w14:textId="77777777" w:rsidTr="003319EB">
        <w:trPr>
          <w:jc w:val="center"/>
        </w:trPr>
        <w:tc>
          <w:tcPr>
            <w:tcW w:w="5000" w:type="pct"/>
            <w:gridSpan w:val="2"/>
            <w:shd w:val="clear" w:color="auto" w:fill="auto"/>
            <w:tcMar>
              <w:top w:w="15" w:type="dxa"/>
              <w:left w:w="45" w:type="dxa"/>
              <w:bottom w:w="15" w:type="dxa"/>
              <w:right w:w="45" w:type="dxa"/>
            </w:tcMar>
          </w:tcPr>
          <w:p w14:paraId="5DDE055F" w14:textId="30E415E5"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b</w:t>
            </w:r>
            <w:r w:rsidRPr="00EB1C0D">
              <w:rPr>
                <w:rFonts w:ascii="Times New Roman" w:eastAsia="Calibri" w:hAnsi="Times New Roman" w:cs="Times New Roman"/>
                <w:b/>
                <w:sz w:val="24"/>
                <w:szCs w:val="24"/>
                <w:vertAlign w:val="superscript"/>
                <w:lang w:val="ro-RO" w:eastAsia="en-GB"/>
              </w:rPr>
              <w:t>1</w:t>
            </w:r>
            <w:r w:rsidRPr="00EB1C0D">
              <w:rPr>
                <w:rFonts w:ascii="Times New Roman" w:eastAsia="Calibri" w:hAnsi="Times New Roman" w:cs="Times New Roman"/>
                <w:b/>
                <w:sz w:val="24"/>
                <w:szCs w:val="24"/>
                <w:lang w:val="ro-RO" w:eastAsia="en-GB"/>
              </w:rPr>
              <w:t xml:space="preserve">) Pentru </w:t>
            </w:r>
            <w:r w:rsidR="00402DC8"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recomandată, </w:t>
            </w:r>
            <w:r w:rsidR="00402DC8"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impacturile </w:t>
            </w:r>
            <w:r w:rsidR="00402DC8" w:rsidRPr="00EB1C0D">
              <w:rPr>
                <w:rFonts w:ascii="Times New Roman" w:eastAsia="Calibri" w:hAnsi="Times New Roman" w:cs="Times New Roman"/>
                <w:b/>
                <w:sz w:val="24"/>
                <w:szCs w:val="24"/>
                <w:lang w:val="ro-RO" w:eastAsia="en-GB"/>
              </w:rPr>
              <w:t>completând</w:t>
            </w:r>
            <w:r w:rsidRPr="00EB1C0D">
              <w:rPr>
                <w:rFonts w:ascii="Times New Roman" w:eastAsia="Calibri" w:hAnsi="Times New Roman" w:cs="Times New Roman"/>
                <w:b/>
                <w:sz w:val="24"/>
                <w:szCs w:val="24"/>
                <w:lang w:val="ro-RO" w:eastAsia="en-GB"/>
              </w:rPr>
              <w:t xml:space="preserve"> tabelul din anexa la prezentul formular. </w:t>
            </w:r>
            <w:r w:rsidR="00402DC8"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pe larg impacturile sub formă de costuri sau beneficii, inclusiv </w:t>
            </w:r>
            <w:r w:rsidR="00402DC8" w:rsidRPr="00EB1C0D">
              <w:rPr>
                <w:rFonts w:ascii="Times New Roman" w:eastAsia="Calibri" w:hAnsi="Times New Roman" w:cs="Times New Roman"/>
                <w:b/>
                <w:sz w:val="24"/>
                <w:szCs w:val="24"/>
                <w:lang w:val="ro-RO" w:eastAsia="en-GB"/>
              </w:rPr>
              <w:t>părțile</w:t>
            </w:r>
            <w:r w:rsidRPr="00EB1C0D">
              <w:rPr>
                <w:rFonts w:ascii="Times New Roman" w:eastAsia="Calibri" w:hAnsi="Times New Roman" w:cs="Times New Roman"/>
                <w:b/>
                <w:sz w:val="24"/>
                <w:szCs w:val="24"/>
                <w:lang w:val="ro-RO" w:eastAsia="en-GB"/>
              </w:rPr>
              <w:t xml:space="preserve"> interesate care ar putea fi afectate pozitiv </w:t>
            </w:r>
            <w:r w:rsidR="00402DC8"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negativ de acestea</w:t>
            </w:r>
          </w:p>
        </w:tc>
      </w:tr>
      <w:tr w:rsidR="00B468B6" w:rsidRPr="002F5E3B" w14:paraId="7629D9F5" w14:textId="77777777" w:rsidTr="003319EB">
        <w:trPr>
          <w:jc w:val="center"/>
        </w:trPr>
        <w:tc>
          <w:tcPr>
            <w:tcW w:w="5000" w:type="pct"/>
            <w:gridSpan w:val="2"/>
            <w:tcMar>
              <w:top w:w="15" w:type="dxa"/>
              <w:left w:w="45" w:type="dxa"/>
              <w:bottom w:w="15" w:type="dxa"/>
              <w:right w:w="45" w:type="dxa"/>
            </w:tcMar>
          </w:tcPr>
          <w:p w14:paraId="3F612799" w14:textId="7B404C43" w:rsidR="00D318EC" w:rsidRPr="009B397C" w:rsidRDefault="00923A9F" w:rsidP="00923A9F">
            <w:pPr>
              <w:spacing w:before="120" w:after="0"/>
              <w:jc w:val="both"/>
              <w:rPr>
                <w:rFonts w:ascii="Times New Roman" w:eastAsia="Calibri" w:hAnsi="Times New Roman" w:cs="Times New Roman"/>
                <w:b/>
                <w:bCs/>
                <w:sz w:val="24"/>
                <w:szCs w:val="24"/>
                <w:lang w:val="ro-RO" w:eastAsia="ja-JP"/>
              </w:rPr>
            </w:pPr>
            <w:r w:rsidRPr="009B397C">
              <w:rPr>
                <w:rFonts w:ascii="Times New Roman" w:eastAsia="Calibri" w:hAnsi="Times New Roman" w:cs="Times New Roman"/>
                <w:b/>
                <w:bCs/>
                <w:sz w:val="24"/>
                <w:szCs w:val="24"/>
                <w:lang w:val="ro-RO" w:eastAsia="ja-JP"/>
              </w:rPr>
              <w:t>C</w:t>
            </w:r>
            <w:r w:rsidR="00D318EC" w:rsidRPr="009B397C">
              <w:rPr>
                <w:rFonts w:ascii="Times New Roman" w:eastAsia="Calibri" w:hAnsi="Times New Roman" w:cs="Times New Roman"/>
                <w:b/>
                <w:bCs/>
                <w:sz w:val="24"/>
                <w:szCs w:val="24"/>
                <w:lang w:val="ro-RO" w:eastAsia="ja-JP"/>
              </w:rPr>
              <w:t>ost</w:t>
            </w:r>
            <w:r w:rsidR="00CB35C7" w:rsidRPr="009B397C">
              <w:rPr>
                <w:rFonts w:ascii="Times New Roman" w:eastAsia="Calibri" w:hAnsi="Times New Roman" w:cs="Times New Roman"/>
                <w:b/>
                <w:bCs/>
                <w:sz w:val="24"/>
                <w:szCs w:val="24"/>
                <w:lang w:val="ro-RO" w:eastAsia="ja-JP"/>
              </w:rPr>
              <w:t>urile desfășurării afacerilor și povara administrativă.</w:t>
            </w:r>
          </w:p>
          <w:p w14:paraId="1F7E606D" w14:textId="214B2F71" w:rsidR="00B62DEC" w:rsidRDefault="00DD60F0"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hAnsi="Times New Roman" w:cs="Times New Roman"/>
                <w:sz w:val="24"/>
                <w:szCs w:val="28"/>
                <w:lang w:val="ro-RO"/>
              </w:rPr>
              <w:t xml:space="preserve">Odată cu aprobarea </w:t>
            </w:r>
            <w:r w:rsidRPr="00DD60F0">
              <w:rPr>
                <w:rFonts w:ascii="Times New Roman" w:hAnsi="Times New Roman" w:cs="Times New Roman"/>
                <w:sz w:val="24"/>
                <w:szCs w:val="28"/>
                <w:lang w:val="ro-RO"/>
              </w:rPr>
              <w:t>proiectul</w:t>
            </w:r>
            <w:r>
              <w:rPr>
                <w:rFonts w:ascii="Times New Roman" w:hAnsi="Times New Roman" w:cs="Times New Roman"/>
                <w:sz w:val="24"/>
                <w:szCs w:val="28"/>
                <w:lang w:val="ro-RO"/>
              </w:rPr>
              <w:t>ui</w:t>
            </w:r>
            <w:r w:rsidRPr="00DD60F0">
              <w:rPr>
                <w:rFonts w:ascii="Times New Roman" w:hAnsi="Times New Roman" w:cs="Times New Roman"/>
                <w:sz w:val="24"/>
                <w:szCs w:val="28"/>
                <w:lang w:val="ro-RO"/>
              </w:rPr>
              <w:t xml:space="preserve"> </w:t>
            </w:r>
            <w:proofErr w:type="spellStart"/>
            <w:r w:rsidRPr="00DD60F0">
              <w:rPr>
                <w:rFonts w:ascii="Times New Roman" w:hAnsi="Times New Roman" w:cs="Times New Roman"/>
                <w:sz w:val="24"/>
                <w:szCs w:val="28"/>
                <w:lang w:val="ro-RO"/>
              </w:rPr>
              <w:t>Hotărîrii</w:t>
            </w:r>
            <w:proofErr w:type="spellEnd"/>
            <w:r w:rsidRPr="00DD60F0">
              <w:rPr>
                <w:rFonts w:ascii="Times New Roman" w:hAnsi="Times New Roman" w:cs="Times New Roman"/>
                <w:sz w:val="24"/>
                <w:szCs w:val="28"/>
                <w:lang w:val="ro-RO"/>
              </w:rPr>
              <w:t xml:space="preserve"> Guvernului cu privire la modificarea </w:t>
            </w:r>
            <w:proofErr w:type="spellStart"/>
            <w:r w:rsidRPr="00DD60F0">
              <w:rPr>
                <w:rFonts w:ascii="Times New Roman" w:hAnsi="Times New Roman" w:cs="Times New Roman"/>
                <w:sz w:val="24"/>
                <w:szCs w:val="28"/>
                <w:lang w:val="ro-RO"/>
              </w:rPr>
              <w:t>Hotărîrii</w:t>
            </w:r>
            <w:proofErr w:type="spellEnd"/>
            <w:r w:rsidRPr="00DD60F0">
              <w:rPr>
                <w:rFonts w:ascii="Times New Roman" w:hAnsi="Times New Roman" w:cs="Times New Roman"/>
                <w:sz w:val="24"/>
                <w:szCs w:val="28"/>
                <w:lang w:val="ro-RO"/>
              </w:rPr>
              <w:t xml:space="preserve"> Guvernului nr. 750/2016 pentru aprobarea regulamentelor privind </w:t>
            </w:r>
            <w:proofErr w:type="spellStart"/>
            <w:r w:rsidRPr="00DD60F0">
              <w:rPr>
                <w:rFonts w:ascii="Times New Roman" w:hAnsi="Times New Roman" w:cs="Times New Roman"/>
                <w:sz w:val="24"/>
                <w:szCs w:val="28"/>
                <w:lang w:val="ro-RO"/>
              </w:rPr>
              <w:t>cerinţele</w:t>
            </w:r>
            <w:proofErr w:type="spellEnd"/>
            <w:r w:rsidRPr="00DD60F0">
              <w:rPr>
                <w:rFonts w:ascii="Times New Roman" w:hAnsi="Times New Roman" w:cs="Times New Roman"/>
                <w:sz w:val="24"/>
                <w:szCs w:val="28"/>
                <w:lang w:val="ro-RO"/>
              </w:rPr>
              <w:t xml:space="preserve"> în materie de proiectare ecologică aplicabile produselor cu impact energetic și abrogarea unei hotărâri de guvern</w:t>
            </w:r>
            <w:r w:rsidR="000739D1">
              <w:rPr>
                <w:rFonts w:ascii="Times New Roman" w:hAnsi="Times New Roman" w:cs="Times New Roman"/>
                <w:sz w:val="24"/>
                <w:szCs w:val="28"/>
                <w:lang w:val="ro-RO"/>
              </w:rPr>
              <w:t xml:space="preserve"> și respectiv </w:t>
            </w:r>
            <w:r w:rsidR="00810683">
              <w:rPr>
                <w:rFonts w:ascii="Times New Roman" w:hAnsi="Times New Roman" w:cs="Times New Roman"/>
                <w:sz w:val="24"/>
                <w:szCs w:val="28"/>
                <w:lang w:val="ro-RO"/>
              </w:rPr>
              <w:t>intrarea</w:t>
            </w:r>
            <w:r w:rsidR="000739D1">
              <w:rPr>
                <w:rFonts w:ascii="Times New Roman" w:hAnsi="Times New Roman" w:cs="Times New Roman"/>
                <w:sz w:val="24"/>
                <w:szCs w:val="28"/>
                <w:lang w:val="ro-RO"/>
              </w:rPr>
              <w:t xml:space="preserve"> în vigoare a Regulamentului </w:t>
            </w:r>
            <w:r w:rsidR="00810683" w:rsidRPr="0002702C">
              <w:rPr>
                <w:rFonts w:ascii="Times New Roman" w:eastAsia="Batang" w:hAnsi="Times New Roman" w:cs="Times New Roman"/>
                <w:bCs/>
                <w:sz w:val="24"/>
                <w:szCs w:val="24"/>
                <w:lang w:val="ro-RO" w:eastAsia="ja-JP"/>
              </w:rPr>
              <w:t xml:space="preserve">cu privire la cerințele de proiectare ecologică e pentru </w:t>
            </w:r>
            <w:proofErr w:type="spellStart"/>
            <w:r w:rsidR="00810683" w:rsidRPr="0002702C">
              <w:rPr>
                <w:rFonts w:ascii="Times New Roman" w:eastAsia="Batang" w:hAnsi="Times New Roman" w:cs="Times New Roman"/>
                <w:bCs/>
                <w:sz w:val="24"/>
                <w:szCs w:val="24"/>
                <w:lang w:val="ro-RO" w:eastAsia="ja-JP"/>
              </w:rPr>
              <w:t>instalaţiile</w:t>
            </w:r>
            <w:proofErr w:type="spellEnd"/>
            <w:r w:rsidR="00810683" w:rsidRPr="0002702C">
              <w:rPr>
                <w:rFonts w:ascii="Times New Roman" w:eastAsia="Batang" w:hAnsi="Times New Roman" w:cs="Times New Roman"/>
                <w:bCs/>
                <w:sz w:val="24"/>
                <w:szCs w:val="24"/>
                <w:lang w:val="ro-RO" w:eastAsia="ja-JP"/>
              </w:rPr>
              <w:t xml:space="preserve"> pentru încălzirea incintelor </w:t>
            </w:r>
            <w:proofErr w:type="spellStart"/>
            <w:r w:rsidR="00810683" w:rsidRPr="0002702C">
              <w:rPr>
                <w:rFonts w:ascii="Times New Roman" w:eastAsia="Batang" w:hAnsi="Times New Roman" w:cs="Times New Roman"/>
                <w:bCs/>
                <w:sz w:val="24"/>
                <w:szCs w:val="24"/>
                <w:lang w:val="ro-RO" w:eastAsia="ja-JP"/>
              </w:rPr>
              <w:t>şi</w:t>
            </w:r>
            <w:proofErr w:type="spellEnd"/>
            <w:r w:rsidR="00810683" w:rsidRPr="0002702C">
              <w:rPr>
                <w:rFonts w:ascii="Times New Roman" w:eastAsia="Batang" w:hAnsi="Times New Roman" w:cs="Times New Roman"/>
                <w:bCs/>
                <w:sz w:val="24"/>
                <w:szCs w:val="24"/>
                <w:lang w:val="ro-RO" w:eastAsia="ja-JP"/>
              </w:rPr>
              <w:t xml:space="preserve"> </w:t>
            </w:r>
            <w:proofErr w:type="spellStart"/>
            <w:r w:rsidR="00810683" w:rsidRPr="0002702C">
              <w:rPr>
                <w:rFonts w:ascii="Times New Roman" w:eastAsia="Batang" w:hAnsi="Times New Roman" w:cs="Times New Roman"/>
                <w:bCs/>
                <w:sz w:val="24"/>
                <w:szCs w:val="24"/>
                <w:lang w:val="ro-RO" w:eastAsia="ja-JP"/>
              </w:rPr>
              <w:t>instalaţiile</w:t>
            </w:r>
            <w:proofErr w:type="spellEnd"/>
            <w:r w:rsidR="00810683">
              <w:rPr>
                <w:rFonts w:ascii="Times New Roman" w:eastAsia="Batang" w:hAnsi="Times New Roman" w:cs="Times New Roman"/>
                <w:bCs/>
                <w:sz w:val="24"/>
                <w:szCs w:val="24"/>
                <w:lang w:val="ro-RO" w:eastAsia="ja-JP"/>
              </w:rPr>
              <w:t xml:space="preserve"> de încălzire cu </w:t>
            </w:r>
            <w:proofErr w:type="spellStart"/>
            <w:r w:rsidR="00810683">
              <w:rPr>
                <w:rFonts w:ascii="Times New Roman" w:eastAsia="Batang" w:hAnsi="Times New Roman" w:cs="Times New Roman"/>
                <w:bCs/>
                <w:sz w:val="24"/>
                <w:szCs w:val="24"/>
                <w:lang w:val="ro-RO" w:eastAsia="ja-JP"/>
              </w:rPr>
              <w:t>funcţie</w:t>
            </w:r>
            <w:proofErr w:type="spellEnd"/>
            <w:r w:rsidR="00810683">
              <w:rPr>
                <w:rFonts w:ascii="Times New Roman" w:eastAsia="Batang" w:hAnsi="Times New Roman" w:cs="Times New Roman"/>
                <w:bCs/>
                <w:sz w:val="24"/>
                <w:szCs w:val="24"/>
                <w:lang w:val="ro-RO" w:eastAsia="ja-JP"/>
              </w:rPr>
              <w:t xml:space="preserve"> dublă, atât producătorii</w:t>
            </w:r>
            <w:r w:rsidR="002D383C">
              <w:rPr>
                <w:rFonts w:ascii="Times New Roman" w:eastAsia="Batang" w:hAnsi="Times New Roman" w:cs="Times New Roman"/>
                <w:bCs/>
                <w:sz w:val="24"/>
                <w:szCs w:val="24"/>
                <w:lang w:val="ro-RO" w:eastAsia="ja-JP"/>
              </w:rPr>
              <w:t xml:space="preserve"> cât și distribuitorii</w:t>
            </w:r>
            <w:r w:rsidR="00810683">
              <w:rPr>
                <w:rFonts w:ascii="Times New Roman" w:eastAsia="Batang" w:hAnsi="Times New Roman" w:cs="Times New Roman"/>
                <w:bCs/>
                <w:sz w:val="24"/>
                <w:szCs w:val="24"/>
                <w:lang w:val="ro-RO" w:eastAsia="ja-JP"/>
              </w:rPr>
              <w:t xml:space="preserve"> de instalații care cad sub incidența </w:t>
            </w:r>
            <w:r w:rsidR="00B62DEC">
              <w:rPr>
                <w:rFonts w:ascii="Times New Roman" w:eastAsia="Batang" w:hAnsi="Times New Roman" w:cs="Times New Roman"/>
                <w:bCs/>
                <w:sz w:val="24"/>
                <w:szCs w:val="24"/>
                <w:lang w:val="ro-RO" w:eastAsia="ja-JP"/>
              </w:rPr>
              <w:t>prezentului Regulament vor fi nevoiți să se conformeze noilor cerințe de proiectare ecologică</w:t>
            </w:r>
            <w:r w:rsidR="0013304F">
              <w:rPr>
                <w:rFonts w:ascii="Times New Roman" w:eastAsia="Batang" w:hAnsi="Times New Roman" w:cs="Times New Roman"/>
                <w:bCs/>
                <w:sz w:val="24"/>
                <w:szCs w:val="24"/>
                <w:lang w:val="ro-RO" w:eastAsia="ja-JP"/>
              </w:rPr>
              <w:t xml:space="preserve">. </w:t>
            </w:r>
          </w:p>
          <w:p w14:paraId="2A16788F" w14:textId="77777777" w:rsidR="0013304F" w:rsidRPr="0013304F" w:rsidRDefault="0013304F" w:rsidP="00923A9F">
            <w:pPr>
              <w:tabs>
                <w:tab w:val="left" w:pos="1418"/>
              </w:tabs>
              <w:spacing w:before="120" w:after="0"/>
              <w:jc w:val="both"/>
              <w:rPr>
                <w:rFonts w:ascii="Times New Roman" w:eastAsia="Batang" w:hAnsi="Times New Roman" w:cs="Times New Roman"/>
                <w:bCs/>
                <w:sz w:val="24"/>
                <w:szCs w:val="24"/>
                <w:lang w:val="ro-RO" w:eastAsia="ja-JP"/>
              </w:rPr>
            </w:pPr>
            <w:r w:rsidRPr="0013304F">
              <w:rPr>
                <w:rFonts w:ascii="Times New Roman" w:eastAsia="Batang" w:hAnsi="Times New Roman" w:cs="Times New Roman"/>
                <w:bCs/>
                <w:sz w:val="24"/>
                <w:szCs w:val="24"/>
                <w:lang w:val="ro-RO" w:eastAsia="ja-JP"/>
              </w:rPr>
              <w:t xml:space="preserve">Ținem să menționăm că, la moment, în Republica Moldova nu au fost identificați producători de instalații care se clasifică sub aria de aplicare a Regulamentului promovat prin prezentul proiect de </w:t>
            </w:r>
            <w:proofErr w:type="spellStart"/>
            <w:r w:rsidRPr="0013304F">
              <w:rPr>
                <w:rFonts w:ascii="Times New Roman" w:eastAsia="Batang" w:hAnsi="Times New Roman" w:cs="Times New Roman"/>
                <w:bCs/>
                <w:sz w:val="24"/>
                <w:szCs w:val="24"/>
                <w:lang w:val="ro-RO" w:eastAsia="ja-JP"/>
              </w:rPr>
              <w:t>Hotărîre</w:t>
            </w:r>
            <w:proofErr w:type="spellEnd"/>
            <w:r w:rsidRPr="0013304F">
              <w:rPr>
                <w:rFonts w:ascii="Times New Roman" w:eastAsia="Batang" w:hAnsi="Times New Roman" w:cs="Times New Roman"/>
                <w:bCs/>
                <w:sz w:val="24"/>
                <w:szCs w:val="24"/>
                <w:lang w:val="ro-RO" w:eastAsia="ja-JP"/>
              </w:rPr>
              <w:t>, cu toate acestea există peste 45 de distribuitori oficiali de astfel de instalații.</w:t>
            </w:r>
          </w:p>
          <w:p w14:paraId="5C67B84C" w14:textId="3B1BD440" w:rsidR="0013304F" w:rsidRDefault="0013304F" w:rsidP="00923A9F">
            <w:pPr>
              <w:tabs>
                <w:tab w:val="left" w:pos="1418"/>
              </w:tabs>
              <w:spacing w:before="120" w:after="0"/>
              <w:jc w:val="both"/>
              <w:rPr>
                <w:rFonts w:ascii="Times New Roman" w:eastAsia="Batang" w:hAnsi="Times New Roman" w:cs="Times New Roman"/>
                <w:bCs/>
                <w:sz w:val="24"/>
                <w:szCs w:val="24"/>
                <w:lang w:val="ro-RO" w:eastAsia="ja-JP"/>
              </w:rPr>
            </w:pPr>
            <w:r w:rsidRPr="0013304F">
              <w:rPr>
                <w:rFonts w:ascii="Times New Roman" w:eastAsia="Batang" w:hAnsi="Times New Roman" w:cs="Times New Roman"/>
                <w:bCs/>
                <w:sz w:val="24"/>
                <w:szCs w:val="24"/>
                <w:lang w:val="ro-RO" w:eastAsia="ja-JP"/>
              </w:rPr>
              <w:t xml:space="preserve">Printre aceștia se enumeră companii precum: </w:t>
            </w:r>
            <w:proofErr w:type="spellStart"/>
            <w:r w:rsidRPr="0013304F">
              <w:rPr>
                <w:rFonts w:ascii="Times New Roman" w:eastAsia="Batang" w:hAnsi="Times New Roman" w:cs="Times New Roman"/>
                <w:bCs/>
                <w:sz w:val="24"/>
                <w:szCs w:val="24"/>
                <w:lang w:val="ro-RO" w:eastAsia="ja-JP"/>
              </w:rPr>
              <w:t>Zikkurat</w:t>
            </w:r>
            <w:proofErr w:type="spellEnd"/>
            <w:r w:rsidRPr="0013304F">
              <w:rPr>
                <w:rFonts w:ascii="Times New Roman" w:eastAsia="Batang" w:hAnsi="Times New Roman" w:cs="Times New Roman"/>
                <w:bCs/>
                <w:sz w:val="24"/>
                <w:szCs w:val="24"/>
                <w:lang w:val="ro-RO" w:eastAsia="ja-JP"/>
              </w:rPr>
              <w:t xml:space="preserve"> Market (</w:t>
            </w:r>
            <w:proofErr w:type="spellStart"/>
            <w:r w:rsidRPr="0013304F">
              <w:rPr>
                <w:rFonts w:ascii="Times New Roman" w:eastAsia="Batang" w:hAnsi="Times New Roman" w:cs="Times New Roman"/>
                <w:bCs/>
                <w:sz w:val="24"/>
                <w:szCs w:val="24"/>
                <w:lang w:val="ro-RO" w:eastAsia="ja-JP"/>
              </w:rPr>
              <w:t>Sticlamont</w:t>
            </w:r>
            <w:proofErr w:type="spellEnd"/>
            <w:r w:rsidRPr="0013304F">
              <w:rPr>
                <w:rFonts w:ascii="Times New Roman" w:eastAsia="Batang" w:hAnsi="Times New Roman" w:cs="Times New Roman"/>
                <w:bCs/>
                <w:sz w:val="24"/>
                <w:szCs w:val="24"/>
                <w:lang w:val="ro-RO" w:eastAsia="ja-JP"/>
              </w:rPr>
              <w:t xml:space="preserve"> SA); </w:t>
            </w:r>
            <w:proofErr w:type="spellStart"/>
            <w:r w:rsidRPr="0013304F">
              <w:rPr>
                <w:rFonts w:ascii="Times New Roman" w:eastAsia="Batang" w:hAnsi="Times New Roman" w:cs="Times New Roman"/>
                <w:bCs/>
                <w:sz w:val="24"/>
                <w:szCs w:val="24"/>
                <w:lang w:val="ro-RO" w:eastAsia="ja-JP"/>
              </w:rPr>
              <w:t>Termostal</w:t>
            </w:r>
            <w:proofErr w:type="spellEnd"/>
            <w:r w:rsidRPr="0013304F">
              <w:rPr>
                <w:rFonts w:ascii="Times New Roman" w:eastAsia="Batang" w:hAnsi="Times New Roman" w:cs="Times New Roman"/>
                <w:bCs/>
                <w:sz w:val="24"/>
                <w:szCs w:val="24"/>
                <w:lang w:val="ro-RO" w:eastAsia="ja-JP"/>
              </w:rPr>
              <w:t xml:space="preserve"> </w:t>
            </w:r>
            <w:proofErr w:type="spellStart"/>
            <w:r w:rsidRPr="0013304F">
              <w:rPr>
                <w:rFonts w:ascii="Times New Roman" w:eastAsia="Batang" w:hAnsi="Times New Roman" w:cs="Times New Roman"/>
                <w:bCs/>
                <w:sz w:val="24"/>
                <w:szCs w:val="24"/>
                <w:lang w:val="ro-RO" w:eastAsia="ja-JP"/>
              </w:rPr>
              <w:t>Imex</w:t>
            </w:r>
            <w:proofErr w:type="spellEnd"/>
            <w:r w:rsidRPr="0013304F">
              <w:rPr>
                <w:rFonts w:ascii="Times New Roman" w:eastAsia="Batang" w:hAnsi="Times New Roman" w:cs="Times New Roman"/>
                <w:bCs/>
                <w:sz w:val="24"/>
                <w:szCs w:val="24"/>
                <w:lang w:val="ro-RO" w:eastAsia="ja-JP"/>
              </w:rPr>
              <w:t xml:space="preserve"> SRL; </w:t>
            </w:r>
            <w:proofErr w:type="spellStart"/>
            <w:r w:rsidRPr="0013304F">
              <w:rPr>
                <w:rFonts w:ascii="Times New Roman" w:eastAsia="Batang" w:hAnsi="Times New Roman" w:cs="Times New Roman"/>
                <w:bCs/>
                <w:sz w:val="24"/>
                <w:szCs w:val="24"/>
                <w:lang w:val="ro-RO" w:eastAsia="ja-JP"/>
              </w:rPr>
              <w:t>Euroterm</w:t>
            </w:r>
            <w:proofErr w:type="spellEnd"/>
            <w:r w:rsidRPr="0013304F">
              <w:rPr>
                <w:rFonts w:ascii="Times New Roman" w:eastAsia="Batang" w:hAnsi="Times New Roman" w:cs="Times New Roman"/>
                <w:bCs/>
                <w:sz w:val="24"/>
                <w:szCs w:val="24"/>
                <w:lang w:val="ro-RO" w:eastAsia="ja-JP"/>
              </w:rPr>
              <w:t xml:space="preserve"> Group SRL ICS; Romstal Trade SRL IM; </w:t>
            </w:r>
            <w:proofErr w:type="spellStart"/>
            <w:r w:rsidRPr="0013304F">
              <w:rPr>
                <w:rFonts w:ascii="Times New Roman" w:eastAsia="Batang" w:hAnsi="Times New Roman" w:cs="Times New Roman"/>
                <w:bCs/>
                <w:sz w:val="24"/>
                <w:szCs w:val="24"/>
                <w:lang w:val="ro-RO" w:eastAsia="ja-JP"/>
              </w:rPr>
              <w:t>Supraten</w:t>
            </w:r>
            <w:proofErr w:type="spellEnd"/>
            <w:r w:rsidRPr="0013304F">
              <w:rPr>
                <w:rFonts w:ascii="Times New Roman" w:eastAsia="Batang" w:hAnsi="Times New Roman" w:cs="Times New Roman"/>
                <w:bCs/>
                <w:sz w:val="24"/>
                <w:szCs w:val="24"/>
                <w:lang w:val="ro-RO" w:eastAsia="ja-JP"/>
              </w:rPr>
              <w:t xml:space="preserve"> SA; Cap - Cap (Duo - Ego SRL); </w:t>
            </w:r>
            <w:proofErr w:type="spellStart"/>
            <w:r w:rsidRPr="0013304F">
              <w:rPr>
                <w:rFonts w:ascii="Times New Roman" w:eastAsia="Batang" w:hAnsi="Times New Roman" w:cs="Times New Roman"/>
                <w:bCs/>
                <w:sz w:val="24"/>
                <w:szCs w:val="24"/>
                <w:lang w:val="ro-RO" w:eastAsia="ja-JP"/>
              </w:rPr>
              <w:t>Avi</w:t>
            </w:r>
            <w:proofErr w:type="spellEnd"/>
            <w:r w:rsidRPr="0013304F">
              <w:rPr>
                <w:rFonts w:ascii="Times New Roman" w:eastAsia="Batang" w:hAnsi="Times New Roman" w:cs="Times New Roman"/>
                <w:bCs/>
                <w:sz w:val="24"/>
                <w:szCs w:val="24"/>
                <w:lang w:val="ro-RO" w:eastAsia="ja-JP"/>
              </w:rPr>
              <w:t xml:space="preserve"> Clima SRL etc. de menționat că, aceste entități cât și alte părți interesate vor fi invitați să participe la consultarea proiectului Analizei de Impact și a Hotărârii de Guvern.</w:t>
            </w:r>
          </w:p>
          <w:p w14:paraId="2F4F84D5" w14:textId="7C3C9BAA" w:rsidR="002522C2" w:rsidRDefault="003B3CA1"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Astfel,</w:t>
            </w:r>
            <w:r w:rsidR="00736AEF">
              <w:rPr>
                <w:rFonts w:ascii="Times New Roman" w:eastAsia="Batang" w:hAnsi="Times New Roman" w:cs="Times New Roman"/>
                <w:bCs/>
                <w:sz w:val="24"/>
                <w:szCs w:val="24"/>
                <w:lang w:val="ro-RO" w:eastAsia="ja-JP"/>
              </w:rPr>
              <w:t xml:space="preserve"> costurile desfășurării afacerilor vor crește doar pentru distribuitorii de astfel de produse, și se vor limita la cheltuielile</w:t>
            </w:r>
            <w:r w:rsidR="006932E8">
              <w:rPr>
                <w:rFonts w:ascii="Times New Roman" w:eastAsia="Batang" w:hAnsi="Times New Roman" w:cs="Times New Roman"/>
                <w:bCs/>
                <w:sz w:val="24"/>
                <w:szCs w:val="24"/>
                <w:lang w:val="ro-RO" w:eastAsia="ja-JP"/>
              </w:rPr>
              <w:t xml:space="preserve"> organizaționale, precum, identificarea producătorilor care produc insta</w:t>
            </w:r>
            <w:r w:rsidR="002645D7">
              <w:rPr>
                <w:rFonts w:ascii="Times New Roman" w:eastAsia="Batang" w:hAnsi="Times New Roman" w:cs="Times New Roman"/>
                <w:bCs/>
                <w:sz w:val="24"/>
                <w:szCs w:val="24"/>
                <w:lang w:val="ro-RO" w:eastAsia="ja-JP"/>
              </w:rPr>
              <w:t>lații conform</w:t>
            </w:r>
            <w:r w:rsidR="006932E8">
              <w:rPr>
                <w:rFonts w:ascii="Times New Roman" w:eastAsia="Batang" w:hAnsi="Times New Roman" w:cs="Times New Roman"/>
                <w:bCs/>
                <w:sz w:val="24"/>
                <w:szCs w:val="24"/>
                <w:lang w:val="ro-RO" w:eastAsia="ja-JP"/>
              </w:rPr>
              <w:t xml:space="preserve"> cerințelor</w:t>
            </w:r>
            <w:r w:rsidR="002645D7">
              <w:rPr>
                <w:rFonts w:ascii="Times New Roman" w:eastAsia="Batang" w:hAnsi="Times New Roman" w:cs="Times New Roman"/>
                <w:bCs/>
                <w:sz w:val="24"/>
                <w:szCs w:val="24"/>
                <w:lang w:val="ro-RO" w:eastAsia="ja-JP"/>
              </w:rPr>
              <w:t xml:space="preserve"> stabilite în Regu</w:t>
            </w:r>
            <w:r w:rsidR="001F5D21">
              <w:rPr>
                <w:rFonts w:ascii="Times New Roman" w:eastAsia="Batang" w:hAnsi="Times New Roman" w:cs="Times New Roman"/>
                <w:bCs/>
                <w:sz w:val="24"/>
                <w:szCs w:val="24"/>
                <w:lang w:val="ro-RO" w:eastAsia="ja-JP"/>
              </w:rPr>
              <w:t>l</w:t>
            </w:r>
            <w:r w:rsidR="002645D7">
              <w:rPr>
                <w:rFonts w:ascii="Times New Roman" w:eastAsia="Batang" w:hAnsi="Times New Roman" w:cs="Times New Roman"/>
                <w:bCs/>
                <w:sz w:val="24"/>
                <w:szCs w:val="24"/>
                <w:lang w:val="ro-RO" w:eastAsia="ja-JP"/>
              </w:rPr>
              <w:t>ament</w:t>
            </w:r>
            <w:r w:rsidR="006932E8">
              <w:rPr>
                <w:rFonts w:ascii="Times New Roman" w:eastAsia="Batang" w:hAnsi="Times New Roman" w:cs="Times New Roman"/>
                <w:bCs/>
                <w:sz w:val="24"/>
                <w:szCs w:val="24"/>
                <w:lang w:val="ro-RO" w:eastAsia="ja-JP"/>
              </w:rPr>
              <w:t xml:space="preserve"> </w:t>
            </w:r>
            <w:r w:rsidR="002645D7">
              <w:rPr>
                <w:rFonts w:ascii="Times New Roman" w:eastAsia="Batang" w:hAnsi="Times New Roman" w:cs="Times New Roman"/>
                <w:bCs/>
                <w:sz w:val="24"/>
                <w:szCs w:val="24"/>
                <w:lang w:val="ro-RO" w:eastAsia="ja-JP"/>
              </w:rPr>
              <w:t>și asigurarea corectitudinii documentației tehnic</w:t>
            </w:r>
            <w:r w:rsidR="001F5D21">
              <w:rPr>
                <w:rFonts w:ascii="Times New Roman" w:eastAsia="Batang" w:hAnsi="Times New Roman" w:cs="Times New Roman"/>
                <w:bCs/>
                <w:sz w:val="24"/>
                <w:szCs w:val="24"/>
                <w:lang w:val="ro-RO" w:eastAsia="ja-JP"/>
              </w:rPr>
              <w:t xml:space="preserve">e a produsului comercializat. </w:t>
            </w:r>
          </w:p>
          <w:p w14:paraId="7978E2C6" w14:textId="77777777" w:rsidR="00577748" w:rsidRDefault="001F5D21"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Având în vedere că, </w:t>
            </w:r>
            <w:bookmarkStart w:id="0" w:name="_GoBack"/>
            <w:r>
              <w:rPr>
                <w:rFonts w:ascii="Times New Roman" w:eastAsia="Batang" w:hAnsi="Times New Roman" w:cs="Times New Roman"/>
                <w:bCs/>
                <w:sz w:val="24"/>
                <w:szCs w:val="24"/>
                <w:lang w:val="ro-RO" w:eastAsia="ja-JP"/>
              </w:rPr>
              <w:t>cerințe</w:t>
            </w:r>
            <w:r w:rsidR="008C0A54">
              <w:rPr>
                <w:rFonts w:ascii="Times New Roman" w:eastAsia="Batang" w:hAnsi="Times New Roman" w:cs="Times New Roman"/>
                <w:bCs/>
                <w:sz w:val="24"/>
                <w:szCs w:val="24"/>
                <w:lang w:val="ro-RO" w:eastAsia="ja-JP"/>
              </w:rPr>
              <w:t>le tehnice</w:t>
            </w:r>
            <w:r w:rsidR="009F471B">
              <w:rPr>
                <w:rFonts w:ascii="Times New Roman" w:eastAsia="Batang" w:hAnsi="Times New Roman" w:cs="Times New Roman"/>
                <w:bCs/>
                <w:sz w:val="24"/>
                <w:szCs w:val="24"/>
                <w:lang w:val="ro-RO" w:eastAsia="ja-JP"/>
              </w:rPr>
              <w:t xml:space="preserve"> stabilite în</w:t>
            </w:r>
            <w:r w:rsidR="008C0A54">
              <w:rPr>
                <w:rFonts w:ascii="Times New Roman" w:eastAsia="Batang" w:hAnsi="Times New Roman" w:cs="Times New Roman"/>
                <w:bCs/>
                <w:sz w:val="24"/>
                <w:szCs w:val="24"/>
                <w:lang w:val="ro-RO" w:eastAsia="ja-JP"/>
              </w:rPr>
              <w:t xml:space="preserve"> prezentul Regulament</w:t>
            </w:r>
            <w:r w:rsidR="009F471B">
              <w:rPr>
                <w:rFonts w:ascii="Times New Roman" w:eastAsia="Batang" w:hAnsi="Times New Roman" w:cs="Times New Roman"/>
                <w:bCs/>
                <w:sz w:val="24"/>
                <w:szCs w:val="24"/>
                <w:lang w:val="ro-RO" w:eastAsia="ja-JP"/>
              </w:rPr>
              <w:t>,</w:t>
            </w:r>
            <w:r>
              <w:rPr>
                <w:rFonts w:ascii="Times New Roman" w:eastAsia="Batang" w:hAnsi="Times New Roman" w:cs="Times New Roman"/>
                <w:bCs/>
                <w:sz w:val="24"/>
                <w:szCs w:val="24"/>
                <w:lang w:val="ro-RO" w:eastAsia="ja-JP"/>
              </w:rPr>
              <w:t xml:space="preserve"> </w:t>
            </w:r>
            <w:r w:rsidR="008C0A54">
              <w:rPr>
                <w:rFonts w:ascii="Times New Roman" w:eastAsia="Batang" w:hAnsi="Times New Roman" w:cs="Times New Roman"/>
                <w:bCs/>
                <w:sz w:val="24"/>
                <w:szCs w:val="24"/>
                <w:lang w:val="ro-RO" w:eastAsia="ja-JP"/>
              </w:rPr>
              <w:t>în Uniunea Euro</w:t>
            </w:r>
            <w:r w:rsidR="009F471B">
              <w:rPr>
                <w:rFonts w:ascii="Times New Roman" w:eastAsia="Batang" w:hAnsi="Times New Roman" w:cs="Times New Roman"/>
                <w:bCs/>
                <w:sz w:val="24"/>
                <w:szCs w:val="24"/>
                <w:lang w:val="ro-RO" w:eastAsia="ja-JP"/>
              </w:rPr>
              <w:t xml:space="preserve">peană, </w:t>
            </w:r>
            <w:r>
              <w:rPr>
                <w:rFonts w:ascii="Times New Roman" w:eastAsia="Batang" w:hAnsi="Times New Roman" w:cs="Times New Roman"/>
                <w:bCs/>
                <w:sz w:val="24"/>
                <w:szCs w:val="24"/>
                <w:lang w:val="ro-RO" w:eastAsia="ja-JP"/>
              </w:rPr>
              <w:t xml:space="preserve">sunt </w:t>
            </w:r>
            <w:r w:rsidR="008C0A54">
              <w:rPr>
                <w:rFonts w:ascii="Times New Roman" w:eastAsia="Batang" w:hAnsi="Times New Roman" w:cs="Times New Roman"/>
                <w:bCs/>
                <w:sz w:val="24"/>
                <w:szCs w:val="24"/>
                <w:lang w:val="ro-RO" w:eastAsia="ja-JP"/>
              </w:rPr>
              <w:t xml:space="preserve">obligatorii </w:t>
            </w:r>
            <w:r w:rsidR="009F471B">
              <w:rPr>
                <w:rFonts w:ascii="Times New Roman" w:eastAsia="Batang" w:hAnsi="Times New Roman" w:cs="Times New Roman"/>
                <w:bCs/>
                <w:sz w:val="24"/>
                <w:szCs w:val="24"/>
                <w:lang w:val="ro-RO" w:eastAsia="ja-JP"/>
              </w:rPr>
              <w:t>din anul 2013, producătorii orientați spre piața UE au reușit să-și adapteze producția la cerințele acesteia și respect</w:t>
            </w:r>
            <w:bookmarkEnd w:id="0"/>
            <w:r w:rsidR="009F471B">
              <w:rPr>
                <w:rFonts w:ascii="Times New Roman" w:eastAsia="Batang" w:hAnsi="Times New Roman" w:cs="Times New Roman"/>
                <w:bCs/>
                <w:sz w:val="24"/>
                <w:szCs w:val="24"/>
                <w:lang w:val="ro-RO" w:eastAsia="ja-JP"/>
              </w:rPr>
              <w:t>iv nu prezintă o dificu</w:t>
            </w:r>
            <w:r w:rsidR="003B3CA1">
              <w:rPr>
                <w:rFonts w:ascii="Times New Roman" w:eastAsia="Batang" w:hAnsi="Times New Roman" w:cs="Times New Roman"/>
                <w:bCs/>
                <w:sz w:val="24"/>
                <w:szCs w:val="24"/>
                <w:lang w:val="ro-RO" w:eastAsia="ja-JP"/>
              </w:rPr>
              <w:t>l</w:t>
            </w:r>
            <w:r w:rsidR="009F471B">
              <w:rPr>
                <w:rFonts w:ascii="Times New Roman" w:eastAsia="Batang" w:hAnsi="Times New Roman" w:cs="Times New Roman"/>
                <w:bCs/>
                <w:sz w:val="24"/>
                <w:szCs w:val="24"/>
                <w:lang w:val="ro-RO" w:eastAsia="ja-JP"/>
              </w:rPr>
              <w:t xml:space="preserve">tate </w:t>
            </w:r>
            <w:r w:rsidR="003B3CA1">
              <w:rPr>
                <w:rFonts w:ascii="Times New Roman" w:eastAsia="Batang" w:hAnsi="Times New Roman" w:cs="Times New Roman"/>
                <w:bCs/>
                <w:sz w:val="24"/>
                <w:szCs w:val="24"/>
                <w:lang w:val="ro-RO" w:eastAsia="ja-JP"/>
              </w:rPr>
              <w:t xml:space="preserve">identificarea produselor care respectă astfel de cerințe. </w:t>
            </w:r>
          </w:p>
          <w:p w14:paraId="3BB847C9" w14:textId="0B49FC74" w:rsidR="00466D8E" w:rsidRPr="0002702C" w:rsidRDefault="00577748" w:rsidP="00923A9F">
            <w:pPr>
              <w:tabs>
                <w:tab w:val="left" w:pos="1418"/>
              </w:tabs>
              <w:spacing w:before="120" w:after="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lastRenderedPageBreak/>
              <w:t>M</w:t>
            </w:r>
            <w:r w:rsidR="003B3CA1">
              <w:rPr>
                <w:rFonts w:ascii="Times New Roman" w:eastAsia="Batang" w:hAnsi="Times New Roman" w:cs="Times New Roman"/>
                <w:bCs/>
                <w:sz w:val="24"/>
                <w:szCs w:val="24"/>
                <w:lang w:val="ro-RO" w:eastAsia="ja-JP"/>
              </w:rPr>
              <w:t>ai mult,</w:t>
            </w:r>
            <w:r>
              <w:rPr>
                <w:rFonts w:ascii="Times New Roman" w:eastAsia="Batang" w:hAnsi="Times New Roman" w:cs="Times New Roman"/>
                <w:bCs/>
                <w:sz w:val="24"/>
                <w:szCs w:val="24"/>
                <w:lang w:val="ro-RO" w:eastAsia="ja-JP"/>
              </w:rPr>
              <w:t xml:space="preserve"> la etapa elaborării prezentei Analize, pe</w:t>
            </w:r>
            <w:r w:rsidR="003B3CA1">
              <w:rPr>
                <w:rFonts w:ascii="Times New Roman" w:eastAsia="Batang" w:hAnsi="Times New Roman" w:cs="Times New Roman"/>
                <w:bCs/>
                <w:sz w:val="24"/>
                <w:szCs w:val="24"/>
                <w:lang w:val="ro-RO" w:eastAsia="ja-JP"/>
              </w:rPr>
              <w:t xml:space="preserve"> </w:t>
            </w:r>
            <w:r>
              <w:rPr>
                <w:rFonts w:ascii="Times New Roman" w:eastAsia="Batang" w:hAnsi="Times New Roman" w:cs="Times New Roman"/>
                <w:bCs/>
                <w:sz w:val="24"/>
                <w:szCs w:val="24"/>
                <w:lang w:val="ro-RO" w:eastAsia="ja-JP"/>
              </w:rPr>
              <w:t xml:space="preserve">platformele web </w:t>
            </w:r>
            <w:r w:rsidR="00100468">
              <w:rPr>
                <w:rFonts w:ascii="Times New Roman" w:eastAsia="Batang" w:hAnsi="Times New Roman" w:cs="Times New Roman"/>
                <w:bCs/>
                <w:sz w:val="24"/>
                <w:szCs w:val="24"/>
                <w:lang w:val="ro-RO" w:eastAsia="ja-JP"/>
              </w:rPr>
              <w:t xml:space="preserve">ale distribuitorilor </w:t>
            </w:r>
            <w:r>
              <w:rPr>
                <w:rFonts w:ascii="Times New Roman" w:eastAsia="Batang" w:hAnsi="Times New Roman" w:cs="Times New Roman"/>
                <w:bCs/>
                <w:sz w:val="24"/>
                <w:szCs w:val="24"/>
                <w:lang w:val="ro-RO" w:eastAsia="ja-JP"/>
              </w:rPr>
              <w:t xml:space="preserve">a fost identificat că majoritatea instalațiilor </w:t>
            </w:r>
            <w:r w:rsidR="00466D8E">
              <w:rPr>
                <w:rFonts w:ascii="Times New Roman" w:eastAsia="Batang" w:hAnsi="Times New Roman" w:cs="Times New Roman"/>
                <w:bCs/>
                <w:sz w:val="24"/>
                <w:szCs w:val="24"/>
                <w:lang w:val="ro-RO" w:eastAsia="ja-JP"/>
              </w:rPr>
              <w:t xml:space="preserve">corespund cerințelor de randament, însă, având în vedere lipsa informațiilor tehnice suplimentare, este dificil de verificat corespunderea acestora cu cerințele de emisii și zgomot. </w:t>
            </w:r>
          </w:p>
          <w:p w14:paraId="35569AFA" w14:textId="77777777" w:rsidR="00F33AD3" w:rsidRDefault="00100468" w:rsidP="00F33AD3">
            <w:pPr>
              <w:spacing w:before="120" w:after="0"/>
              <w:rPr>
                <w:rFonts w:ascii="Times New Roman" w:eastAsia="Batang" w:hAnsi="Times New Roman" w:cs="Times New Roman"/>
                <w:bCs/>
                <w:sz w:val="24"/>
                <w:szCs w:val="24"/>
                <w:lang w:val="ro-RO" w:eastAsia="ja-JP"/>
              </w:rPr>
            </w:pPr>
            <w:r>
              <w:rPr>
                <w:rFonts w:ascii="Times New Roman" w:hAnsi="Times New Roman" w:cs="Times New Roman"/>
                <w:sz w:val="24"/>
                <w:szCs w:val="28"/>
                <w:lang w:val="ro-RO"/>
              </w:rPr>
              <w:t xml:space="preserve">Cât privește costurile aferente conformării </w:t>
            </w:r>
            <w:r w:rsidR="00726F65" w:rsidRPr="00726F65">
              <w:rPr>
                <w:rFonts w:ascii="Times New Roman" w:hAnsi="Times New Roman" w:cs="Times New Roman"/>
                <w:sz w:val="24"/>
                <w:szCs w:val="28"/>
                <w:lang w:val="ro-RO"/>
              </w:rPr>
              <w:t>proceduril</w:t>
            </w:r>
            <w:r w:rsidR="00726F65">
              <w:rPr>
                <w:rFonts w:ascii="Times New Roman" w:hAnsi="Times New Roman" w:cs="Times New Roman"/>
                <w:sz w:val="24"/>
                <w:szCs w:val="28"/>
                <w:lang w:val="ro-RO"/>
              </w:rPr>
              <w:t>or</w:t>
            </w:r>
            <w:r w:rsidR="00726F65" w:rsidRPr="00726F65">
              <w:rPr>
                <w:rFonts w:ascii="Times New Roman" w:hAnsi="Times New Roman" w:cs="Times New Roman"/>
                <w:sz w:val="24"/>
                <w:szCs w:val="28"/>
                <w:lang w:val="ro-RO"/>
              </w:rPr>
              <w:t xml:space="preserve"> de evaluare a conformității a instalațiilor de încălzire a incintelor și instalațiilor de încălzire cu funcție dublă de către producător/ distribuitor și organismul notificat,</w:t>
            </w:r>
            <w:r w:rsidR="00CC56F5">
              <w:rPr>
                <w:rFonts w:ascii="Times New Roman" w:hAnsi="Times New Roman" w:cs="Times New Roman"/>
                <w:sz w:val="24"/>
                <w:szCs w:val="28"/>
                <w:lang w:val="ro-RO"/>
              </w:rPr>
              <w:t xml:space="preserve"> ținem să menționăm că</w:t>
            </w:r>
            <w:r w:rsidR="00726F65">
              <w:rPr>
                <w:rFonts w:ascii="Times New Roman" w:hAnsi="Times New Roman" w:cs="Times New Roman"/>
                <w:sz w:val="24"/>
                <w:szCs w:val="28"/>
                <w:lang w:val="ro-RO"/>
              </w:rPr>
              <w:t xml:space="preserve"> aceste proceduri nu se modifică</w:t>
            </w:r>
            <w:r w:rsidR="00CC56F5">
              <w:rPr>
                <w:rFonts w:ascii="Times New Roman" w:hAnsi="Times New Roman" w:cs="Times New Roman"/>
                <w:sz w:val="24"/>
                <w:szCs w:val="28"/>
                <w:lang w:val="ro-RO"/>
              </w:rPr>
              <w:t xml:space="preserve">, având în vedere că </w:t>
            </w:r>
            <w:r w:rsidR="00726F65">
              <w:rPr>
                <w:rFonts w:ascii="Times New Roman" w:hAnsi="Times New Roman" w:cs="Times New Roman"/>
                <w:sz w:val="24"/>
                <w:szCs w:val="28"/>
                <w:lang w:val="ro-RO"/>
              </w:rPr>
              <w:t xml:space="preserve"> sunt </w:t>
            </w:r>
            <w:r w:rsidR="00CC56F5">
              <w:rPr>
                <w:rFonts w:ascii="Times New Roman" w:hAnsi="Times New Roman" w:cs="Times New Roman"/>
                <w:sz w:val="24"/>
                <w:szCs w:val="28"/>
                <w:lang w:val="ro-RO"/>
              </w:rPr>
              <w:t>transpuse</w:t>
            </w:r>
            <w:r w:rsidR="00726F65">
              <w:rPr>
                <w:rFonts w:ascii="Times New Roman" w:hAnsi="Times New Roman" w:cs="Times New Roman"/>
                <w:sz w:val="24"/>
                <w:szCs w:val="28"/>
                <w:lang w:val="ro-RO"/>
              </w:rPr>
              <w:t xml:space="preserve"> </w:t>
            </w:r>
            <w:r w:rsidR="00CC56F5">
              <w:rPr>
                <w:rFonts w:ascii="Times New Roman" w:hAnsi="Times New Roman" w:cs="Times New Roman"/>
                <w:sz w:val="24"/>
                <w:szCs w:val="28"/>
                <w:lang w:val="ro-RO"/>
              </w:rPr>
              <w:t xml:space="preserve">procedurile din </w:t>
            </w:r>
            <w:r w:rsidR="00CC56F5">
              <w:rPr>
                <w:rFonts w:ascii="Times New Roman" w:eastAsia="Batang" w:hAnsi="Times New Roman" w:cs="Times New Roman"/>
                <w:bCs/>
                <w:sz w:val="24"/>
                <w:szCs w:val="24"/>
                <w:lang w:val="ro-RO" w:eastAsia="ja-JP"/>
              </w:rPr>
              <w:t xml:space="preserve">HG 428/2009. </w:t>
            </w:r>
          </w:p>
          <w:p w14:paraId="6CBAA318" w14:textId="2EBFF87C" w:rsidR="00923A9F" w:rsidRDefault="009B397C" w:rsidP="00923A9F">
            <w:pPr>
              <w:spacing w:before="120" w:after="0"/>
              <w:jc w:val="both"/>
              <w:rPr>
                <w:rFonts w:ascii="Times New Roman" w:eastAsia="Calibri" w:hAnsi="Times New Roman" w:cs="Times New Roman"/>
                <w:bCs/>
                <w:sz w:val="24"/>
                <w:szCs w:val="24"/>
                <w:lang w:val="ro-RO" w:eastAsia="ja-JP"/>
              </w:rPr>
            </w:pPr>
            <w:r w:rsidRPr="009B397C">
              <w:rPr>
                <w:rFonts w:ascii="Times New Roman" w:eastAsia="Calibri" w:hAnsi="Times New Roman" w:cs="Times New Roman"/>
                <w:b/>
                <w:bCs/>
                <w:sz w:val="24"/>
                <w:szCs w:val="24"/>
                <w:lang w:val="ro-RO" w:eastAsia="ja-JP"/>
              </w:rPr>
              <w:t>F</w:t>
            </w:r>
            <w:r w:rsidR="00D318EC" w:rsidRPr="009B397C">
              <w:rPr>
                <w:rFonts w:ascii="Times New Roman" w:eastAsia="Calibri" w:hAnsi="Times New Roman" w:cs="Times New Roman"/>
                <w:b/>
                <w:bCs/>
                <w:sz w:val="24"/>
                <w:szCs w:val="24"/>
                <w:lang w:val="ro-RO" w:eastAsia="ja-JP"/>
              </w:rPr>
              <w:t>luxuril</w:t>
            </w:r>
            <w:r w:rsidR="00923A9F" w:rsidRPr="009B397C">
              <w:rPr>
                <w:rFonts w:ascii="Times New Roman" w:eastAsia="Calibri" w:hAnsi="Times New Roman" w:cs="Times New Roman"/>
                <w:b/>
                <w:bCs/>
                <w:sz w:val="24"/>
                <w:szCs w:val="24"/>
                <w:lang w:val="ro-RO" w:eastAsia="ja-JP"/>
              </w:rPr>
              <w:t>e comerciale și investiționale</w:t>
            </w:r>
            <w:r w:rsidR="00923A9F">
              <w:rPr>
                <w:rFonts w:ascii="Times New Roman" w:eastAsia="Calibri" w:hAnsi="Times New Roman" w:cs="Times New Roman"/>
                <w:bCs/>
                <w:sz w:val="24"/>
                <w:szCs w:val="24"/>
                <w:lang w:val="ro-RO" w:eastAsia="ja-JP"/>
              </w:rPr>
              <w:t>.</w:t>
            </w:r>
          </w:p>
          <w:p w14:paraId="0EF020E7" w14:textId="6A0CA8BC" w:rsidR="00273446" w:rsidRDefault="00273446"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Conform informației prezentate în </w:t>
            </w:r>
            <w:r w:rsidRPr="00273446">
              <w:rPr>
                <w:rFonts w:ascii="Times New Roman" w:eastAsia="Calibri" w:hAnsi="Times New Roman" w:cs="Times New Roman"/>
                <w:bCs/>
                <w:sz w:val="24"/>
                <w:szCs w:val="24"/>
                <w:lang w:val="ro-RO" w:eastAsia="ja-JP"/>
              </w:rPr>
              <w:t xml:space="preserve">Analiza de Impact al Regulamentului (UE) nr. 813/2013 a Parlamentului European </w:t>
            </w:r>
            <w:proofErr w:type="spellStart"/>
            <w:r w:rsidRPr="00273446">
              <w:rPr>
                <w:rFonts w:ascii="Times New Roman" w:eastAsia="Calibri" w:hAnsi="Times New Roman" w:cs="Times New Roman"/>
                <w:bCs/>
                <w:sz w:val="24"/>
                <w:szCs w:val="24"/>
                <w:lang w:val="ro-RO" w:eastAsia="ja-JP"/>
              </w:rPr>
              <w:t>şi</w:t>
            </w:r>
            <w:proofErr w:type="spellEnd"/>
            <w:r w:rsidRPr="00273446">
              <w:rPr>
                <w:rFonts w:ascii="Times New Roman" w:eastAsia="Calibri" w:hAnsi="Times New Roman" w:cs="Times New Roman"/>
                <w:bCs/>
                <w:sz w:val="24"/>
                <w:szCs w:val="24"/>
                <w:lang w:val="ro-RO" w:eastAsia="ja-JP"/>
              </w:rPr>
              <w:t xml:space="preserve"> a Consiliului în ceea ce </w:t>
            </w:r>
            <w:r w:rsidR="00B44CBB" w:rsidRPr="00273446">
              <w:rPr>
                <w:rFonts w:ascii="Times New Roman" w:eastAsia="Calibri" w:hAnsi="Times New Roman" w:cs="Times New Roman"/>
                <w:bCs/>
                <w:sz w:val="24"/>
                <w:szCs w:val="24"/>
                <w:lang w:val="ro-RO" w:eastAsia="ja-JP"/>
              </w:rPr>
              <w:t>privește</w:t>
            </w:r>
            <w:r w:rsidRPr="00273446">
              <w:rPr>
                <w:rFonts w:ascii="Times New Roman" w:eastAsia="Calibri" w:hAnsi="Times New Roman" w:cs="Times New Roman"/>
                <w:bCs/>
                <w:sz w:val="24"/>
                <w:szCs w:val="24"/>
                <w:lang w:val="ro-RO" w:eastAsia="ja-JP"/>
              </w:rPr>
              <w:t xml:space="preserve"> </w:t>
            </w:r>
            <w:r w:rsidR="00B44CBB" w:rsidRPr="00273446">
              <w:rPr>
                <w:rFonts w:ascii="Times New Roman" w:eastAsia="Calibri" w:hAnsi="Times New Roman" w:cs="Times New Roman"/>
                <w:bCs/>
                <w:sz w:val="24"/>
                <w:szCs w:val="24"/>
                <w:lang w:val="ro-RO" w:eastAsia="ja-JP"/>
              </w:rPr>
              <w:t>cerințele</w:t>
            </w:r>
            <w:r w:rsidRPr="00273446">
              <w:rPr>
                <w:rFonts w:ascii="Times New Roman" w:eastAsia="Calibri" w:hAnsi="Times New Roman" w:cs="Times New Roman"/>
                <w:bCs/>
                <w:sz w:val="24"/>
                <w:szCs w:val="24"/>
                <w:lang w:val="ro-RO" w:eastAsia="ja-JP"/>
              </w:rPr>
              <w:t xml:space="preserve"> de proiectare ecologică pentru </w:t>
            </w:r>
            <w:r w:rsidR="00E12378" w:rsidRPr="00273446">
              <w:rPr>
                <w:rFonts w:ascii="Times New Roman" w:eastAsia="Calibri" w:hAnsi="Times New Roman" w:cs="Times New Roman"/>
                <w:bCs/>
                <w:sz w:val="24"/>
                <w:szCs w:val="24"/>
                <w:lang w:val="ro-RO" w:eastAsia="ja-JP"/>
              </w:rPr>
              <w:t>instalațiile</w:t>
            </w:r>
            <w:r w:rsidRPr="00273446">
              <w:rPr>
                <w:rFonts w:ascii="Times New Roman" w:eastAsia="Calibri" w:hAnsi="Times New Roman" w:cs="Times New Roman"/>
                <w:bCs/>
                <w:sz w:val="24"/>
                <w:szCs w:val="24"/>
                <w:lang w:val="ro-RO" w:eastAsia="ja-JP"/>
              </w:rPr>
              <w:t xml:space="preserve"> pentru încălzirea incintelor </w:t>
            </w:r>
            <w:proofErr w:type="spellStart"/>
            <w:r w:rsidRPr="00273446">
              <w:rPr>
                <w:rFonts w:ascii="Times New Roman" w:eastAsia="Calibri" w:hAnsi="Times New Roman" w:cs="Times New Roman"/>
                <w:bCs/>
                <w:sz w:val="24"/>
                <w:szCs w:val="24"/>
                <w:lang w:val="ro-RO" w:eastAsia="ja-JP"/>
              </w:rPr>
              <w:t>şi</w:t>
            </w:r>
            <w:proofErr w:type="spellEnd"/>
            <w:r w:rsidRPr="00273446">
              <w:rPr>
                <w:rFonts w:ascii="Times New Roman" w:eastAsia="Calibri" w:hAnsi="Times New Roman" w:cs="Times New Roman"/>
                <w:bCs/>
                <w:sz w:val="24"/>
                <w:szCs w:val="24"/>
                <w:lang w:val="ro-RO" w:eastAsia="ja-JP"/>
              </w:rPr>
              <w:t xml:space="preserve"> </w:t>
            </w:r>
            <w:r w:rsidR="00E12378" w:rsidRPr="00273446">
              <w:rPr>
                <w:rFonts w:ascii="Times New Roman" w:eastAsia="Calibri" w:hAnsi="Times New Roman" w:cs="Times New Roman"/>
                <w:bCs/>
                <w:sz w:val="24"/>
                <w:szCs w:val="24"/>
                <w:lang w:val="ro-RO" w:eastAsia="ja-JP"/>
              </w:rPr>
              <w:t>instalațiile</w:t>
            </w:r>
            <w:r w:rsidRPr="00273446">
              <w:rPr>
                <w:rFonts w:ascii="Times New Roman" w:eastAsia="Calibri" w:hAnsi="Times New Roman" w:cs="Times New Roman"/>
                <w:bCs/>
                <w:sz w:val="24"/>
                <w:szCs w:val="24"/>
                <w:lang w:val="ro-RO" w:eastAsia="ja-JP"/>
              </w:rPr>
              <w:t xml:space="preserve"> de încălzire cu </w:t>
            </w:r>
            <w:r w:rsidR="00E12378" w:rsidRPr="00273446">
              <w:rPr>
                <w:rFonts w:ascii="Times New Roman" w:eastAsia="Calibri" w:hAnsi="Times New Roman" w:cs="Times New Roman"/>
                <w:bCs/>
                <w:sz w:val="24"/>
                <w:szCs w:val="24"/>
                <w:lang w:val="ro-RO" w:eastAsia="ja-JP"/>
              </w:rPr>
              <w:t>funcție</w:t>
            </w:r>
            <w:r w:rsidRPr="00273446">
              <w:rPr>
                <w:rFonts w:ascii="Times New Roman" w:eastAsia="Calibri" w:hAnsi="Times New Roman" w:cs="Times New Roman"/>
                <w:bCs/>
                <w:sz w:val="24"/>
                <w:szCs w:val="24"/>
                <w:lang w:val="ro-RO" w:eastAsia="ja-JP"/>
              </w:rPr>
              <w:t xml:space="preserve"> dublă,</w:t>
            </w:r>
            <w:r w:rsidR="00B44CBB">
              <w:rPr>
                <w:rFonts w:ascii="Times New Roman" w:eastAsia="Calibri" w:hAnsi="Times New Roman" w:cs="Times New Roman"/>
                <w:bCs/>
                <w:sz w:val="24"/>
                <w:szCs w:val="24"/>
                <w:lang w:val="ro-RO" w:eastAsia="ja-JP"/>
              </w:rPr>
              <w:t xml:space="preserve"> au fost estimate impacturile implementării Regulamentului asupra cifrei de afaceri a participanților la piață, prezentate în tabelul de mai jos.</w:t>
            </w:r>
          </w:p>
          <w:tbl>
            <w:tblPr>
              <w:tblStyle w:val="TableGrid"/>
              <w:tblW w:w="0" w:type="auto"/>
              <w:tblLook w:val="04A0" w:firstRow="1" w:lastRow="0" w:firstColumn="1" w:lastColumn="0" w:noHBand="0" w:noVBand="1"/>
            </w:tblPr>
            <w:tblGrid>
              <w:gridCol w:w="938"/>
              <w:gridCol w:w="2136"/>
              <w:gridCol w:w="1407"/>
              <w:gridCol w:w="1560"/>
              <w:gridCol w:w="1736"/>
              <w:gridCol w:w="1750"/>
            </w:tblGrid>
            <w:tr w:rsidR="00DA0DB6" w:rsidRPr="00B76CED" w14:paraId="690403F7" w14:textId="77777777" w:rsidTr="00A27C52">
              <w:tc>
                <w:tcPr>
                  <w:tcW w:w="4481" w:type="dxa"/>
                  <w:gridSpan w:val="3"/>
                  <w:vAlign w:val="center"/>
                </w:tcPr>
                <w:p w14:paraId="6E7BE82D" w14:textId="2C1EE101" w:rsidR="00DA0DB6" w:rsidRDefault="00DA0DB6"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Mediul de afaceri</w:t>
                  </w:r>
                </w:p>
              </w:tc>
              <w:tc>
                <w:tcPr>
                  <w:tcW w:w="1560" w:type="dxa"/>
                  <w:vAlign w:val="center"/>
                </w:tcPr>
                <w:p w14:paraId="1491B53E" w14:textId="08FE5F2D" w:rsidR="00802FC3"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Situația în</w:t>
                  </w:r>
                </w:p>
                <w:p w14:paraId="2286F698" w14:textId="39A914F7" w:rsidR="00DA0DB6" w:rsidRDefault="00DA0DB6"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2005</w:t>
                  </w:r>
                </w:p>
              </w:tc>
              <w:tc>
                <w:tcPr>
                  <w:tcW w:w="1736" w:type="dxa"/>
                  <w:vAlign w:val="center"/>
                </w:tcPr>
                <w:p w14:paraId="094FC4A2" w14:textId="77777777" w:rsidR="00DA0DB6"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Opțiunea a </w:t>
                  </w:r>
                  <w:r w:rsidR="00DA0DB6">
                    <w:rPr>
                      <w:rFonts w:ascii="Times New Roman" w:eastAsia="Calibri" w:hAnsi="Times New Roman" w:cs="Times New Roman"/>
                      <w:bCs/>
                      <w:sz w:val="24"/>
                      <w:szCs w:val="24"/>
                      <w:lang w:val="ro-RO" w:eastAsia="ja-JP"/>
                    </w:rPr>
                    <w:t>nu face nimic</w:t>
                  </w:r>
                  <w:r>
                    <w:rPr>
                      <w:rFonts w:ascii="Times New Roman" w:eastAsia="Calibri" w:hAnsi="Times New Roman" w:cs="Times New Roman"/>
                      <w:bCs/>
                      <w:sz w:val="24"/>
                      <w:szCs w:val="24"/>
                      <w:lang w:val="ro-RO" w:eastAsia="ja-JP"/>
                    </w:rPr>
                    <w:t xml:space="preserve"> </w:t>
                  </w:r>
                </w:p>
                <w:p w14:paraId="2EAEDC98" w14:textId="62864EDE" w:rsidR="00802FC3"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2013</w:t>
                  </w:r>
                </w:p>
              </w:tc>
              <w:tc>
                <w:tcPr>
                  <w:tcW w:w="1750" w:type="dxa"/>
                  <w:vAlign w:val="center"/>
                </w:tcPr>
                <w:p w14:paraId="3709FA86" w14:textId="153F2D93" w:rsidR="00802FC3" w:rsidRDefault="00802FC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Aplicarea </w:t>
                  </w:r>
                </w:p>
                <w:p w14:paraId="13C0DDA7" w14:textId="5BEEA606" w:rsidR="00802FC3" w:rsidRDefault="00DA0DB6"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Regulamentul</w:t>
                  </w:r>
                  <w:r w:rsidR="003F65AD">
                    <w:rPr>
                      <w:rFonts w:ascii="Times New Roman" w:eastAsia="Calibri" w:hAnsi="Times New Roman" w:cs="Times New Roman"/>
                      <w:bCs/>
                      <w:sz w:val="24"/>
                      <w:szCs w:val="24"/>
                      <w:lang w:val="ro-RO" w:eastAsia="ja-JP"/>
                    </w:rPr>
                    <w:t>ui</w:t>
                  </w:r>
                </w:p>
              </w:tc>
            </w:tr>
            <w:tr w:rsidR="00C519BD" w:rsidRPr="00B76CED" w14:paraId="49F61C60" w14:textId="77777777" w:rsidTr="00A27C52">
              <w:tc>
                <w:tcPr>
                  <w:tcW w:w="938" w:type="dxa"/>
                  <w:vMerge w:val="restart"/>
                  <w:vAlign w:val="center"/>
                </w:tcPr>
                <w:p w14:paraId="5A1912B0" w14:textId="543724A9" w:rsidR="00C519BD" w:rsidRDefault="004A396C" w:rsidP="004A396C">
                  <w:pPr>
                    <w:spacing w:before="120"/>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Cifra de afaceri</w:t>
                  </w:r>
                </w:p>
              </w:tc>
              <w:tc>
                <w:tcPr>
                  <w:tcW w:w="2136" w:type="dxa"/>
                </w:tcPr>
                <w:p w14:paraId="0EEEE2BA" w14:textId="5E05633D"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Producători</w:t>
                  </w:r>
                </w:p>
              </w:tc>
              <w:tc>
                <w:tcPr>
                  <w:tcW w:w="1407" w:type="dxa"/>
                </w:tcPr>
                <w:p w14:paraId="7D7CA58D" w14:textId="2D482AA1"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31E803F7" w14:textId="77DA1685"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7,9</w:t>
                  </w:r>
                </w:p>
              </w:tc>
              <w:tc>
                <w:tcPr>
                  <w:tcW w:w="1736" w:type="dxa"/>
                  <w:vAlign w:val="center"/>
                </w:tcPr>
                <w:p w14:paraId="2CECEA61" w14:textId="1120D802"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8,7</w:t>
                  </w:r>
                </w:p>
              </w:tc>
              <w:tc>
                <w:tcPr>
                  <w:tcW w:w="1750" w:type="dxa"/>
                  <w:vAlign w:val="center"/>
                </w:tcPr>
                <w:p w14:paraId="17E8684D" w14:textId="2EE3C263"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12</w:t>
                  </w:r>
                </w:p>
              </w:tc>
            </w:tr>
            <w:tr w:rsidR="00C519BD" w:rsidRPr="00B76CED" w14:paraId="288DFDB6" w14:textId="77777777" w:rsidTr="00A27C52">
              <w:tc>
                <w:tcPr>
                  <w:tcW w:w="938" w:type="dxa"/>
                  <w:vMerge/>
                </w:tcPr>
                <w:p w14:paraId="01AB76E1" w14:textId="77777777" w:rsidR="00C519BD" w:rsidRDefault="00C519BD" w:rsidP="00923A9F">
                  <w:pPr>
                    <w:spacing w:before="120"/>
                    <w:jc w:val="both"/>
                    <w:rPr>
                      <w:rFonts w:ascii="Times New Roman" w:eastAsia="Calibri" w:hAnsi="Times New Roman" w:cs="Times New Roman"/>
                      <w:bCs/>
                      <w:sz w:val="24"/>
                      <w:szCs w:val="24"/>
                      <w:lang w:val="ro-RO" w:eastAsia="ja-JP"/>
                    </w:rPr>
                  </w:pPr>
                </w:p>
              </w:tc>
              <w:tc>
                <w:tcPr>
                  <w:tcW w:w="2136" w:type="dxa"/>
                </w:tcPr>
                <w:p w14:paraId="29FC4DB6" w14:textId="61D012FC"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Distribuitori</w:t>
                  </w:r>
                </w:p>
              </w:tc>
              <w:tc>
                <w:tcPr>
                  <w:tcW w:w="1407" w:type="dxa"/>
                </w:tcPr>
                <w:p w14:paraId="4F3E0CE5" w14:textId="6DF0E906"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1A818C81" w14:textId="049ED705"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2,4</w:t>
                  </w:r>
                </w:p>
              </w:tc>
              <w:tc>
                <w:tcPr>
                  <w:tcW w:w="1736" w:type="dxa"/>
                  <w:vAlign w:val="center"/>
                </w:tcPr>
                <w:p w14:paraId="76F7E622" w14:textId="340B7761"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2,6</w:t>
                  </w:r>
                </w:p>
              </w:tc>
              <w:tc>
                <w:tcPr>
                  <w:tcW w:w="1750" w:type="dxa"/>
                  <w:vAlign w:val="center"/>
                </w:tcPr>
                <w:p w14:paraId="1F44AC2D" w14:textId="72A51C17"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3,5</w:t>
                  </w:r>
                </w:p>
              </w:tc>
            </w:tr>
            <w:tr w:rsidR="00C519BD" w:rsidRPr="00B76CED" w14:paraId="57740069" w14:textId="77777777" w:rsidTr="00A27C52">
              <w:tc>
                <w:tcPr>
                  <w:tcW w:w="938" w:type="dxa"/>
                  <w:vMerge/>
                </w:tcPr>
                <w:p w14:paraId="6A4AEDE8" w14:textId="77777777" w:rsidR="00C519BD" w:rsidRDefault="00C519BD" w:rsidP="00923A9F">
                  <w:pPr>
                    <w:spacing w:before="120"/>
                    <w:jc w:val="both"/>
                    <w:rPr>
                      <w:rFonts w:ascii="Times New Roman" w:eastAsia="Calibri" w:hAnsi="Times New Roman" w:cs="Times New Roman"/>
                      <w:bCs/>
                      <w:sz w:val="24"/>
                      <w:szCs w:val="24"/>
                      <w:lang w:val="ro-RO" w:eastAsia="ja-JP"/>
                    </w:rPr>
                  </w:pPr>
                </w:p>
              </w:tc>
              <w:tc>
                <w:tcPr>
                  <w:tcW w:w="2136" w:type="dxa"/>
                </w:tcPr>
                <w:p w14:paraId="5795BF5C" w14:textId="5B4EC647"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Instalatori </w:t>
                  </w:r>
                </w:p>
              </w:tc>
              <w:tc>
                <w:tcPr>
                  <w:tcW w:w="1407" w:type="dxa"/>
                </w:tcPr>
                <w:p w14:paraId="26DB23B6" w14:textId="4E288A08"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3FF5B730" w14:textId="5CAB811A"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28</w:t>
                  </w:r>
                </w:p>
              </w:tc>
              <w:tc>
                <w:tcPr>
                  <w:tcW w:w="1736" w:type="dxa"/>
                  <w:vAlign w:val="center"/>
                </w:tcPr>
                <w:p w14:paraId="50817D82" w14:textId="36EF95FC"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35</w:t>
                  </w:r>
                </w:p>
              </w:tc>
              <w:tc>
                <w:tcPr>
                  <w:tcW w:w="1750" w:type="dxa"/>
                  <w:vAlign w:val="center"/>
                </w:tcPr>
                <w:p w14:paraId="12B8D299" w14:textId="43338D2D"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40</w:t>
                  </w:r>
                </w:p>
              </w:tc>
            </w:tr>
            <w:tr w:rsidR="00C519BD" w:rsidRPr="00B76CED" w14:paraId="4AEF99B8" w14:textId="77777777" w:rsidTr="00A27C52">
              <w:tc>
                <w:tcPr>
                  <w:tcW w:w="938" w:type="dxa"/>
                  <w:vMerge/>
                </w:tcPr>
                <w:p w14:paraId="1840AB44" w14:textId="77777777" w:rsidR="00C519BD" w:rsidRDefault="00C519BD" w:rsidP="00923A9F">
                  <w:pPr>
                    <w:spacing w:before="120"/>
                    <w:jc w:val="both"/>
                    <w:rPr>
                      <w:rFonts w:ascii="Times New Roman" w:eastAsia="Calibri" w:hAnsi="Times New Roman" w:cs="Times New Roman"/>
                      <w:bCs/>
                      <w:sz w:val="24"/>
                      <w:szCs w:val="24"/>
                      <w:lang w:val="ro-RO" w:eastAsia="ja-JP"/>
                    </w:rPr>
                  </w:pPr>
                </w:p>
              </w:tc>
              <w:tc>
                <w:tcPr>
                  <w:tcW w:w="2136" w:type="dxa"/>
                </w:tcPr>
                <w:p w14:paraId="03F7117F" w14:textId="0314CE16" w:rsidR="00C519BD" w:rsidRDefault="00C519BD" w:rsidP="00923A9F">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Total</w:t>
                  </w:r>
                </w:p>
              </w:tc>
              <w:tc>
                <w:tcPr>
                  <w:tcW w:w="1407" w:type="dxa"/>
                </w:tcPr>
                <w:p w14:paraId="3866D4AF" w14:textId="044442AE" w:rsidR="00C519BD" w:rsidRDefault="00C519BD" w:rsidP="00A27C52">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Miliarde EUR/an</w:t>
                  </w:r>
                </w:p>
              </w:tc>
              <w:tc>
                <w:tcPr>
                  <w:tcW w:w="1560" w:type="dxa"/>
                  <w:vAlign w:val="center"/>
                </w:tcPr>
                <w:p w14:paraId="5BFA031B" w14:textId="3A84BBAE"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38</w:t>
                  </w:r>
                </w:p>
              </w:tc>
              <w:tc>
                <w:tcPr>
                  <w:tcW w:w="1736" w:type="dxa"/>
                  <w:vAlign w:val="center"/>
                </w:tcPr>
                <w:p w14:paraId="2156123B" w14:textId="2059C4E8"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47</w:t>
                  </w:r>
                </w:p>
              </w:tc>
              <w:tc>
                <w:tcPr>
                  <w:tcW w:w="1750" w:type="dxa"/>
                  <w:vAlign w:val="center"/>
                </w:tcPr>
                <w:p w14:paraId="7E0618BA" w14:textId="2BBBC3B3" w:rsidR="00C519BD" w:rsidRDefault="00DF1D73" w:rsidP="00A27C52">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55</w:t>
                  </w:r>
                </w:p>
              </w:tc>
            </w:tr>
          </w:tbl>
          <w:p w14:paraId="15AC6984" w14:textId="486332A4" w:rsidR="00C519BD" w:rsidRDefault="00403282"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Conform </w:t>
            </w:r>
            <w:r w:rsidR="00C07FDD">
              <w:rPr>
                <w:rFonts w:ascii="Times New Roman" w:eastAsia="Calibri" w:hAnsi="Times New Roman" w:cs="Times New Roman"/>
                <w:bCs/>
                <w:sz w:val="24"/>
                <w:szCs w:val="24"/>
                <w:lang w:val="ro-RO" w:eastAsia="ja-JP"/>
              </w:rPr>
              <w:t>informației,</w:t>
            </w:r>
            <w:r>
              <w:rPr>
                <w:rFonts w:ascii="Times New Roman" w:eastAsia="Calibri" w:hAnsi="Times New Roman" w:cs="Times New Roman"/>
                <w:bCs/>
                <w:sz w:val="24"/>
                <w:szCs w:val="24"/>
                <w:lang w:val="ro-RO" w:eastAsia="ja-JP"/>
              </w:rPr>
              <w:t xml:space="preserve"> implementarea </w:t>
            </w:r>
            <w:r w:rsidR="00C07FDD">
              <w:rPr>
                <w:rFonts w:ascii="Times New Roman" w:eastAsia="Calibri" w:hAnsi="Times New Roman" w:cs="Times New Roman"/>
                <w:bCs/>
                <w:sz w:val="24"/>
                <w:szCs w:val="24"/>
                <w:lang w:val="ro-RO" w:eastAsia="ja-JP"/>
              </w:rPr>
              <w:t>R</w:t>
            </w:r>
            <w:r>
              <w:rPr>
                <w:rFonts w:ascii="Times New Roman" w:eastAsia="Calibri" w:hAnsi="Times New Roman" w:cs="Times New Roman"/>
                <w:bCs/>
                <w:sz w:val="24"/>
                <w:szCs w:val="24"/>
                <w:lang w:val="ro-RO" w:eastAsia="ja-JP"/>
              </w:rPr>
              <w:t>egulamentului nu</w:t>
            </w:r>
            <w:r w:rsidR="00EB3A05">
              <w:rPr>
                <w:rFonts w:ascii="Times New Roman" w:eastAsia="Calibri" w:hAnsi="Times New Roman" w:cs="Times New Roman"/>
                <w:bCs/>
                <w:sz w:val="24"/>
                <w:szCs w:val="24"/>
                <w:lang w:val="ro-RO" w:eastAsia="ja-JP"/>
              </w:rPr>
              <w:t xml:space="preserve"> are </w:t>
            </w:r>
            <w:r>
              <w:rPr>
                <w:rFonts w:ascii="Times New Roman" w:eastAsia="Calibri" w:hAnsi="Times New Roman" w:cs="Times New Roman"/>
                <w:bCs/>
                <w:sz w:val="24"/>
                <w:szCs w:val="24"/>
                <w:lang w:val="ro-RO" w:eastAsia="ja-JP"/>
              </w:rPr>
              <w:t>impact negativ asupra fluxurilor comerciale și investiționale, mai mult, odată</w:t>
            </w:r>
            <w:r w:rsidR="00EB3A05">
              <w:rPr>
                <w:rFonts w:ascii="Times New Roman" w:eastAsia="Calibri" w:hAnsi="Times New Roman" w:cs="Times New Roman"/>
                <w:bCs/>
                <w:sz w:val="24"/>
                <w:szCs w:val="24"/>
                <w:lang w:val="ro-RO" w:eastAsia="ja-JP"/>
              </w:rPr>
              <w:t xml:space="preserve"> cu existența unor reguli clare iar consumatorul este informat despre performanțele sporite ale noilor instalații proiectate conform cerințelor, </w:t>
            </w:r>
            <w:r>
              <w:rPr>
                <w:rFonts w:ascii="Times New Roman" w:eastAsia="Calibri" w:hAnsi="Times New Roman" w:cs="Times New Roman"/>
                <w:bCs/>
                <w:sz w:val="24"/>
                <w:szCs w:val="24"/>
                <w:lang w:val="ro-RO" w:eastAsia="ja-JP"/>
              </w:rPr>
              <w:t xml:space="preserve"> acestea </w:t>
            </w:r>
            <w:r w:rsidR="00EB3A05">
              <w:rPr>
                <w:rFonts w:ascii="Times New Roman" w:eastAsia="Calibri" w:hAnsi="Times New Roman" w:cs="Times New Roman"/>
                <w:bCs/>
                <w:sz w:val="24"/>
                <w:szCs w:val="24"/>
                <w:lang w:val="ro-RO" w:eastAsia="ja-JP"/>
              </w:rPr>
              <w:t>tind să crească, având în vedere dorința consumatorilor să investească în eficiența energetică.</w:t>
            </w:r>
            <w:r>
              <w:rPr>
                <w:rFonts w:ascii="Times New Roman" w:eastAsia="Calibri" w:hAnsi="Times New Roman" w:cs="Times New Roman"/>
                <w:bCs/>
                <w:sz w:val="24"/>
                <w:szCs w:val="24"/>
                <w:lang w:val="ro-RO" w:eastAsia="ja-JP"/>
              </w:rPr>
              <w:t xml:space="preserve"> </w:t>
            </w:r>
          </w:p>
          <w:p w14:paraId="39E73760" w14:textId="3936E7FB" w:rsidR="00D318EC" w:rsidRDefault="005403BA" w:rsidP="00923A9F">
            <w:pPr>
              <w:spacing w:before="120" w:after="0"/>
              <w:jc w:val="both"/>
              <w:rPr>
                <w:rFonts w:ascii="Times New Roman" w:eastAsia="Calibri" w:hAnsi="Times New Roman" w:cs="Times New Roman"/>
                <w:b/>
                <w:bCs/>
                <w:sz w:val="24"/>
                <w:szCs w:val="24"/>
                <w:lang w:val="ro-RO" w:eastAsia="ja-JP"/>
              </w:rPr>
            </w:pPr>
            <w:r w:rsidRPr="005403BA">
              <w:rPr>
                <w:rFonts w:ascii="Times New Roman" w:eastAsia="Calibri" w:hAnsi="Times New Roman" w:cs="Times New Roman"/>
                <w:b/>
                <w:bCs/>
                <w:sz w:val="24"/>
                <w:szCs w:val="24"/>
                <w:lang w:val="ro-RO" w:eastAsia="ja-JP"/>
              </w:rPr>
              <w:t xml:space="preserve">Competitivitatea afacerilor și </w:t>
            </w:r>
            <w:r w:rsidR="00D318EC" w:rsidRPr="005403BA">
              <w:rPr>
                <w:rFonts w:ascii="Times New Roman" w:eastAsia="Calibri" w:hAnsi="Times New Roman" w:cs="Times New Roman"/>
                <w:b/>
                <w:bCs/>
                <w:sz w:val="24"/>
                <w:szCs w:val="24"/>
                <w:lang w:val="ro-RO" w:eastAsia="ja-JP"/>
              </w:rPr>
              <w:t>concurența pe piață</w:t>
            </w:r>
            <w:r w:rsidR="00983631">
              <w:rPr>
                <w:rFonts w:ascii="Times New Roman" w:eastAsia="Calibri" w:hAnsi="Times New Roman" w:cs="Times New Roman"/>
                <w:b/>
                <w:bCs/>
                <w:sz w:val="24"/>
                <w:szCs w:val="24"/>
                <w:lang w:val="ro-RO" w:eastAsia="ja-JP"/>
              </w:rPr>
              <w:t>.</w:t>
            </w:r>
          </w:p>
          <w:p w14:paraId="0A6E5178" w14:textId="6257BD88" w:rsidR="00983631" w:rsidRDefault="00983631"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Distribuitorii de </w:t>
            </w:r>
            <w:r w:rsidR="00CB3318">
              <w:rPr>
                <w:rFonts w:ascii="Times New Roman" w:eastAsia="Calibri" w:hAnsi="Times New Roman" w:cs="Times New Roman"/>
                <w:bCs/>
                <w:sz w:val="24"/>
                <w:szCs w:val="24"/>
                <w:lang w:val="ro-RO" w:eastAsia="ja-JP"/>
              </w:rPr>
              <w:t>instalații vor fi puși în situații similare</w:t>
            </w:r>
            <w:r w:rsidR="00093BD5">
              <w:rPr>
                <w:rFonts w:ascii="Times New Roman" w:eastAsia="Calibri" w:hAnsi="Times New Roman" w:cs="Times New Roman"/>
                <w:bCs/>
                <w:sz w:val="24"/>
                <w:szCs w:val="24"/>
                <w:lang w:val="ro-RO" w:eastAsia="ja-JP"/>
              </w:rPr>
              <w:t xml:space="preserve"> și nu vor</w:t>
            </w:r>
            <w:r w:rsidR="00A37DDC">
              <w:rPr>
                <w:rFonts w:ascii="Times New Roman" w:eastAsia="Calibri" w:hAnsi="Times New Roman" w:cs="Times New Roman"/>
                <w:bCs/>
                <w:sz w:val="24"/>
                <w:szCs w:val="24"/>
                <w:lang w:val="ro-RO" w:eastAsia="ja-JP"/>
              </w:rPr>
              <w:t xml:space="preserve"> exista </w:t>
            </w:r>
            <w:r w:rsidR="00093BD5">
              <w:rPr>
                <w:rFonts w:ascii="Times New Roman" w:eastAsia="Calibri" w:hAnsi="Times New Roman" w:cs="Times New Roman"/>
                <w:bCs/>
                <w:sz w:val="24"/>
                <w:szCs w:val="24"/>
                <w:lang w:val="ro-RO" w:eastAsia="ja-JP"/>
              </w:rPr>
              <w:t>situații în care</w:t>
            </w:r>
            <w:r w:rsidR="00A37DDC">
              <w:rPr>
                <w:rFonts w:ascii="Times New Roman" w:eastAsia="Calibri" w:hAnsi="Times New Roman" w:cs="Times New Roman"/>
                <w:bCs/>
                <w:sz w:val="24"/>
                <w:szCs w:val="24"/>
                <w:lang w:val="ro-RO" w:eastAsia="ja-JP"/>
              </w:rPr>
              <w:t xml:space="preserve"> un distribuitor plasează pe piață produse </w:t>
            </w:r>
            <w:r w:rsidR="00232A42">
              <w:rPr>
                <w:rFonts w:ascii="Times New Roman" w:eastAsia="Calibri" w:hAnsi="Times New Roman" w:cs="Times New Roman"/>
                <w:bCs/>
                <w:sz w:val="24"/>
                <w:szCs w:val="24"/>
                <w:lang w:val="ro-RO" w:eastAsia="ja-JP"/>
              </w:rPr>
              <w:t>a căror caracteristici tehnice sunt sub nivelul stabilit</w:t>
            </w:r>
            <w:r w:rsidR="00356C0A">
              <w:rPr>
                <w:rFonts w:ascii="Times New Roman" w:eastAsia="Calibri" w:hAnsi="Times New Roman" w:cs="Times New Roman"/>
                <w:bCs/>
                <w:sz w:val="24"/>
                <w:szCs w:val="24"/>
                <w:lang w:val="ro-RO" w:eastAsia="ja-JP"/>
              </w:rPr>
              <w:t xml:space="preserve"> de prezentul Regulament</w:t>
            </w:r>
            <w:r w:rsidR="00093BD5">
              <w:rPr>
                <w:rFonts w:ascii="Times New Roman" w:eastAsia="Calibri" w:hAnsi="Times New Roman" w:cs="Times New Roman"/>
                <w:bCs/>
                <w:sz w:val="24"/>
                <w:szCs w:val="24"/>
                <w:lang w:val="ro-RO" w:eastAsia="ja-JP"/>
              </w:rPr>
              <w:t>,</w:t>
            </w:r>
            <w:r w:rsidR="00A37DDC">
              <w:rPr>
                <w:rFonts w:ascii="Times New Roman" w:eastAsia="Calibri" w:hAnsi="Times New Roman" w:cs="Times New Roman"/>
                <w:bCs/>
                <w:sz w:val="24"/>
                <w:szCs w:val="24"/>
                <w:lang w:val="ro-RO" w:eastAsia="ja-JP"/>
              </w:rPr>
              <w:t xml:space="preserve"> care</w:t>
            </w:r>
            <w:r w:rsidR="00232A42">
              <w:rPr>
                <w:rFonts w:ascii="Times New Roman" w:eastAsia="Calibri" w:hAnsi="Times New Roman" w:cs="Times New Roman"/>
                <w:bCs/>
                <w:sz w:val="24"/>
                <w:szCs w:val="24"/>
                <w:lang w:val="ro-RO" w:eastAsia="ja-JP"/>
              </w:rPr>
              <w:t xml:space="preserve"> respectiv </w:t>
            </w:r>
            <w:r w:rsidR="00093BD5">
              <w:rPr>
                <w:rFonts w:ascii="Times New Roman" w:eastAsia="Calibri" w:hAnsi="Times New Roman" w:cs="Times New Roman"/>
                <w:bCs/>
                <w:sz w:val="24"/>
                <w:szCs w:val="24"/>
                <w:lang w:val="ro-RO" w:eastAsia="ja-JP"/>
              </w:rPr>
              <w:t xml:space="preserve">costă mai puțin, iar distribuitorul oficial al unui producător </w:t>
            </w:r>
            <w:r w:rsidR="006C606B">
              <w:rPr>
                <w:rFonts w:ascii="Times New Roman" w:eastAsia="Calibri" w:hAnsi="Times New Roman" w:cs="Times New Roman"/>
                <w:bCs/>
                <w:sz w:val="24"/>
                <w:szCs w:val="24"/>
                <w:lang w:val="ro-RO" w:eastAsia="ja-JP"/>
              </w:rPr>
              <w:t xml:space="preserve">din </w:t>
            </w:r>
            <w:r w:rsidR="00093BD5">
              <w:rPr>
                <w:rFonts w:ascii="Times New Roman" w:eastAsia="Calibri" w:hAnsi="Times New Roman" w:cs="Times New Roman"/>
                <w:bCs/>
                <w:sz w:val="24"/>
                <w:szCs w:val="24"/>
                <w:lang w:val="ro-RO" w:eastAsia="ja-JP"/>
              </w:rPr>
              <w:t xml:space="preserve">piața UE </w:t>
            </w:r>
            <w:r w:rsidR="006C606B">
              <w:rPr>
                <w:rFonts w:ascii="Times New Roman" w:eastAsia="Calibri" w:hAnsi="Times New Roman" w:cs="Times New Roman"/>
                <w:bCs/>
                <w:sz w:val="24"/>
                <w:szCs w:val="24"/>
                <w:lang w:val="ro-RO" w:eastAsia="ja-JP"/>
              </w:rPr>
              <w:t xml:space="preserve">este limitat de prețurile mici ale </w:t>
            </w:r>
            <w:r w:rsidR="00F1111C">
              <w:rPr>
                <w:rFonts w:ascii="Times New Roman" w:eastAsia="Calibri" w:hAnsi="Times New Roman" w:cs="Times New Roman"/>
                <w:bCs/>
                <w:sz w:val="24"/>
                <w:szCs w:val="24"/>
                <w:lang w:val="ro-RO" w:eastAsia="ja-JP"/>
              </w:rPr>
              <w:t>a</w:t>
            </w:r>
            <w:r w:rsidR="00BB228A">
              <w:rPr>
                <w:rFonts w:ascii="Times New Roman" w:eastAsia="Calibri" w:hAnsi="Times New Roman" w:cs="Times New Roman"/>
                <w:bCs/>
                <w:sz w:val="24"/>
                <w:szCs w:val="24"/>
                <w:lang w:val="ro-RO" w:eastAsia="ja-JP"/>
              </w:rPr>
              <w:t xml:space="preserve">cestora, și respectiv este necompetitiv. </w:t>
            </w:r>
          </w:p>
          <w:p w14:paraId="5B0EF806" w14:textId="19A538C3" w:rsidR="00BB228A" w:rsidRDefault="00BB228A" w:rsidP="00923A9F">
            <w:pPr>
              <w:spacing w:before="120" w:after="0"/>
              <w:jc w:val="both"/>
              <w:rPr>
                <w:rFonts w:ascii="Times New Roman" w:eastAsia="Calibri" w:hAnsi="Times New Roman" w:cs="Times New Roman"/>
                <w:b/>
                <w:bCs/>
                <w:sz w:val="24"/>
                <w:szCs w:val="24"/>
                <w:lang w:val="ro-RO" w:eastAsia="ja-JP"/>
              </w:rPr>
            </w:pPr>
            <w:r w:rsidRPr="000229CB">
              <w:rPr>
                <w:rFonts w:ascii="Times New Roman" w:eastAsia="Calibri" w:hAnsi="Times New Roman" w:cs="Times New Roman"/>
                <w:b/>
                <w:bCs/>
                <w:sz w:val="24"/>
                <w:szCs w:val="24"/>
                <w:lang w:val="ro-RO" w:eastAsia="ja-JP"/>
              </w:rPr>
              <w:t>A</w:t>
            </w:r>
            <w:r w:rsidR="00D318EC" w:rsidRPr="000229CB">
              <w:rPr>
                <w:rFonts w:ascii="Times New Roman" w:eastAsia="Calibri" w:hAnsi="Times New Roman" w:cs="Times New Roman"/>
                <w:b/>
                <w:bCs/>
                <w:sz w:val="24"/>
                <w:szCs w:val="24"/>
                <w:lang w:val="ro-RO" w:eastAsia="ja-JP"/>
              </w:rPr>
              <w:t>ctivita</w:t>
            </w:r>
            <w:r w:rsidRPr="000229CB">
              <w:rPr>
                <w:rFonts w:ascii="Times New Roman" w:eastAsia="Calibri" w:hAnsi="Times New Roman" w:cs="Times New Roman"/>
                <w:b/>
                <w:bCs/>
                <w:sz w:val="24"/>
                <w:szCs w:val="24"/>
                <w:lang w:val="ro-RO" w:eastAsia="ja-JP"/>
              </w:rPr>
              <w:t>tea de i</w:t>
            </w:r>
            <w:r w:rsidR="00D318EC" w:rsidRPr="000229CB">
              <w:rPr>
                <w:rFonts w:ascii="Times New Roman" w:eastAsia="Calibri" w:hAnsi="Times New Roman" w:cs="Times New Roman"/>
                <w:b/>
                <w:bCs/>
                <w:sz w:val="24"/>
                <w:szCs w:val="24"/>
                <w:lang w:val="ro-RO" w:eastAsia="ja-JP"/>
              </w:rPr>
              <w:t>novare și cercetare</w:t>
            </w:r>
          </w:p>
          <w:p w14:paraId="26D1DDC3" w14:textId="77777777" w:rsidR="001409BF" w:rsidRDefault="000229CB"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Prin aprobarea regulamentului r</w:t>
            </w:r>
            <w:r w:rsidR="007C61D3">
              <w:rPr>
                <w:rFonts w:ascii="Times New Roman" w:eastAsia="Calibri" w:hAnsi="Times New Roman" w:cs="Times New Roman"/>
                <w:bCs/>
                <w:sz w:val="24"/>
                <w:szCs w:val="24"/>
                <w:lang w:val="ro-RO" w:eastAsia="ja-JP"/>
              </w:rPr>
              <w:t xml:space="preserve">espectiv se </w:t>
            </w:r>
            <w:r w:rsidR="007630A0">
              <w:rPr>
                <w:rFonts w:ascii="Times New Roman" w:eastAsia="Calibri" w:hAnsi="Times New Roman" w:cs="Times New Roman"/>
                <w:bCs/>
                <w:sz w:val="24"/>
                <w:szCs w:val="24"/>
                <w:lang w:val="ro-RO" w:eastAsia="ja-JP"/>
              </w:rPr>
              <w:t>dorește</w:t>
            </w:r>
            <w:r w:rsidR="007C61D3">
              <w:rPr>
                <w:rFonts w:ascii="Times New Roman" w:eastAsia="Calibri" w:hAnsi="Times New Roman" w:cs="Times New Roman"/>
                <w:bCs/>
                <w:sz w:val="24"/>
                <w:szCs w:val="24"/>
                <w:lang w:val="ro-RO" w:eastAsia="ja-JP"/>
              </w:rPr>
              <w:t xml:space="preserve"> actualizarea cerințelor tehnice </w:t>
            </w:r>
            <w:r w:rsidR="007630A0">
              <w:rPr>
                <w:rFonts w:ascii="Times New Roman" w:eastAsia="Calibri" w:hAnsi="Times New Roman" w:cs="Times New Roman"/>
                <w:bCs/>
                <w:sz w:val="24"/>
                <w:szCs w:val="24"/>
                <w:lang w:val="ro-RO" w:eastAsia="ja-JP"/>
              </w:rPr>
              <w:t xml:space="preserve">aplicabile instalaților </w:t>
            </w:r>
            <w:r w:rsidR="00B966AA" w:rsidRPr="00B966AA">
              <w:rPr>
                <w:rFonts w:ascii="Times New Roman" w:eastAsia="Calibri" w:hAnsi="Times New Roman" w:cs="Times New Roman"/>
                <w:bCs/>
                <w:sz w:val="24"/>
                <w:szCs w:val="24"/>
                <w:lang w:val="ro-RO" w:eastAsia="ja-JP"/>
              </w:rPr>
              <w:t xml:space="preserve">pentru încălzirea incintelor </w:t>
            </w:r>
            <w:proofErr w:type="spellStart"/>
            <w:r w:rsidR="00B966AA" w:rsidRPr="00B966AA">
              <w:rPr>
                <w:rFonts w:ascii="Times New Roman" w:eastAsia="Calibri" w:hAnsi="Times New Roman" w:cs="Times New Roman"/>
                <w:bCs/>
                <w:sz w:val="24"/>
                <w:szCs w:val="24"/>
                <w:lang w:val="ro-RO" w:eastAsia="ja-JP"/>
              </w:rPr>
              <w:t>şi</w:t>
            </w:r>
            <w:proofErr w:type="spellEnd"/>
            <w:r w:rsidR="00B966AA" w:rsidRPr="00B966AA">
              <w:rPr>
                <w:rFonts w:ascii="Times New Roman" w:eastAsia="Calibri" w:hAnsi="Times New Roman" w:cs="Times New Roman"/>
                <w:bCs/>
                <w:sz w:val="24"/>
                <w:szCs w:val="24"/>
                <w:lang w:val="ro-RO" w:eastAsia="ja-JP"/>
              </w:rPr>
              <w:t xml:space="preserve"> instalațiil</w:t>
            </w:r>
            <w:r w:rsidR="003B6147">
              <w:rPr>
                <w:rFonts w:ascii="Times New Roman" w:eastAsia="Calibri" w:hAnsi="Times New Roman" w:cs="Times New Roman"/>
                <w:bCs/>
                <w:sz w:val="24"/>
                <w:szCs w:val="24"/>
                <w:lang w:val="ro-RO" w:eastAsia="ja-JP"/>
              </w:rPr>
              <w:t>or</w:t>
            </w:r>
            <w:r w:rsidR="00B966AA" w:rsidRPr="00B966AA">
              <w:rPr>
                <w:rFonts w:ascii="Times New Roman" w:eastAsia="Calibri" w:hAnsi="Times New Roman" w:cs="Times New Roman"/>
                <w:bCs/>
                <w:sz w:val="24"/>
                <w:szCs w:val="24"/>
                <w:lang w:val="ro-RO" w:eastAsia="ja-JP"/>
              </w:rPr>
              <w:t xml:space="preserve"> de încălzire cu funcție dublă</w:t>
            </w:r>
            <w:r w:rsidR="001409BF">
              <w:rPr>
                <w:rFonts w:ascii="Times New Roman" w:eastAsia="Calibri" w:hAnsi="Times New Roman" w:cs="Times New Roman"/>
                <w:bCs/>
                <w:sz w:val="24"/>
                <w:szCs w:val="24"/>
                <w:lang w:val="ro-RO" w:eastAsia="ja-JP"/>
              </w:rPr>
              <w:t>.</w:t>
            </w:r>
          </w:p>
          <w:p w14:paraId="4A3E5ECD" w14:textId="47641BDC" w:rsidR="000229CB" w:rsidRPr="000229CB" w:rsidRDefault="001409BF"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Respectiv noile cerințe promovează inovația, cât și stabilește un punct de start pentru </w:t>
            </w:r>
            <w:r w:rsidR="002B73B8">
              <w:rPr>
                <w:rFonts w:ascii="Times New Roman" w:eastAsia="Calibri" w:hAnsi="Times New Roman" w:cs="Times New Roman"/>
                <w:bCs/>
                <w:sz w:val="24"/>
                <w:szCs w:val="24"/>
                <w:lang w:val="ro-RO" w:eastAsia="ja-JP"/>
              </w:rPr>
              <w:t xml:space="preserve">cercetătorii naționali în vederea dezvoltării </w:t>
            </w:r>
            <w:r w:rsidR="007B648D">
              <w:rPr>
                <w:rFonts w:ascii="Times New Roman" w:eastAsia="Calibri" w:hAnsi="Times New Roman" w:cs="Times New Roman"/>
                <w:bCs/>
                <w:sz w:val="24"/>
                <w:szCs w:val="24"/>
                <w:lang w:val="ro-RO" w:eastAsia="ja-JP"/>
              </w:rPr>
              <w:t>unor produse mai performante.</w:t>
            </w:r>
          </w:p>
          <w:p w14:paraId="7ED3D63F" w14:textId="5D09F774" w:rsidR="001B0B0F" w:rsidRDefault="007B648D" w:rsidP="00923A9F">
            <w:pPr>
              <w:spacing w:before="120" w:after="0"/>
              <w:jc w:val="both"/>
              <w:rPr>
                <w:rFonts w:ascii="Times New Roman" w:eastAsia="Calibri" w:hAnsi="Times New Roman" w:cs="Times New Roman"/>
                <w:b/>
                <w:bCs/>
                <w:sz w:val="24"/>
                <w:szCs w:val="24"/>
                <w:lang w:val="ro-RO" w:eastAsia="ja-JP"/>
              </w:rPr>
            </w:pPr>
            <w:r w:rsidRPr="007B648D">
              <w:rPr>
                <w:rFonts w:ascii="Times New Roman" w:eastAsia="Calibri" w:hAnsi="Times New Roman" w:cs="Times New Roman"/>
                <w:b/>
                <w:bCs/>
                <w:sz w:val="24"/>
                <w:szCs w:val="24"/>
                <w:lang w:val="ro-RO" w:eastAsia="ja-JP"/>
              </w:rPr>
              <w:t>A</w:t>
            </w:r>
            <w:r w:rsidR="00D318EC" w:rsidRPr="007B648D">
              <w:rPr>
                <w:rFonts w:ascii="Times New Roman" w:eastAsia="Calibri" w:hAnsi="Times New Roman" w:cs="Times New Roman"/>
                <w:b/>
                <w:bCs/>
                <w:sz w:val="24"/>
                <w:szCs w:val="24"/>
                <w:lang w:val="ro-RO" w:eastAsia="ja-JP"/>
              </w:rPr>
              <w:t>legerea, calitatea ș</w:t>
            </w:r>
            <w:r w:rsidRPr="007B648D">
              <w:rPr>
                <w:rFonts w:ascii="Times New Roman" w:eastAsia="Calibri" w:hAnsi="Times New Roman" w:cs="Times New Roman"/>
                <w:b/>
                <w:bCs/>
                <w:sz w:val="24"/>
                <w:szCs w:val="24"/>
                <w:lang w:val="ro-RO" w:eastAsia="ja-JP"/>
              </w:rPr>
              <w:t>i prețurile pentru consumatori</w:t>
            </w:r>
            <w:r w:rsidR="00A47B14">
              <w:rPr>
                <w:rFonts w:ascii="Times New Roman" w:eastAsia="Calibri" w:hAnsi="Times New Roman" w:cs="Times New Roman"/>
                <w:b/>
                <w:bCs/>
                <w:sz w:val="24"/>
                <w:szCs w:val="24"/>
                <w:lang w:val="ro-RO" w:eastAsia="ja-JP"/>
              </w:rPr>
              <w:t xml:space="preserve"> cât și </w:t>
            </w:r>
            <w:r w:rsidR="00A47B14" w:rsidRPr="00A47B14">
              <w:rPr>
                <w:rFonts w:ascii="Times New Roman" w:eastAsia="Calibri" w:hAnsi="Times New Roman" w:cs="Times New Roman"/>
                <w:b/>
                <w:bCs/>
                <w:sz w:val="24"/>
                <w:szCs w:val="24"/>
                <w:lang w:val="ro-RO" w:eastAsia="ja-JP"/>
              </w:rPr>
              <w:t>bunăstarea gospodăriilor casnice și a cetățenilor</w:t>
            </w:r>
          </w:p>
          <w:p w14:paraId="4FAFE0C3" w14:textId="77777777" w:rsidR="00F5266D" w:rsidRDefault="00A47B14" w:rsidP="00416B1E">
            <w:pPr>
              <w:pBdr>
                <w:bottom w:val="single" w:sz="4" w:space="1" w:color="auto"/>
              </w:pBdr>
              <w:spacing w:before="120" w:after="0"/>
              <w:jc w:val="both"/>
              <w:rPr>
                <w:rFonts w:ascii="Times New Roman" w:eastAsia="Calibri" w:hAnsi="Times New Roman" w:cs="Times New Roman"/>
                <w:bCs/>
                <w:sz w:val="24"/>
                <w:szCs w:val="24"/>
                <w:lang w:val="ro-RO" w:eastAsia="ja-JP"/>
              </w:rPr>
            </w:pPr>
            <w:r w:rsidRPr="00A47B14">
              <w:rPr>
                <w:rFonts w:ascii="Times New Roman" w:eastAsia="Calibri" w:hAnsi="Times New Roman" w:cs="Times New Roman"/>
                <w:bCs/>
                <w:sz w:val="24"/>
                <w:szCs w:val="24"/>
                <w:lang w:val="ro-RO" w:eastAsia="ja-JP"/>
              </w:rPr>
              <w:lastRenderedPageBreak/>
              <w:t>Analiza de</w:t>
            </w:r>
            <w:r>
              <w:rPr>
                <w:rFonts w:ascii="Times New Roman" w:eastAsia="Calibri" w:hAnsi="Times New Roman" w:cs="Times New Roman"/>
                <w:bCs/>
                <w:sz w:val="24"/>
                <w:szCs w:val="24"/>
                <w:lang w:val="ro-RO" w:eastAsia="ja-JP"/>
              </w:rPr>
              <w:t xml:space="preserve"> Impact al Regulamentului</w:t>
            </w:r>
            <w:r>
              <w:rPr>
                <w:rStyle w:val="FootnoteReference"/>
                <w:rFonts w:ascii="Times New Roman" w:eastAsia="Calibri" w:hAnsi="Times New Roman" w:cs="Times New Roman"/>
                <w:bCs/>
                <w:sz w:val="24"/>
                <w:szCs w:val="24"/>
                <w:lang w:val="ro-RO" w:eastAsia="ja-JP"/>
              </w:rPr>
              <w:footnoteReference w:id="7"/>
            </w:r>
            <w:r>
              <w:rPr>
                <w:rFonts w:ascii="Times New Roman" w:eastAsia="Calibri" w:hAnsi="Times New Roman" w:cs="Times New Roman"/>
                <w:bCs/>
                <w:sz w:val="24"/>
                <w:szCs w:val="24"/>
                <w:lang w:val="ro-RO" w:eastAsia="ja-JP"/>
              </w:rPr>
              <w:t xml:space="preserve"> (UE) </w:t>
            </w:r>
            <w:r w:rsidRPr="00A47B14">
              <w:rPr>
                <w:rFonts w:ascii="Times New Roman" w:eastAsia="Calibri" w:hAnsi="Times New Roman" w:cs="Times New Roman"/>
                <w:bCs/>
                <w:sz w:val="24"/>
                <w:szCs w:val="24"/>
                <w:lang w:val="ro-RO" w:eastAsia="ja-JP"/>
              </w:rPr>
              <w:t xml:space="preserve">nr. 813/2013 a Parlamentului European </w:t>
            </w:r>
            <w:proofErr w:type="spellStart"/>
            <w:r w:rsidRPr="00A47B14">
              <w:rPr>
                <w:rFonts w:ascii="Times New Roman" w:eastAsia="Calibri" w:hAnsi="Times New Roman" w:cs="Times New Roman"/>
                <w:bCs/>
                <w:sz w:val="24"/>
                <w:szCs w:val="24"/>
                <w:lang w:val="ro-RO" w:eastAsia="ja-JP"/>
              </w:rPr>
              <w:t>şi</w:t>
            </w:r>
            <w:proofErr w:type="spellEnd"/>
            <w:r w:rsidRPr="00A47B14">
              <w:rPr>
                <w:rFonts w:ascii="Times New Roman" w:eastAsia="Calibri" w:hAnsi="Times New Roman" w:cs="Times New Roman"/>
                <w:bCs/>
                <w:sz w:val="24"/>
                <w:szCs w:val="24"/>
                <w:lang w:val="ro-RO" w:eastAsia="ja-JP"/>
              </w:rPr>
              <w:t xml:space="preserve"> a Consiliului în ceea ce privește cerințele de proiectare ecologică pentru </w:t>
            </w:r>
            <w:proofErr w:type="spellStart"/>
            <w:r w:rsidRPr="00A47B14">
              <w:rPr>
                <w:rFonts w:ascii="Times New Roman" w:eastAsia="Calibri" w:hAnsi="Times New Roman" w:cs="Times New Roman"/>
                <w:bCs/>
                <w:sz w:val="24"/>
                <w:szCs w:val="24"/>
                <w:lang w:val="ro-RO" w:eastAsia="ja-JP"/>
              </w:rPr>
              <w:t>instalaţiile</w:t>
            </w:r>
            <w:proofErr w:type="spellEnd"/>
            <w:r w:rsidRPr="00A47B14">
              <w:rPr>
                <w:rFonts w:ascii="Times New Roman" w:eastAsia="Calibri" w:hAnsi="Times New Roman" w:cs="Times New Roman"/>
                <w:bCs/>
                <w:sz w:val="24"/>
                <w:szCs w:val="24"/>
                <w:lang w:val="ro-RO" w:eastAsia="ja-JP"/>
              </w:rPr>
              <w:t xml:space="preserve"> pentru încălzirea incintelor </w:t>
            </w:r>
            <w:proofErr w:type="spellStart"/>
            <w:r w:rsidRPr="00A47B14">
              <w:rPr>
                <w:rFonts w:ascii="Times New Roman" w:eastAsia="Calibri" w:hAnsi="Times New Roman" w:cs="Times New Roman"/>
                <w:bCs/>
                <w:sz w:val="24"/>
                <w:szCs w:val="24"/>
                <w:lang w:val="ro-RO" w:eastAsia="ja-JP"/>
              </w:rPr>
              <w:t>şi</w:t>
            </w:r>
            <w:proofErr w:type="spellEnd"/>
            <w:r w:rsidRPr="00A47B14">
              <w:rPr>
                <w:rFonts w:ascii="Times New Roman" w:eastAsia="Calibri" w:hAnsi="Times New Roman" w:cs="Times New Roman"/>
                <w:bCs/>
                <w:sz w:val="24"/>
                <w:szCs w:val="24"/>
                <w:lang w:val="ro-RO" w:eastAsia="ja-JP"/>
              </w:rPr>
              <w:t xml:space="preserve"> instalațiile de încălzire cu </w:t>
            </w:r>
            <w:proofErr w:type="spellStart"/>
            <w:r w:rsidRPr="00A47B14">
              <w:rPr>
                <w:rFonts w:ascii="Times New Roman" w:eastAsia="Calibri" w:hAnsi="Times New Roman" w:cs="Times New Roman"/>
                <w:bCs/>
                <w:sz w:val="24"/>
                <w:szCs w:val="24"/>
                <w:lang w:val="ro-RO" w:eastAsia="ja-JP"/>
              </w:rPr>
              <w:t>funcţie</w:t>
            </w:r>
            <w:proofErr w:type="spellEnd"/>
            <w:r w:rsidRPr="00A47B14">
              <w:rPr>
                <w:rFonts w:ascii="Times New Roman" w:eastAsia="Calibri" w:hAnsi="Times New Roman" w:cs="Times New Roman"/>
                <w:bCs/>
                <w:sz w:val="24"/>
                <w:szCs w:val="24"/>
                <w:lang w:val="ro-RO" w:eastAsia="ja-JP"/>
              </w:rPr>
              <w:t xml:space="preserve"> dublă, </w:t>
            </w:r>
            <w:r w:rsidR="003A61A3">
              <w:rPr>
                <w:rFonts w:ascii="Times New Roman" w:eastAsia="Calibri" w:hAnsi="Times New Roman" w:cs="Times New Roman"/>
                <w:bCs/>
                <w:sz w:val="24"/>
                <w:szCs w:val="24"/>
                <w:lang w:val="ro-RO" w:eastAsia="ja-JP"/>
              </w:rPr>
              <w:t>a identificat că,</w:t>
            </w:r>
            <w:r w:rsidRPr="00A47B14">
              <w:rPr>
                <w:rFonts w:ascii="Times New Roman" w:eastAsia="Calibri" w:hAnsi="Times New Roman" w:cs="Times New Roman"/>
                <w:bCs/>
                <w:sz w:val="24"/>
                <w:szCs w:val="24"/>
                <w:lang w:val="ro-RO" w:eastAsia="ja-JP"/>
              </w:rPr>
              <w:t xml:space="preserve"> comparativ cu prețul pentru un produs ce se comercializa în anul 2005 prețul unui produs proiectat conform noilor cerințe se majore</w:t>
            </w:r>
            <w:r w:rsidR="00721F40">
              <w:rPr>
                <w:rFonts w:ascii="Times New Roman" w:eastAsia="Calibri" w:hAnsi="Times New Roman" w:cs="Times New Roman"/>
                <w:bCs/>
                <w:sz w:val="24"/>
                <w:szCs w:val="24"/>
                <w:lang w:val="ro-RO" w:eastAsia="ja-JP"/>
              </w:rPr>
              <w:t>ază de la 2247 la 2860 de euro. Î</w:t>
            </w:r>
            <w:r w:rsidRPr="00A47B14">
              <w:rPr>
                <w:rFonts w:ascii="Times New Roman" w:eastAsia="Calibri" w:hAnsi="Times New Roman" w:cs="Times New Roman"/>
                <w:bCs/>
                <w:sz w:val="24"/>
                <w:szCs w:val="24"/>
                <w:lang w:val="ro-RO" w:eastAsia="ja-JP"/>
              </w:rPr>
              <w:t>nsă având în vedere că</w:t>
            </w:r>
            <w:r w:rsidR="00721F40">
              <w:rPr>
                <w:rFonts w:ascii="Times New Roman" w:eastAsia="Calibri" w:hAnsi="Times New Roman" w:cs="Times New Roman"/>
                <w:bCs/>
                <w:sz w:val="24"/>
                <w:szCs w:val="24"/>
                <w:lang w:val="ro-RO" w:eastAsia="ja-JP"/>
              </w:rPr>
              <w:t>,</w:t>
            </w:r>
            <w:r w:rsidRPr="00A47B14">
              <w:rPr>
                <w:rFonts w:ascii="Times New Roman" w:eastAsia="Calibri" w:hAnsi="Times New Roman" w:cs="Times New Roman"/>
                <w:bCs/>
                <w:sz w:val="24"/>
                <w:szCs w:val="24"/>
                <w:lang w:val="ro-RO" w:eastAsia="ja-JP"/>
              </w:rPr>
              <w:t xml:space="preserve"> performanța energetică a unei noi instalații este superioară, investiția în procurarea ace</w:t>
            </w:r>
            <w:r w:rsidR="00F5266D">
              <w:rPr>
                <w:rFonts w:ascii="Times New Roman" w:eastAsia="Calibri" w:hAnsi="Times New Roman" w:cs="Times New Roman"/>
                <w:bCs/>
                <w:sz w:val="24"/>
                <w:szCs w:val="24"/>
                <w:lang w:val="ro-RO" w:eastAsia="ja-JP"/>
              </w:rPr>
              <w:t>steia se recuperează în 3,3 ani.</w:t>
            </w:r>
          </w:p>
          <w:p w14:paraId="1662ED15" w14:textId="5AE35CCE" w:rsidR="00EC7242" w:rsidRDefault="00F5266D" w:rsidP="00416B1E">
            <w:pPr>
              <w:pBdr>
                <w:bottom w:val="single" w:sz="4" w:space="1" w:color="auto"/>
              </w:pBd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R</w:t>
            </w:r>
            <w:r w:rsidR="00A47B14">
              <w:rPr>
                <w:rFonts w:ascii="Times New Roman" w:eastAsia="Calibri" w:hAnsi="Times New Roman" w:cs="Times New Roman"/>
                <w:bCs/>
                <w:sz w:val="24"/>
                <w:szCs w:val="24"/>
                <w:lang w:val="ro-RO" w:eastAsia="ja-JP"/>
              </w:rPr>
              <w:t>esp</w:t>
            </w:r>
            <w:r w:rsidR="00721F40">
              <w:rPr>
                <w:rFonts w:ascii="Times New Roman" w:eastAsia="Calibri" w:hAnsi="Times New Roman" w:cs="Times New Roman"/>
                <w:bCs/>
                <w:sz w:val="24"/>
                <w:szCs w:val="24"/>
                <w:lang w:val="ro-RO" w:eastAsia="ja-JP"/>
              </w:rPr>
              <w:t xml:space="preserve">ectiv pe durata utilizării </w:t>
            </w:r>
            <w:r>
              <w:rPr>
                <w:rFonts w:ascii="Times New Roman" w:eastAsia="Calibri" w:hAnsi="Times New Roman" w:cs="Times New Roman"/>
                <w:bCs/>
                <w:sz w:val="24"/>
                <w:szCs w:val="24"/>
                <w:lang w:val="ro-RO" w:eastAsia="ja-JP"/>
              </w:rPr>
              <w:t>instala</w:t>
            </w:r>
            <w:r w:rsidR="000B5DF2">
              <w:rPr>
                <w:rFonts w:ascii="Times New Roman" w:eastAsia="Calibri" w:hAnsi="Times New Roman" w:cs="Times New Roman"/>
                <w:bCs/>
                <w:sz w:val="24"/>
                <w:szCs w:val="24"/>
                <w:lang w:val="ro-RO" w:eastAsia="ja-JP"/>
              </w:rPr>
              <w:t>țiilor proiectate în conformitate cu cerințele specificate în Regulament</w:t>
            </w:r>
            <w:r w:rsidR="00721F40">
              <w:rPr>
                <w:rFonts w:ascii="Times New Roman" w:eastAsia="Calibri" w:hAnsi="Times New Roman" w:cs="Times New Roman"/>
                <w:bCs/>
                <w:sz w:val="24"/>
                <w:szCs w:val="24"/>
                <w:lang w:val="ro-RO" w:eastAsia="ja-JP"/>
              </w:rPr>
              <w:t>, cetățeanul economisește resurse fina</w:t>
            </w:r>
            <w:r w:rsidR="00BB370B">
              <w:rPr>
                <w:rFonts w:ascii="Times New Roman" w:eastAsia="Calibri" w:hAnsi="Times New Roman" w:cs="Times New Roman"/>
                <w:bCs/>
                <w:sz w:val="24"/>
                <w:szCs w:val="24"/>
                <w:lang w:val="ro-RO" w:eastAsia="ja-JP"/>
              </w:rPr>
              <w:t>nciare</w:t>
            </w:r>
            <w:r w:rsidR="00EC7242">
              <w:rPr>
                <w:rFonts w:ascii="Times New Roman" w:eastAsia="Calibri" w:hAnsi="Times New Roman" w:cs="Times New Roman"/>
                <w:bCs/>
                <w:sz w:val="24"/>
                <w:szCs w:val="24"/>
                <w:lang w:val="ro-RO" w:eastAsia="ja-JP"/>
              </w:rPr>
              <w:t xml:space="preserve">, care pe durata normată de </w:t>
            </w:r>
            <w:r>
              <w:rPr>
                <w:rFonts w:ascii="Times New Roman" w:eastAsia="Calibri" w:hAnsi="Times New Roman" w:cs="Times New Roman"/>
                <w:bCs/>
                <w:sz w:val="24"/>
                <w:szCs w:val="24"/>
                <w:lang w:val="ro-RO" w:eastAsia="ja-JP"/>
              </w:rPr>
              <w:t>viață a instalaților</w:t>
            </w:r>
            <w:r w:rsidR="000B5DF2">
              <w:rPr>
                <w:rFonts w:ascii="Times New Roman" w:eastAsia="Calibri" w:hAnsi="Times New Roman" w:cs="Times New Roman"/>
                <w:bCs/>
                <w:sz w:val="24"/>
                <w:szCs w:val="24"/>
                <w:lang w:val="ro-RO" w:eastAsia="ja-JP"/>
              </w:rPr>
              <w:t xml:space="preserve"> </w:t>
            </w:r>
            <w:r w:rsidR="00FB1F94">
              <w:rPr>
                <w:rFonts w:ascii="Times New Roman" w:eastAsia="Calibri" w:hAnsi="Times New Roman" w:cs="Times New Roman"/>
                <w:bCs/>
                <w:sz w:val="24"/>
                <w:szCs w:val="24"/>
                <w:lang w:val="ro-RO" w:eastAsia="ja-JP"/>
              </w:rPr>
              <w:t>de minim 15 ani se acumulează în valoare de 2452 EUR.</w:t>
            </w:r>
          </w:p>
          <w:p w14:paraId="6C34B0B1" w14:textId="3600AB1A" w:rsidR="003A61A3" w:rsidRDefault="00BB370B" w:rsidP="003A61A3">
            <w:pPr>
              <w:pBdr>
                <w:bottom w:val="single" w:sz="4" w:space="1" w:color="auto"/>
              </w:pBd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Totodată, odată cu eliminarea barierelor pentru asigurarea unei competiții loiale, pe piață vor apărea produse calitative</w:t>
            </w:r>
            <w:r w:rsidR="00DB0D6D">
              <w:rPr>
                <w:rFonts w:ascii="Times New Roman" w:eastAsia="Calibri" w:hAnsi="Times New Roman" w:cs="Times New Roman"/>
                <w:bCs/>
                <w:sz w:val="24"/>
                <w:szCs w:val="24"/>
                <w:lang w:val="ro-RO" w:eastAsia="ja-JP"/>
              </w:rPr>
              <w:t>, performante și inovatorii pentru care consumatorul poate opta.</w:t>
            </w:r>
          </w:p>
          <w:p w14:paraId="000912FB" w14:textId="77777777" w:rsidR="005A4F8C" w:rsidRDefault="00AE21FF" w:rsidP="00923A9F">
            <w:pPr>
              <w:spacing w:before="120" w:after="0"/>
              <w:jc w:val="both"/>
              <w:rPr>
                <w:rFonts w:eastAsia="Times New Roman"/>
                <w:b/>
                <w:iCs/>
                <w:lang w:val="ro-RO" w:eastAsia="ar-SA"/>
              </w:rPr>
            </w:pPr>
            <w:r w:rsidRPr="00AE21FF">
              <w:rPr>
                <w:rFonts w:ascii="Times New Roman" w:eastAsia="Calibri" w:hAnsi="Times New Roman" w:cs="Times New Roman"/>
                <w:b/>
                <w:bCs/>
                <w:sz w:val="24"/>
                <w:szCs w:val="24"/>
                <w:lang w:val="ro-RO" w:eastAsia="ja-JP"/>
              </w:rPr>
              <w:t>S</w:t>
            </w:r>
            <w:r w:rsidR="00D318EC" w:rsidRPr="00AE21FF">
              <w:rPr>
                <w:rFonts w:ascii="Times New Roman" w:eastAsia="Calibri" w:hAnsi="Times New Roman" w:cs="Times New Roman"/>
                <w:b/>
                <w:bCs/>
                <w:sz w:val="24"/>
                <w:szCs w:val="24"/>
                <w:lang w:val="ro-RO" w:eastAsia="ja-JP"/>
              </w:rPr>
              <w:t>ănătatea publică, inclusiv mortalitatea și morbiditatea</w:t>
            </w:r>
            <w:r w:rsidRPr="00AE21FF">
              <w:rPr>
                <w:rFonts w:ascii="Times New Roman" w:eastAsia="Calibri" w:hAnsi="Times New Roman" w:cs="Times New Roman"/>
                <w:b/>
                <w:bCs/>
                <w:sz w:val="24"/>
                <w:szCs w:val="24"/>
                <w:lang w:val="ro-RO" w:eastAsia="ja-JP"/>
              </w:rPr>
              <w:t xml:space="preserve">, calitatea și cantitatea apei și resurselor acvatice, inclusiv a apei potabile și de alt gen, </w:t>
            </w:r>
            <w:r w:rsidR="008C097A" w:rsidRPr="00AE21FF">
              <w:rPr>
                <w:rFonts w:ascii="Times New Roman" w:eastAsia="Calibri" w:hAnsi="Times New Roman" w:cs="Times New Roman"/>
                <w:b/>
                <w:bCs/>
                <w:sz w:val="24"/>
                <w:szCs w:val="24"/>
                <w:lang w:val="ro-RO" w:eastAsia="ja-JP"/>
              </w:rPr>
              <w:t xml:space="preserve">clima, inclusiv emisiile gazelor cu efect de seră și celor </w:t>
            </w:r>
            <w:r w:rsidRPr="00AE21FF">
              <w:rPr>
                <w:rFonts w:ascii="Times New Roman" w:eastAsia="Calibri" w:hAnsi="Times New Roman" w:cs="Times New Roman"/>
                <w:b/>
                <w:bCs/>
                <w:sz w:val="24"/>
                <w:szCs w:val="24"/>
                <w:lang w:val="ro-RO" w:eastAsia="ja-JP"/>
              </w:rPr>
              <w:t>care afectează stratul de ozon, calitatea aerului</w:t>
            </w:r>
            <w:r w:rsidRPr="00AE21FF">
              <w:rPr>
                <w:rFonts w:eastAsia="Times New Roman"/>
                <w:b/>
                <w:iCs/>
                <w:lang w:val="ro-RO" w:eastAsia="ar-SA"/>
              </w:rPr>
              <w:t>.</w:t>
            </w:r>
          </w:p>
          <w:p w14:paraId="1738BF1D" w14:textId="577CB78C" w:rsidR="005A4F8C" w:rsidRDefault="0028793C" w:rsidP="0028793C">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I</w:t>
            </w:r>
            <w:r w:rsidRPr="00A47B14">
              <w:rPr>
                <w:rFonts w:ascii="Times New Roman" w:eastAsia="Calibri" w:hAnsi="Times New Roman" w:cs="Times New Roman"/>
                <w:bCs/>
                <w:sz w:val="24"/>
                <w:szCs w:val="24"/>
                <w:lang w:val="ro-RO" w:eastAsia="ja-JP"/>
              </w:rPr>
              <w:t>nstalațiile</w:t>
            </w:r>
            <w:r w:rsidR="005A4F8C" w:rsidRPr="00A47B14">
              <w:rPr>
                <w:rFonts w:ascii="Times New Roman" w:eastAsia="Calibri" w:hAnsi="Times New Roman" w:cs="Times New Roman"/>
                <w:bCs/>
                <w:sz w:val="24"/>
                <w:szCs w:val="24"/>
                <w:lang w:val="ro-RO" w:eastAsia="ja-JP"/>
              </w:rPr>
              <w:t xml:space="preserve"> pentru încălzirea incintelor </w:t>
            </w:r>
            <w:proofErr w:type="spellStart"/>
            <w:r w:rsidR="005A4F8C" w:rsidRPr="00A47B14">
              <w:rPr>
                <w:rFonts w:ascii="Times New Roman" w:eastAsia="Calibri" w:hAnsi="Times New Roman" w:cs="Times New Roman"/>
                <w:bCs/>
                <w:sz w:val="24"/>
                <w:szCs w:val="24"/>
                <w:lang w:val="ro-RO" w:eastAsia="ja-JP"/>
              </w:rPr>
              <w:t>şi</w:t>
            </w:r>
            <w:proofErr w:type="spellEnd"/>
            <w:r w:rsidR="005A4F8C" w:rsidRPr="00A47B14">
              <w:rPr>
                <w:rFonts w:ascii="Times New Roman" w:eastAsia="Calibri" w:hAnsi="Times New Roman" w:cs="Times New Roman"/>
                <w:bCs/>
                <w:sz w:val="24"/>
                <w:szCs w:val="24"/>
                <w:lang w:val="ro-RO" w:eastAsia="ja-JP"/>
              </w:rPr>
              <w:t xml:space="preserve"> instalațiile de încălzire cu </w:t>
            </w:r>
            <w:proofErr w:type="spellStart"/>
            <w:r w:rsidR="005A4F8C" w:rsidRPr="00A47B14">
              <w:rPr>
                <w:rFonts w:ascii="Times New Roman" w:eastAsia="Calibri" w:hAnsi="Times New Roman" w:cs="Times New Roman"/>
                <w:bCs/>
                <w:sz w:val="24"/>
                <w:szCs w:val="24"/>
                <w:lang w:val="ro-RO" w:eastAsia="ja-JP"/>
              </w:rPr>
              <w:t>funcţie</w:t>
            </w:r>
            <w:proofErr w:type="spellEnd"/>
            <w:r w:rsidR="005A4F8C" w:rsidRPr="00A47B14">
              <w:rPr>
                <w:rFonts w:ascii="Times New Roman" w:eastAsia="Calibri" w:hAnsi="Times New Roman" w:cs="Times New Roman"/>
                <w:bCs/>
                <w:sz w:val="24"/>
                <w:szCs w:val="24"/>
                <w:lang w:val="ro-RO" w:eastAsia="ja-JP"/>
              </w:rPr>
              <w:t xml:space="preserve"> dublă</w:t>
            </w:r>
            <w:r>
              <w:rPr>
                <w:rFonts w:ascii="Times New Roman" w:eastAsia="Calibri" w:hAnsi="Times New Roman" w:cs="Times New Roman"/>
                <w:bCs/>
                <w:sz w:val="24"/>
                <w:szCs w:val="24"/>
                <w:lang w:val="ro-RO" w:eastAsia="ja-JP"/>
              </w:rPr>
              <w:t>,</w:t>
            </w:r>
            <w:r w:rsidR="005A4F8C">
              <w:rPr>
                <w:rFonts w:ascii="Times New Roman" w:eastAsia="Calibri" w:hAnsi="Times New Roman" w:cs="Times New Roman"/>
                <w:bCs/>
                <w:sz w:val="24"/>
                <w:szCs w:val="24"/>
                <w:lang w:val="ro-RO" w:eastAsia="ja-JP"/>
              </w:rPr>
              <w:t xml:space="preserve"> în procesul de expl</w:t>
            </w:r>
            <w:r>
              <w:rPr>
                <w:rFonts w:ascii="Times New Roman" w:eastAsia="Calibri" w:hAnsi="Times New Roman" w:cs="Times New Roman"/>
                <w:bCs/>
                <w:sz w:val="24"/>
                <w:szCs w:val="24"/>
                <w:lang w:val="ro-RO" w:eastAsia="ja-JP"/>
              </w:rPr>
              <w:t>oatare a acestora, consumă resurse energetice care provin, în mare parte</w:t>
            </w:r>
            <w:r w:rsidR="005856F9">
              <w:rPr>
                <w:rFonts w:ascii="Times New Roman" w:eastAsia="Calibri" w:hAnsi="Times New Roman" w:cs="Times New Roman"/>
                <w:bCs/>
                <w:sz w:val="24"/>
                <w:szCs w:val="24"/>
                <w:lang w:val="ro-RO" w:eastAsia="ja-JP"/>
              </w:rPr>
              <w:t>,</w:t>
            </w:r>
            <w:r>
              <w:rPr>
                <w:rFonts w:ascii="Times New Roman" w:eastAsia="Calibri" w:hAnsi="Times New Roman" w:cs="Times New Roman"/>
                <w:bCs/>
                <w:sz w:val="24"/>
                <w:szCs w:val="24"/>
                <w:lang w:val="ro-RO" w:eastAsia="ja-JP"/>
              </w:rPr>
              <w:t xml:space="preserve"> din surse fosile. </w:t>
            </w:r>
          </w:p>
          <w:p w14:paraId="04DAC617" w14:textId="36D16A60" w:rsidR="0028793C" w:rsidRDefault="005856F9" w:rsidP="00A7035A">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Utilizarea surselor fosile</w:t>
            </w:r>
            <w:r w:rsidR="00F71405">
              <w:rPr>
                <w:rFonts w:ascii="Times New Roman" w:eastAsia="Calibri" w:hAnsi="Times New Roman" w:cs="Times New Roman"/>
                <w:bCs/>
                <w:sz w:val="24"/>
                <w:szCs w:val="24"/>
                <w:lang w:val="ro-RO" w:eastAsia="ja-JP"/>
              </w:rPr>
              <w:t>,</w:t>
            </w:r>
            <w:r>
              <w:rPr>
                <w:rFonts w:ascii="Times New Roman" w:eastAsia="Calibri" w:hAnsi="Times New Roman" w:cs="Times New Roman"/>
                <w:bCs/>
                <w:sz w:val="24"/>
                <w:szCs w:val="24"/>
                <w:lang w:val="ro-RO" w:eastAsia="ja-JP"/>
              </w:rPr>
              <w:t xml:space="preserve"> fie prin ardere directă în instalațiile reglementate de prezentul Regulament</w:t>
            </w:r>
            <w:r w:rsidR="00F71405">
              <w:rPr>
                <w:rFonts w:ascii="Times New Roman" w:eastAsia="Calibri" w:hAnsi="Times New Roman" w:cs="Times New Roman"/>
                <w:bCs/>
                <w:sz w:val="24"/>
                <w:szCs w:val="24"/>
                <w:lang w:val="ro-RO" w:eastAsia="ja-JP"/>
              </w:rPr>
              <w:t>,</w:t>
            </w:r>
            <w:r w:rsidR="00A7035A">
              <w:rPr>
                <w:rFonts w:ascii="Times New Roman" w:eastAsia="Calibri" w:hAnsi="Times New Roman" w:cs="Times New Roman"/>
                <w:bCs/>
                <w:sz w:val="24"/>
                <w:szCs w:val="24"/>
                <w:lang w:val="ro-RO" w:eastAsia="ja-JP"/>
              </w:rPr>
              <w:t xml:space="preserve"> fie la generarea energiei electrice în centralele termoelectrice</w:t>
            </w:r>
            <w:r w:rsidR="00F71405">
              <w:rPr>
                <w:rFonts w:ascii="Times New Roman" w:eastAsia="Calibri" w:hAnsi="Times New Roman" w:cs="Times New Roman"/>
                <w:bCs/>
                <w:sz w:val="24"/>
                <w:szCs w:val="24"/>
                <w:lang w:val="ro-RO" w:eastAsia="ja-JP"/>
              </w:rPr>
              <w:t>,</w:t>
            </w:r>
            <w:r w:rsidR="00A7035A">
              <w:rPr>
                <w:rFonts w:ascii="Times New Roman" w:eastAsia="Calibri" w:hAnsi="Times New Roman" w:cs="Times New Roman"/>
                <w:bCs/>
                <w:sz w:val="24"/>
                <w:szCs w:val="24"/>
                <w:lang w:val="ro-RO" w:eastAsia="ja-JP"/>
              </w:rPr>
              <w:t xml:space="preserve"> generează gaze cu efect de seră cât și alți po</w:t>
            </w:r>
            <w:r w:rsidR="00F71405">
              <w:rPr>
                <w:rFonts w:ascii="Times New Roman" w:eastAsia="Calibri" w:hAnsi="Times New Roman" w:cs="Times New Roman"/>
                <w:bCs/>
                <w:sz w:val="24"/>
                <w:szCs w:val="24"/>
                <w:lang w:val="ro-RO" w:eastAsia="ja-JP"/>
              </w:rPr>
              <w:t>luanți care afectează</w:t>
            </w:r>
            <w:r w:rsidR="00A7035A">
              <w:rPr>
                <w:rFonts w:ascii="Times New Roman" w:eastAsia="Calibri" w:hAnsi="Times New Roman" w:cs="Times New Roman"/>
                <w:bCs/>
                <w:sz w:val="24"/>
                <w:szCs w:val="24"/>
                <w:lang w:val="ro-RO" w:eastAsia="ja-JP"/>
              </w:rPr>
              <w:t xml:space="preserve"> mediul ambiant, clima cât și sănătatea oamenilor și </w:t>
            </w:r>
            <w:r w:rsidR="00F71405">
              <w:rPr>
                <w:rFonts w:ascii="Times New Roman" w:eastAsia="Calibri" w:hAnsi="Times New Roman" w:cs="Times New Roman"/>
                <w:bCs/>
                <w:sz w:val="24"/>
                <w:szCs w:val="24"/>
                <w:lang w:val="ro-RO" w:eastAsia="ja-JP"/>
              </w:rPr>
              <w:t xml:space="preserve">a </w:t>
            </w:r>
            <w:r w:rsidR="00A7035A">
              <w:rPr>
                <w:rFonts w:ascii="Times New Roman" w:eastAsia="Calibri" w:hAnsi="Times New Roman" w:cs="Times New Roman"/>
                <w:bCs/>
                <w:sz w:val="24"/>
                <w:szCs w:val="24"/>
                <w:lang w:val="ro-RO" w:eastAsia="ja-JP"/>
              </w:rPr>
              <w:t>viețuitoarelor.</w:t>
            </w:r>
            <w:r>
              <w:rPr>
                <w:rFonts w:ascii="Times New Roman" w:eastAsia="Calibri" w:hAnsi="Times New Roman" w:cs="Times New Roman"/>
                <w:bCs/>
                <w:sz w:val="24"/>
                <w:szCs w:val="24"/>
                <w:lang w:val="ro-RO" w:eastAsia="ja-JP"/>
              </w:rPr>
              <w:t xml:space="preserve"> </w:t>
            </w:r>
          </w:p>
          <w:p w14:paraId="32E86801" w14:textId="31776119" w:rsidR="000B4ACD" w:rsidRDefault="00F71405" w:rsidP="00D34CF7">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Respectiv, </w:t>
            </w:r>
            <w:r w:rsidR="00D34CF7" w:rsidRPr="00A47B14">
              <w:rPr>
                <w:rFonts w:ascii="Times New Roman" w:eastAsia="Calibri" w:hAnsi="Times New Roman" w:cs="Times New Roman"/>
                <w:bCs/>
                <w:sz w:val="24"/>
                <w:szCs w:val="24"/>
                <w:lang w:val="ro-RO" w:eastAsia="ja-JP"/>
              </w:rPr>
              <w:t>Analiza de</w:t>
            </w:r>
            <w:r w:rsidR="00D34CF7">
              <w:rPr>
                <w:rFonts w:ascii="Times New Roman" w:eastAsia="Calibri" w:hAnsi="Times New Roman" w:cs="Times New Roman"/>
                <w:bCs/>
                <w:sz w:val="24"/>
                <w:szCs w:val="24"/>
                <w:lang w:val="ro-RO" w:eastAsia="ja-JP"/>
              </w:rPr>
              <w:t xml:space="preserve"> Impact al Regulamentului</w:t>
            </w:r>
            <w:r w:rsidR="00D34CF7">
              <w:rPr>
                <w:rStyle w:val="FootnoteReference"/>
                <w:rFonts w:ascii="Times New Roman" w:eastAsia="Calibri" w:hAnsi="Times New Roman" w:cs="Times New Roman"/>
                <w:bCs/>
                <w:sz w:val="24"/>
                <w:szCs w:val="24"/>
                <w:lang w:val="ro-RO" w:eastAsia="ja-JP"/>
              </w:rPr>
              <w:footnoteReference w:id="8"/>
            </w:r>
            <w:r w:rsidR="00D34CF7">
              <w:rPr>
                <w:rFonts w:ascii="Times New Roman" w:eastAsia="Calibri" w:hAnsi="Times New Roman" w:cs="Times New Roman"/>
                <w:bCs/>
                <w:sz w:val="24"/>
                <w:szCs w:val="24"/>
                <w:lang w:val="ro-RO" w:eastAsia="ja-JP"/>
              </w:rPr>
              <w:t xml:space="preserve"> (UE) </w:t>
            </w:r>
            <w:r w:rsidR="00D34CF7" w:rsidRPr="00A47B14">
              <w:rPr>
                <w:rFonts w:ascii="Times New Roman" w:eastAsia="Calibri" w:hAnsi="Times New Roman" w:cs="Times New Roman"/>
                <w:bCs/>
                <w:sz w:val="24"/>
                <w:szCs w:val="24"/>
                <w:lang w:val="ro-RO" w:eastAsia="ja-JP"/>
              </w:rPr>
              <w:t xml:space="preserve">nr. 813/2013 a Parlamentului European </w:t>
            </w:r>
            <w:proofErr w:type="spellStart"/>
            <w:r w:rsidR="00D34CF7" w:rsidRPr="00A47B14">
              <w:rPr>
                <w:rFonts w:ascii="Times New Roman" w:eastAsia="Calibri" w:hAnsi="Times New Roman" w:cs="Times New Roman"/>
                <w:bCs/>
                <w:sz w:val="24"/>
                <w:szCs w:val="24"/>
                <w:lang w:val="ro-RO" w:eastAsia="ja-JP"/>
              </w:rPr>
              <w:t>şi</w:t>
            </w:r>
            <w:proofErr w:type="spellEnd"/>
            <w:r w:rsidR="00D34CF7" w:rsidRPr="00A47B14">
              <w:rPr>
                <w:rFonts w:ascii="Times New Roman" w:eastAsia="Calibri" w:hAnsi="Times New Roman" w:cs="Times New Roman"/>
                <w:bCs/>
                <w:sz w:val="24"/>
                <w:szCs w:val="24"/>
                <w:lang w:val="ro-RO" w:eastAsia="ja-JP"/>
              </w:rPr>
              <w:t xml:space="preserve"> a Consiliului în ceea ce privește cerințele de proiectare ecologică pentru </w:t>
            </w:r>
            <w:r w:rsidR="001F7394" w:rsidRPr="00A47B14">
              <w:rPr>
                <w:rFonts w:ascii="Times New Roman" w:eastAsia="Calibri" w:hAnsi="Times New Roman" w:cs="Times New Roman"/>
                <w:bCs/>
                <w:sz w:val="24"/>
                <w:szCs w:val="24"/>
                <w:lang w:val="ro-RO" w:eastAsia="ja-JP"/>
              </w:rPr>
              <w:t>instalațiile</w:t>
            </w:r>
            <w:r w:rsidR="00D34CF7" w:rsidRPr="00A47B14">
              <w:rPr>
                <w:rFonts w:ascii="Times New Roman" w:eastAsia="Calibri" w:hAnsi="Times New Roman" w:cs="Times New Roman"/>
                <w:bCs/>
                <w:sz w:val="24"/>
                <w:szCs w:val="24"/>
                <w:lang w:val="ro-RO" w:eastAsia="ja-JP"/>
              </w:rPr>
              <w:t xml:space="preserve"> pentru încălzirea incintelor </w:t>
            </w:r>
            <w:proofErr w:type="spellStart"/>
            <w:r w:rsidR="00D34CF7" w:rsidRPr="00A47B14">
              <w:rPr>
                <w:rFonts w:ascii="Times New Roman" w:eastAsia="Calibri" w:hAnsi="Times New Roman" w:cs="Times New Roman"/>
                <w:bCs/>
                <w:sz w:val="24"/>
                <w:szCs w:val="24"/>
                <w:lang w:val="ro-RO" w:eastAsia="ja-JP"/>
              </w:rPr>
              <w:t>şi</w:t>
            </w:r>
            <w:proofErr w:type="spellEnd"/>
            <w:r w:rsidR="00D34CF7" w:rsidRPr="00A47B14">
              <w:rPr>
                <w:rFonts w:ascii="Times New Roman" w:eastAsia="Calibri" w:hAnsi="Times New Roman" w:cs="Times New Roman"/>
                <w:bCs/>
                <w:sz w:val="24"/>
                <w:szCs w:val="24"/>
                <w:lang w:val="ro-RO" w:eastAsia="ja-JP"/>
              </w:rPr>
              <w:t xml:space="preserve"> instalațiile de încălzire cu </w:t>
            </w:r>
            <w:r w:rsidR="001F7394" w:rsidRPr="00A47B14">
              <w:rPr>
                <w:rFonts w:ascii="Times New Roman" w:eastAsia="Calibri" w:hAnsi="Times New Roman" w:cs="Times New Roman"/>
                <w:bCs/>
                <w:sz w:val="24"/>
                <w:szCs w:val="24"/>
                <w:lang w:val="ro-RO" w:eastAsia="ja-JP"/>
              </w:rPr>
              <w:t>funcție</w:t>
            </w:r>
            <w:r w:rsidR="00D34CF7" w:rsidRPr="00A47B14">
              <w:rPr>
                <w:rFonts w:ascii="Times New Roman" w:eastAsia="Calibri" w:hAnsi="Times New Roman" w:cs="Times New Roman"/>
                <w:bCs/>
                <w:sz w:val="24"/>
                <w:szCs w:val="24"/>
                <w:lang w:val="ro-RO" w:eastAsia="ja-JP"/>
              </w:rPr>
              <w:t xml:space="preserve"> dublă, </w:t>
            </w:r>
            <w:r w:rsidR="00D34CF7">
              <w:rPr>
                <w:rFonts w:ascii="Times New Roman" w:eastAsia="Calibri" w:hAnsi="Times New Roman" w:cs="Times New Roman"/>
                <w:bCs/>
                <w:sz w:val="24"/>
                <w:szCs w:val="24"/>
                <w:lang w:val="ro-RO" w:eastAsia="ja-JP"/>
              </w:rPr>
              <w:t>a identificat că,</w:t>
            </w:r>
            <w:r w:rsidR="00D34CF7" w:rsidRPr="00A47B14">
              <w:rPr>
                <w:rFonts w:ascii="Times New Roman" w:eastAsia="Calibri" w:hAnsi="Times New Roman" w:cs="Times New Roman"/>
                <w:bCs/>
                <w:sz w:val="24"/>
                <w:szCs w:val="24"/>
                <w:lang w:val="ro-RO" w:eastAsia="ja-JP"/>
              </w:rPr>
              <w:t xml:space="preserve"> </w:t>
            </w:r>
            <w:r w:rsidR="00613CC4">
              <w:rPr>
                <w:rFonts w:ascii="Times New Roman" w:eastAsia="Calibri" w:hAnsi="Times New Roman" w:cs="Times New Roman"/>
                <w:bCs/>
                <w:sz w:val="24"/>
                <w:szCs w:val="24"/>
                <w:lang w:val="ro-RO" w:eastAsia="ja-JP"/>
              </w:rPr>
              <w:t xml:space="preserve">utilizarea </w:t>
            </w:r>
            <w:r w:rsidR="00A4332E">
              <w:rPr>
                <w:rFonts w:ascii="Times New Roman" w:eastAsia="Calibri" w:hAnsi="Times New Roman" w:cs="Times New Roman"/>
                <w:bCs/>
                <w:sz w:val="24"/>
                <w:szCs w:val="24"/>
                <w:lang w:val="ro-RO" w:eastAsia="ja-JP"/>
              </w:rPr>
              <w:t>instalațiilo</w:t>
            </w:r>
            <w:r w:rsidR="00613CC4">
              <w:rPr>
                <w:rFonts w:ascii="Times New Roman" w:eastAsia="Calibri" w:hAnsi="Times New Roman" w:cs="Times New Roman"/>
                <w:bCs/>
                <w:sz w:val="24"/>
                <w:szCs w:val="24"/>
                <w:lang w:val="ro-RO" w:eastAsia="ja-JP"/>
              </w:rPr>
              <w:t>r</w:t>
            </w:r>
            <w:r w:rsidR="00A4332E">
              <w:rPr>
                <w:rFonts w:ascii="Times New Roman" w:eastAsia="Calibri" w:hAnsi="Times New Roman" w:cs="Times New Roman"/>
                <w:bCs/>
                <w:sz w:val="24"/>
                <w:szCs w:val="24"/>
                <w:lang w:val="ro-RO" w:eastAsia="ja-JP"/>
              </w:rPr>
              <w:t xml:space="preserve"> proiectate conform Regulamentului față de instalațiilor din</w:t>
            </w:r>
            <w:r w:rsidR="00D34CF7">
              <w:rPr>
                <w:rFonts w:ascii="Times New Roman" w:eastAsia="Calibri" w:hAnsi="Times New Roman" w:cs="Times New Roman"/>
                <w:bCs/>
                <w:sz w:val="24"/>
                <w:szCs w:val="24"/>
                <w:lang w:val="ro-RO" w:eastAsia="ja-JP"/>
              </w:rPr>
              <w:t xml:space="preserve"> </w:t>
            </w:r>
            <w:r w:rsidR="001F7394">
              <w:rPr>
                <w:rFonts w:ascii="Times New Roman" w:eastAsia="Calibri" w:hAnsi="Times New Roman" w:cs="Times New Roman"/>
                <w:bCs/>
                <w:sz w:val="24"/>
                <w:szCs w:val="24"/>
                <w:lang w:val="ro-RO" w:eastAsia="ja-JP"/>
              </w:rPr>
              <w:t>anul 2005, reduce semnificativ emisia gazelor cu efect de seră, a cantității de energie și emisiil</w:t>
            </w:r>
            <w:r w:rsidR="00406D63">
              <w:rPr>
                <w:rFonts w:ascii="Times New Roman" w:eastAsia="Calibri" w:hAnsi="Times New Roman" w:cs="Times New Roman"/>
                <w:bCs/>
                <w:sz w:val="24"/>
                <w:szCs w:val="24"/>
                <w:lang w:val="ro-RO" w:eastAsia="ja-JP"/>
              </w:rPr>
              <w:t>or de particule fi</w:t>
            </w:r>
            <w:r w:rsidR="001F7394">
              <w:rPr>
                <w:rFonts w:ascii="Times New Roman" w:eastAsia="Calibri" w:hAnsi="Times New Roman" w:cs="Times New Roman"/>
                <w:bCs/>
                <w:sz w:val="24"/>
                <w:szCs w:val="24"/>
                <w:lang w:val="ro-RO" w:eastAsia="ja-JP"/>
              </w:rPr>
              <w:t>ne.</w:t>
            </w:r>
          </w:p>
          <w:tbl>
            <w:tblPr>
              <w:tblStyle w:val="TableGrid"/>
              <w:tblW w:w="0" w:type="auto"/>
              <w:tblLook w:val="04A0" w:firstRow="1" w:lastRow="0" w:firstColumn="1" w:lastColumn="0" w:noHBand="0" w:noVBand="1"/>
            </w:tblPr>
            <w:tblGrid>
              <w:gridCol w:w="3074"/>
              <w:gridCol w:w="1407"/>
              <w:gridCol w:w="1560"/>
              <w:gridCol w:w="1736"/>
              <w:gridCol w:w="1750"/>
            </w:tblGrid>
            <w:tr w:rsidR="00D34CF7" w14:paraId="0F558B2B" w14:textId="77777777" w:rsidTr="00D153FD">
              <w:tc>
                <w:tcPr>
                  <w:tcW w:w="4481" w:type="dxa"/>
                  <w:gridSpan w:val="2"/>
                  <w:vAlign w:val="center"/>
                </w:tcPr>
                <w:p w14:paraId="48F9FCF9" w14:textId="23CB01D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Impactul asupra mediului</w:t>
                  </w:r>
                </w:p>
              </w:tc>
              <w:tc>
                <w:tcPr>
                  <w:tcW w:w="1560" w:type="dxa"/>
                  <w:vAlign w:val="center"/>
                </w:tcPr>
                <w:p w14:paraId="396AB134"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Situația în</w:t>
                  </w:r>
                </w:p>
                <w:p w14:paraId="4D1CDC13"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2005</w:t>
                  </w:r>
                </w:p>
              </w:tc>
              <w:tc>
                <w:tcPr>
                  <w:tcW w:w="1736" w:type="dxa"/>
                  <w:vAlign w:val="center"/>
                </w:tcPr>
                <w:p w14:paraId="6733A9FB"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Opțiunea a nu face nimic </w:t>
                  </w:r>
                </w:p>
                <w:p w14:paraId="440CDD4C"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2013</w:t>
                  </w:r>
                </w:p>
              </w:tc>
              <w:tc>
                <w:tcPr>
                  <w:tcW w:w="1750" w:type="dxa"/>
                  <w:vAlign w:val="center"/>
                </w:tcPr>
                <w:p w14:paraId="3C9281A7"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Aplicarea </w:t>
                  </w:r>
                </w:p>
                <w:p w14:paraId="5B84C3BA" w14:textId="77777777" w:rsidR="00D34CF7" w:rsidRDefault="00D34CF7"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Regulamentului</w:t>
                  </w:r>
                </w:p>
              </w:tc>
            </w:tr>
            <w:tr w:rsidR="00582395" w14:paraId="02BC2468" w14:textId="77777777" w:rsidTr="00D153FD">
              <w:tc>
                <w:tcPr>
                  <w:tcW w:w="3074" w:type="dxa"/>
                  <w:vAlign w:val="center"/>
                </w:tcPr>
                <w:p w14:paraId="2FB67FF8" w14:textId="12390EFB" w:rsidR="00582395" w:rsidRDefault="00582395" w:rsidP="00D34CF7">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Energie </w:t>
                  </w:r>
                </w:p>
              </w:tc>
              <w:tc>
                <w:tcPr>
                  <w:tcW w:w="1407" w:type="dxa"/>
                </w:tcPr>
                <w:p w14:paraId="07582776" w14:textId="6F451EFF" w:rsidR="00582395" w:rsidRDefault="00864899" w:rsidP="00D34CF7">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PJ</w:t>
                  </w:r>
                  <w:r w:rsidR="00582395">
                    <w:rPr>
                      <w:rFonts w:ascii="Times New Roman" w:eastAsia="Calibri" w:hAnsi="Times New Roman" w:cs="Times New Roman"/>
                      <w:bCs/>
                      <w:sz w:val="24"/>
                      <w:szCs w:val="24"/>
                      <w:lang w:val="ro-RO" w:eastAsia="ja-JP"/>
                    </w:rPr>
                    <w:t>/an</w:t>
                  </w:r>
                </w:p>
              </w:tc>
              <w:tc>
                <w:tcPr>
                  <w:tcW w:w="1560" w:type="dxa"/>
                  <w:vAlign w:val="center"/>
                </w:tcPr>
                <w:p w14:paraId="5BEE8F97" w14:textId="77BE57D0" w:rsidR="00582395" w:rsidRDefault="00864899" w:rsidP="00864899">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12089</w:t>
                  </w:r>
                </w:p>
              </w:tc>
              <w:tc>
                <w:tcPr>
                  <w:tcW w:w="1736" w:type="dxa"/>
                  <w:vAlign w:val="center"/>
                </w:tcPr>
                <w:p w14:paraId="6A0776C2" w14:textId="1C026A16"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10688</w:t>
                  </w:r>
                </w:p>
              </w:tc>
              <w:tc>
                <w:tcPr>
                  <w:tcW w:w="1750" w:type="dxa"/>
                  <w:vAlign w:val="center"/>
                </w:tcPr>
                <w:p w14:paraId="3B63E7B0" w14:textId="628DC19E"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9678</w:t>
                  </w:r>
                </w:p>
              </w:tc>
            </w:tr>
            <w:tr w:rsidR="00582395" w14:paraId="5F2E528B" w14:textId="77777777" w:rsidTr="00D153FD">
              <w:tc>
                <w:tcPr>
                  <w:tcW w:w="3074" w:type="dxa"/>
                </w:tcPr>
                <w:p w14:paraId="76317EE9" w14:textId="33FDB847" w:rsidR="00582395" w:rsidRDefault="00582395" w:rsidP="00D34CF7">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G</w:t>
                  </w:r>
                  <w:r w:rsidR="00864899">
                    <w:rPr>
                      <w:rFonts w:ascii="Times New Roman" w:eastAsia="Calibri" w:hAnsi="Times New Roman" w:cs="Times New Roman"/>
                      <w:bCs/>
                      <w:sz w:val="24"/>
                      <w:szCs w:val="24"/>
                      <w:lang w:val="ro-RO" w:eastAsia="ja-JP"/>
                    </w:rPr>
                    <w:t>aze cu ef</w:t>
                  </w:r>
                  <w:r>
                    <w:rPr>
                      <w:rFonts w:ascii="Times New Roman" w:eastAsia="Calibri" w:hAnsi="Times New Roman" w:cs="Times New Roman"/>
                      <w:bCs/>
                      <w:sz w:val="24"/>
                      <w:szCs w:val="24"/>
                      <w:lang w:val="ro-RO" w:eastAsia="ja-JP"/>
                    </w:rPr>
                    <w:t>ect de seră</w:t>
                  </w:r>
                </w:p>
              </w:tc>
              <w:tc>
                <w:tcPr>
                  <w:tcW w:w="1407" w:type="dxa"/>
                </w:tcPr>
                <w:p w14:paraId="63DEABAD" w14:textId="2E58DB9E" w:rsidR="00582395" w:rsidRDefault="00864899" w:rsidP="00D34CF7">
                  <w:pPr>
                    <w:jc w:val="both"/>
                    <w:rPr>
                      <w:rFonts w:ascii="Times New Roman" w:eastAsia="Calibri" w:hAnsi="Times New Roman" w:cs="Times New Roman"/>
                      <w:bCs/>
                      <w:sz w:val="24"/>
                      <w:szCs w:val="24"/>
                      <w:lang w:val="ro-RO" w:eastAsia="ja-JP"/>
                    </w:rPr>
                  </w:pPr>
                  <w:proofErr w:type="spellStart"/>
                  <w:r>
                    <w:rPr>
                      <w:rFonts w:ascii="Times New Roman" w:eastAsia="Calibri" w:hAnsi="Times New Roman" w:cs="Times New Roman"/>
                      <w:bCs/>
                      <w:sz w:val="24"/>
                      <w:szCs w:val="24"/>
                      <w:lang w:val="ro-RO" w:eastAsia="ja-JP"/>
                    </w:rPr>
                    <w:t>Mt</w:t>
                  </w:r>
                  <w:proofErr w:type="spellEnd"/>
                  <w:r>
                    <w:rPr>
                      <w:rFonts w:ascii="Times New Roman" w:eastAsia="Calibri" w:hAnsi="Times New Roman" w:cs="Times New Roman"/>
                      <w:bCs/>
                      <w:sz w:val="24"/>
                      <w:szCs w:val="24"/>
                      <w:lang w:val="ro-RO" w:eastAsia="ja-JP"/>
                    </w:rPr>
                    <w:t xml:space="preserve"> CO2</w:t>
                  </w:r>
                  <w:r w:rsidR="00582395">
                    <w:rPr>
                      <w:rFonts w:ascii="Times New Roman" w:eastAsia="Calibri" w:hAnsi="Times New Roman" w:cs="Times New Roman"/>
                      <w:bCs/>
                      <w:sz w:val="24"/>
                      <w:szCs w:val="24"/>
                      <w:lang w:val="ro-RO" w:eastAsia="ja-JP"/>
                    </w:rPr>
                    <w:t>/an</w:t>
                  </w:r>
                </w:p>
              </w:tc>
              <w:tc>
                <w:tcPr>
                  <w:tcW w:w="1560" w:type="dxa"/>
                  <w:vAlign w:val="center"/>
                </w:tcPr>
                <w:p w14:paraId="706CEF93" w14:textId="5DFFD204"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698</w:t>
                  </w:r>
                </w:p>
              </w:tc>
              <w:tc>
                <w:tcPr>
                  <w:tcW w:w="1736" w:type="dxa"/>
                  <w:vAlign w:val="center"/>
                </w:tcPr>
                <w:p w14:paraId="1E2FD18A" w14:textId="264AB029"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617</w:t>
                  </w:r>
                </w:p>
              </w:tc>
              <w:tc>
                <w:tcPr>
                  <w:tcW w:w="1750" w:type="dxa"/>
                  <w:vAlign w:val="center"/>
                </w:tcPr>
                <w:p w14:paraId="2B866DC8" w14:textId="422D7C5D"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558</w:t>
                  </w:r>
                </w:p>
              </w:tc>
            </w:tr>
            <w:tr w:rsidR="00582395" w14:paraId="6F0A204C" w14:textId="77777777" w:rsidTr="00864899">
              <w:trPr>
                <w:trHeight w:val="161"/>
              </w:trPr>
              <w:tc>
                <w:tcPr>
                  <w:tcW w:w="3074" w:type="dxa"/>
                </w:tcPr>
                <w:p w14:paraId="13CCF900" w14:textId="25418464" w:rsidR="00582395" w:rsidRDefault="00864899" w:rsidP="00D34CF7">
                  <w:pPr>
                    <w:spacing w:before="12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Particule fine </w:t>
                  </w:r>
                </w:p>
              </w:tc>
              <w:tc>
                <w:tcPr>
                  <w:tcW w:w="1407" w:type="dxa"/>
                </w:tcPr>
                <w:p w14:paraId="3979398F" w14:textId="4AB4BCD0" w:rsidR="00582395" w:rsidRDefault="00864899" w:rsidP="00D34CF7">
                  <w:pPr>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kt </w:t>
                  </w:r>
                  <w:proofErr w:type="spellStart"/>
                  <w:r>
                    <w:rPr>
                      <w:rFonts w:ascii="Times New Roman" w:eastAsia="Calibri" w:hAnsi="Times New Roman" w:cs="Times New Roman"/>
                      <w:bCs/>
                      <w:sz w:val="24"/>
                      <w:szCs w:val="24"/>
                      <w:lang w:val="ro-RO" w:eastAsia="ja-JP"/>
                    </w:rPr>
                    <w:t>SOx</w:t>
                  </w:r>
                  <w:proofErr w:type="spellEnd"/>
                  <w:r>
                    <w:rPr>
                      <w:rFonts w:ascii="Times New Roman" w:eastAsia="Calibri" w:hAnsi="Times New Roman" w:cs="Times New Roman"/>
                      <w:bCs/>
                      <w:sz w:val="24"/>
                      <w:szCs w:val="24"/>
                      <w:lang w:val="ro-RO" w:eastAsia="ja-JP"/>
                    </w:rPr>
                    <w:t xml:space="preserve"> </w:t>
                  </w:r>
                  <w:proofErr w:type="spellStart"/>
                  <w:r>
                    <w:rPr>
                      <w:rFonts w:ascii="Times New Roman" w:eastAsia="Calibri" w:hAnsi="Times New Roman" w:cs="Times New Roman"/>
                      <w:bCs/>
                      <w:sz w:val="24"/>
                      <w:szCs w:val="24"/>
                      <w:lang w:val="ro-RO" w:eastAsia="ja-JP"/>
                    </w:rPr>
                    <w:t>eq</w:t>
                  </w:r>
                  <w:proofErr w:type="spellEnd"/>
                  <w:r w:rsidR="00582395">
                    <w:rPr>
                      <w:rFonts w:ascii="Times New Roman" w:eastAsia="Calibri" w:hAnsi="Times New Roman" w:cs="Times New Roman"/>
                      <w:bCs/>
                      <w:sz w:val="24"/>
                      <w:szCs w:val="24"/>
                      <w:lang w:val="ro-RO" w:eastAsia="ja-JP"/>
                    </w:rPr>
                    <w:t>/an</w:t>
                  </w:r>
                </w:p>
              </w:tc>
              <w:tc>
                <w:tcPr>
                  <w:tcW w:w="1560" w:type="dxa"/>
                  <w:vAlign w:val="center"/>
                </w:tcPr>
                <w:p w14:paraId="7AA20481" w14:textId="5907E8D3"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821</w:t>
                  </w:r>
                </w:p>
              </w:tc>
              <w:tc>
                <w:tcPr>
                  <w:tcW w:w="1736" w:type="dxa"/>
                  <w:vAlign w:val="center"/>
                </w:tcPr>
                <w:p w14:paraId="3493B5BC" w14:textId="391559BB"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783</w:t>
                  </w:r>
                </w:p>
              </w:tc>
              <w:tc>
                <w:tcPr>
                  <w:tcW w:w="1750" w:type="dxa"/>
                  <w:vAlign w:val="center"/>
                </w:tcPr>
                <w:p w14:paraId="21AFC44A" w14:textId="7F25A40D" w:rsidR="00582395" w:rsidRDefault="00864899" w:rsidP="00D34CF7">
                  <w:pPr>
                    <w:jc w:val="center"/>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789</w:t>
                  </w:r>
                </w:p>
              </w:tc>
            </w:tr>
          </w:tbl>
          <w:p w14:paraId="5600C246" w14:textId="621381AE" w:rsidR="00D34CF7" w:rsidRPr="00F71405" w:rsidRDefault="00D34CF7" w:rsidP="00D34CF7">
            <w:pPr>
              <w:spacing w:before="120" w:after="0"/>
              <w:jc w:val="both"/>
              <w:rPr>
                <w:rFonts w:ascii="Times New Roman" w:eastAsia="Calibri" w:hAnsi="Times New Roman" w:cs="Times New Roman"/>
                <w:bCs/>
                <w:sz w:val="24"/>
                <w:szCs w:val="24"/>
                <w:lang w:val="ro-RO" w:eastAsia="ja-JP"/>
              </w:rPr>
            </w:pPr>
          </w:p>
        </w:tc>
      </w:tr>
      <w:tr w:rsidR="00B468B6" w:rsidRPr="00B76CED" w14:paraId="6F8CC884" w14:textId="77777777" w:rsidTr="003319EB">
        <w:trPr>
          <w:jc w:val="center"/>
        </w:trPr>
        <w:tc>
          <w:tcPr>
            <w:tcW w:w="5000" w:type="pct"/>
            <w:gridSpan w:val="2"/>
            <w:shd w:val="clear" w:color="auto" w:fill="auto"/>
            <w:tcMar>
              <w:top w:w="15" w:type="dxa"/>
              <w:left w:w="45" w:type="dxa"/>
              <w:bottom w:w="15" w:type="dxa"/>
              <w:right w:w="45" w:type="dxa"/>
            </w:tcMar>
          </w:tcPr>
          <w:p w14:paraId="3E9B86BD" w14:textId="4D7997F0"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b</w:t>
            </w:r>
            <w:r w:rsidRPr="00EB1C0D">
              <w:rPr>
                <w:rFonts w:ascii="Times New Roman" w:eastAsia="Calibri" w:hAnsi="Times New Roman" w:cs="Times New Roman"/>
                <w:b/>
                <w:sz w:val="24"/>
                <w:szCs w:val="24"/>
                <w:vertAlign w:val="superscript"/>
                <w:lang w:val="ro-RO" w:eastAsia="en-GB"/>
              </w:rPr>
              <w:t>2</w:t>
            </w:r>
            <w:r w:rsidRPr="00EB1C0D">
              <w:rPr>
                <w:rFonts w:ascii="Times New Roman" w:eastAsia="Calibri" w:hAnsi="Times New Roman" w:cs="Times New Roman"/>
                <w:b/>
                <w:sz w:val="24"/>
                <w:szCs w:val="24"/>
                <w:lang w:val="ro-RO" w:eastAsia="en-GB"/>
              </w:rPr>
              <w:t xml:space="preserve">) Pentru </w:t>
            </w:r>
            <w:r w:rsidR="00BB6CE7" w:rsidRPr="00EB1C0D">
              <w:rPr>
                <w:rFonts w:ascii="Times New Roman" w:eastAsia="Calibri" w:hAnsi="Times New Roman" w:cs="Times New Roman"/>
                <w:b/>
                <w:sz w:val="24"/>
                <w:szCs w:val="24"/>
                <w:lang w:val="ro-RO" w:eastAsia="en-GB"/>
              </w:rPr>
              <w:t>opțiunile</w:t>
            </w:r>
            <w:r w:rsidRPr="00EB1C0D">
              <w:rPr>
                <w:rFonts w:ascii="Times New Roman" w:eastAsia="Calibri" w:hAnsi="Times New Roman" w:cs="Times New Roman"/>
                <w:b/>
                <w:sz w:val="24"/>
                <w:szCs w:val="24"/>
                <w:lang w:val="ro-RO" w:eastAsia="en-GB"/>
              </w:rPr>
              <w:t xml:space="preserve"> alternative analizate, </w:t>
            </w:r>
            <w:r w:rsidR="00BB6CE7"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impacturile </w:t>
            </w:r>
            <w:r w:rsidR="00BB6CE7" w:rsidRPr="00EB1C0D">
              <w:rPr>
                <w:rFonts w:ascii="Times New Roman" w:eastAsia="Calibri" w:hAnsi="Times New Roman" w:cs="Times New Roman"/>
                <w:b/>
                <w:sz w:val="24"/>
                <w:szCs w:val="24"/>
                <w:lang w:val="ro-RO" w:eastAsia="en-GB"/>
              </w:rPr>
              <w:t>completând</w:t>
            </w:r>
            <w:r w:rsidRPr="00EB1C0D">
              <w:rPr>
                <w:rFonts w:ascii="Times New Roman" w:eastAsia="Calibri" w:hAnsi="Times New Roman" w:cs="Times New Roman"/>
                <w:b/>
                <w:sz w:val="24"/>
                <w:szCs w:val="24"/>
                <w:lang w:val="ro-RO" w:eastAsia="en-GB"/>
              </w:rPr>
              <w:t xml:space="preserve"> tabelul din anexa la prezentul formular. </w:t>
            </w:r>
            <w:r w:rsidR="00BB6CE7"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pe larg impacturile sub formă de costuri sau beneficii, inclusiv </w:t>
            </w:r>
            <w:r w:rsidR="00BB6CE7" w:rsidRPr="00EB1C0D">
              <w:rPr>
                <w:rFonts w:ascii="Times New Roman" w:eastAsia="Calibri" w:hAnsi="Times New Roman" w:cs="Times New Roman"/>
                <w:b/>
                <w:sz w:val="24"/>
                <w:szCs w:val="24"/>
                <w:lang w:val="ro-RO" w:eastAsia="en-GB"/>
              </w:rPr>
              <w:t>părțile</w:t>
            </w:r>
            <w:r w:rsidRPr="00EB1C0D">
              <w:rPr>
                <w:rFonts w:ascii="Times New Roman" w:eastAsia="Calibri" w:hAnsi="Times New Roman" w:cs="Times New Roman"/>
                <w:b/>
                <w:sz w:val="24"/>
                <w:szCs w:val="24"/>
                <w:lang w:val="ro-RO" w:eastAsia="en-GB"/>
              </w:rPr>
              <w:t xml:space="preserve"> interesate care ar putea fi afectate pozitiv </w:t>
            </w:r>
            <w:r w:rsidR="00BB6CE7"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negativ de acestea</w:t>
            </w:r>
            <w:r w:rsidR="00BB6CE7" w:rsidRPr="00EB1C0D">
              <w:rPr>
                <w:rFonts w:ascii="Times New Roman" w:eastAsia="Calibri" w:hAnsi="Times New Roman" w:cs="Times New Roman"/>
                <w:b/>
                <w:sz w:val="24"/>
                <w:szCs w:val="24"/>
                <w:lang w:val="ro-RO" w:eastAsia="en-GB"/>
              </w:rPr>
              <w:t>.</w:t>
            </w:r>
          </w:p>
        </w:tc>
      </w:tr>
      <w:tr w:rsidR="00B468B6" w:rsidRPr="002F5E3B" w14:paraId="0C3955C5" w14:textId="77777777" w:rsidTr="003319EB">
        <w:trPr>
          <w:jc w:val="center"/>
        </w:trPr>
        <w:tc>
          <w:tcPr>
            <w:tcW w:w="5000" w:type="pct"/>
            <w:gridSpan w:val="2"/>
            <w:tcMar>
              <w:top w:w="15" w:type="dxa"/>
              <w:left w:w="45" w:type="dxa"/>
              <w:bottom w:w="15" w:type="dxa"/>
              <w:right w:w="45" w:type="dxa"/>
            </w:tcMar>
          </w:tcPr>
          <w:p w14:paraId="06F55137" w14:textId="6D62781F" w:rsidR="00AD1A52" w:rsidRPr="00421356" w:rsidRDefault="00444680" w:rsidP="004C40BE">
            <w:pPr>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ro-RO" w:eastAsia="ru-RU"/>
              </w:rPr>
              <w:t>-</w:t>
            </w:r>
          </w:p>
        </w:tc>
      </w:tr>
      <w:tr w:rsidR="00B468B6" w:rsidRPr="00B76CED" w14:paraId="13FF1C6C" w14:textId="77777777" w:rsidTr="003319EB">
        <w:trPr>
          <w:jc w:val="center"/>
        </w:trPr>
        <w:tc>
          <w:tcPr>
            <w:tcW w:w="5000" w:type="pct"/>
            <w:gridSpan w:val="2"/>
            <w:shd w:val="clear" w:color="auto" w:fill="auto"/>
            <w:tcMar>
              <w:top w:w="15" w:type="dxa"/>
              <w:left w:w="45" w:type="dxa"/>
              <w:bottom w:w="15" w:type="dxa"/>
              <w:right w:w="45" w:type="dxa"/>
            </w:tcMar>
          </w:tcPr>
          <w:p w14:paraId="0E9C0F2E" w14:textId="2546FED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 Pentru </w:t>
            </w:r>
            <w:r w:rsidR="00896882" w:rsidRPr="00EB1C0D">
              <w:rPr>
                <w:rFonts w:ascii="Times New Roman" w:eastAsia="Calibri" w:hAnsi="Times New Roman" w:cs="Times New Roman"/>
                <w:b/>
                <w:sz w:val="24"/>
                <w:szCs w:val="24"/>
                <w:lang w:val="ro-RO" w:eastAsia="en-GB"/>
              </w:rPr>
              <w:t>opțiunile</w:t>
            </w:r>
            <w:r w:rsidRPr="00EB1C0D">
              <w:rPr>
                <w:rFonts w:ascii="Times New Roman" w:eastAsia="Calibri" w:hAnsi="Times New Roman" w:cs="Times New Roman"/>
                <w:b/>
                <w:sz w:val="24"/>
                <w:szCs w:val="24"/>
                <w:lang w:val="ro-RO" w:eastAsia="en-GB"/>
              </w:rPr>
              <w:t xml:space="preserve"> analizate, </w:t>
            </w:r>
            <w:r w:rsidR="00896882"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cele mai relevante/iminente riscuri care pot duce la </w:t>
            </w:r>
            <w:r w:rsidR="00896882" w:rsidRPr="00EB1C0D">
              <w:rPr>
                <w:rFonts w:ascii="Times New Roman" w:eastAsia="Calibri" w:hAnsi="Times New Roman" w:cs="Times New Roman"/>
                <w:b/>
                <w:sz w:val="24"/>
                <w:szCs w:val="24"/>
                <w:lang w:val="ro-RO" w:eastAsia="en-GB"/>
              </w:rPr>
              <w:t>eșecul</w:t>
            </w:r>
            <w:r w:rsidRPr="00EB1C0D">
              <w:rPr>
                <w:rFonts w:ascii="Times New Roman" w:eastAsia="Calibri" w:hAnsi="Times New Roman" w:cs="Times New Roman"/>
                <w:b/>
                <w:sz w:val="24"/>
                <w:szCs w:val="24"/>
                <w:lang w:val="ro-RO" w:eastAsia="en-GB"/>
              </w:rPr>
              <w:t xml:space="preserve"> </w:t>
            </w:r>
            <w:r w:rsidR="00896882" w:rsidRPr="00EB1C0D">
              <w:rPr>
                <w:rFonts w:ascii="Times New Roman" w:eastAsia="Calibri" w:hAnsi="Times New Roman" w:cs="Times New Roman"/>
                <w:b/>
                <w:sz w:val="24"/>
                <w:szCs w:val="24"/>
                <w:lang w:val="ro-RO" w:eastAsia="en-GB"/>
              </w:rPr>
              <w:t>intervenției</w:t>
            </w:r>
            <w:r w:rsidRPr="00EB1C0D">
              <w:rPr>
                <w:rFonts w:ascii="Times New Roman" w:eastAsia="Calibri" w:hAnsi="Times New Roman" w:cs="Times New Roman"/>
                <w:b/>
                <w:sz w:val="24"/>
                <w:szCs w:val="24"/>
                <w:lang w:val="ro-RO" w:eastAsia="en-GB"/>
              </w:rPr>
              <w:t xml:space="preserve"> </w:t>
            </w:r>
            <w:r w:rsidR="0089688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/sau schimba </w:t>
            </w:r>
            <w:r w:rsidR="00896882" w:rsidRPr="00EB1C0D">
              <w:rPr>
                <w:rFonts w:ascii="Times New Roman" w:eastAsia="Calibri" w:hAnsi="Times New Roman" w:cs="Times New Roman"/>
                <w:b/>
                <w:sz w:val="24"/>
                <w:szCs w:val="24"/>
                <w:lang w:val="ro-RO" w:eastAsia="en-GB"/>
              </w:rPr>
              <w:t>substanțial</w:t>
            </w:r>
            <w:r w:rsidRPr="00EB1C0D">
              <w:rPr>
                <w:rFonts w:ascii="Times New Roman" w:eastAsia="Calibri" w:hAnsi="Times New Roman" w:cs="Times New Roman"/>
                <w:b/>
                <w:sz w:val="24"/>
                <w:szCs w:val="24"/>
                <w:lang w:val="ro-RO" w:eastAsia="en-GB"/>
              </w:rPr>
              <w:t xml:space="preserve"> valoarea beneficiilor </w:t>
            </w:r>
            <w:r w:rsidR="0089688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costurilor estimate </w:t>
            </w:r>
            <w:r w:rsidR="00896882"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w:t>
            </w:r>
            <w:r w:rsidR="00896882" w:rsidRPr="00EB1C0D">
              <w:rPr>
                <w:rFonts w:ascii="Times New Roman" w:eastAsia="Calibri" w:hAnsi="Times New Roman" w:cs="Times New Roman"/>
                <w:b/>
                <w:sz w:val="24"/>
                <w:szCs w:val="24"/>
                <w:lang w:val="ro-RO" w:eastAsia="en-GB"/>
              </w:rPr>
              <w:t>prezentați</w:t>
            </w:r>
            <w:r w:rsidRPr="00EB1C0D">
              <w:rPr>
                <w:rFonts w:ascii="Times New Roman" w:eastAsia="Calibri" w:hAnsi="Times New Roman" w:cs="Times New Roman"/>
                <w:b/>
                <w:sz w:val="24"/>
                <w:szCs w:val="24"/>
                <w:lang w:val="ro-RO" w:eastAsia="en-GB"/>
              </w:rPr>
              <w:t xml:space="preserve"> presupuneri privind gradul de conformare cu prevederile proiectului a celor </w:t>
            </w:r>
            <w:r w:rsidR="00896882" w:rsidRPr="00EB1C0D">
              <w:rPr>
                <w:rFonts w:ascii="Times New Roman" w:eastAsia="Calibri" w:hAnsi="Times New Roman" w:cs="Times New Roman"/>
                <w:b/>
                <w:sz w:val="24"/>
                <w:szCs w:val="24"/>
                <w:lang w:val="ro-RO" w:eastAsia="en-GB"/>
              </w:rPr>
              <w:t>vizați</w:t>
            </w:r>
            <w:r w:rsidRPr="00EB1C0D">
              <w:rPr>
                <w:rFonts w:ascii="Times New Roman" w:eastAsia="Calibri" w:hAnsi="Times New Roman" w:cs="Times New Roman"/>
                <w:b/>
                <w:sz w:val="24"/>
                <w:szCs w:val="24"/>
                <w:lang w:val="ro-RO" w:eastAsia="en-GB"/>
              </w:rPr>
              <w:t xml:space="preserve"> în acesta</w:t>
            </w:r>
          </w:p>
        </w:tc>
      </w:tr>
      <w:tr w:rsidR="00B468B6" w:rsidRPr="00B76CED" w14:paraId="3069E86A" w14:textId="77777777" w:rsidTr="003319EB">
        <w:trPr>
          <w:jc w:val="center"/>
        </w:trPr>
        <w:tc>
          <w:tcPr>
            <w:tcW w:w="5000" w:type="pct"/>
            <w:gridSpan w:val="2"/>
            <w:tcMar>
              <w:top w:w="15" w:type="dxa"/>
              <w:left w:w="45" w:type="dxa"/>
              <w:bottom w:w="15" w:type="dxa"/>
              <w:right w:w="45" w:type="dxa"/>
            </w:tcMar>
          </w:tcPr>
          <w:p w14:paraId="680D4A97" w14:textId="5A3E7220" w:rsidR="00AF24D4" w:rsidRDefault="001F4C76" w:rsidP="00DA5F81">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Pentru opțiunea </w:t>
            </w:r>
            <w:r w:rsidRPr="001F4C76">
              <w:rPr>
                <w:rFonts w:ascii="Times New Roman" w:eastAsia="Times New Roman" w:hAnsi="Times New Roman" w:cs="Times New Roman"/>
                <w:b/>
                <w:i/>
                <w:sz w:val="24"/>
                <w:szCs w:val="24"/>
                <w:lang w:val="ro-RO" w:eastAsia="ro-RO"/>
              </w:rPr>
              <w:t>„a nu face nimic</w:t>
            </w:r>
            <w:r>
              <w:rPr>
                <w:rFonts w:ascii="Times New Roman" w:eastAsia="Times New Roman" w:hAnsi="Times New Roman" w:cs="Times New Roman"/>
                <w:sz w:val="24"/>
                <w:szCs w:val="24"/>
                <w:lang w:val="ro-RO" w:eastAsia="ro-RO"/>
              </w:rPr>
              <w:t>”</w:t>
            </w:r>
            <w:r w:rsidRPr="001F4C76">
              <w:rPr>
                <w:lang w:val="en-US"/>
              </w:rPr>
              <w:t xml:space="preserve"> </w:t>
            </w:r>
            <w:r w:rsidRPr="001F4C76">
              <w:rPr>
                <w:rFonts w:ascii="Times New Roman" w:eastAsia="Times New Roman" w:hAnsi="Times New Roman" w:cs="Times New Roman"/>
                <w:sz w:val="24"/>
                <w:szCs w:val="24"/>
                <w:lang w:val="ro-RO" w:eastAsia="ro-RO"/>
              </w:rPr>
              <w:t>cele mai relevante/iminente riscuri sunt următoarele:</w:t>
            </w:r>
          </w:p>
          <w:p w14:paraId="3CF2245D" w14:textId="4BD4CE5A" w:rsidR="0002509A" w:rsidRPr="00D55520" w:rsidRDefault="0002509A" w:rsidP="00D55520">
            <w:pPr>
              <w:pStyle w:val="ListParagraph"/>
              <w:numPr>
                <w:ilvl w:val="0"/>
                <w:numId w:val="20"/>
              </w:numPr>
              <w:tabs>
                <w:tab w:val="left" w:pos="1418"/>
              </w:tabs>
              <w:spacing w:after="0"/>
              <w:contextualSpacing w:val="0"/>
              <w:jc w:val="both"/>
              <w:rPr>
                <w:rFonts w:ascii="Times New Roman" w:eastAsia="Times New Roman" w:hAnsi="Times New Roman" w:cs="Times New Roman"/>
                <w:sz w:val="24"/>
                <w:szCs w:val="24"/>
                <w:lang w:val="ro-RO" w:eastAsia="ro-RO"/>
              </w:rPr>
            </w:pPr>
          </w:p>
        </w:tc>
      </w:tr>
      <w:tr w:rsidR="00B468B6" w:rsidRPr="00B76CED" w14:paraId="038E3FC2" w14:textId="77777777" w:rsidTr="003319EB">
        <w:trPr>
          <w:jc w:val="center"/>
        </w:trPr>
        <w:tc>
          <w:tcPr>
            <w:tcW w:w="5000" w:type="pct"/>
            <w:gridSpan w:val="2"/>
            <w:shd w:val="clear" w:color="auto" w:fill="auto"/>
            <w:tcMar>
              <w:top w:w="15" w:type="dxa"/>
              <w:left w:w="45" w:type="dxa"/>
              <w:bottom w:w="15" w:type="dxa"/>
              <w:right w:w="45" w:type="dxa"/>
            </w:tcMar>
          </w:tcPr>
          <w:p w14:paraId="6A06022C" w14:textId="0379DB67"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d) Dacă este cazul, pentru </w:t>
            </w:r>
            <w:r w:rsidR="00DB0BF5"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recomandată </w:t>
            </w:r>
            <w:r w:rsidR="00DB0BF5"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costurile de conformare pentru întreprinderi, dacă există impact </w:t>
            </w:r>
            <w:r w:rsidR="00FC43E3" w:rsidRPr="00EB1C0D">
              <w:rPr>
                <w:rFonts w:ascii="Times New Roman" w:eastAsia="Calibri" w:hAnsi="Times New Roman" w:cs="Times New Roman"/>
                <w:b/>
                <w:sz w:val="24"/>
                <w:szCs w:val="24"/>
                <w:lang w:val="ro-RO" w:eastAsia="en-GB"/>
              </w:rPr>
              <w:t>disproporționat</w:t>
            </w:r>
            <w:r w:rsidRPr="00EB1C0D">
              <w:rPr>
                <w:rFonts w:ascii="Times New Roman" w:eastAsia="Calibri" w:hAnsi="Times New Roman" w:cs="Times New Roman"/>
                <w:b/>
                <w:sz w:val="24"/>
                <w:szCs w:val="24"/>
                <w:lang w:val="ro-RO" w:eastAsia="en-GB"/>
              </w:rPr>
              <w:t xml:space="preserve"> care poate distorsiona </w:t>
            </w:r>
            <w:r w:rsidR="00FC43E3" w:rsidRPr="00EB1C0D">
              <w:rPr>
                <w:rFonts w:ascii="Times New Roman" w:eastAsia="Calibri" w:hAnsi="Times New Roman" w:cs="Times New Roman"/>
                <w:b/>
                <w:sz w:val="24"/>
                <w:szCs w:val="24"/>
                <w:lang w:val="ro-RO" w:eastAsia="en-GB"/>
              </w:rPr>
              <w:t>concurența</w:t>
            </w:r>
            <w:r w:rsidRPr="00EB1C0D">
              <w:rPr>
                <w:rFonts w:ascii="Times New Roman" w:eastAsia="Calibri" w:hAnsi="Times New Roman" w:cs="Times New Roman"/>
                <w:b/>
                <w:sz w:val="24"/>
                <w:szCs w:val="24"/>
                <w:lang w:val="ro-RO" w:eastAsia="en-GB"/>
              </w:rPr>
              <w:t xml:space="preserve">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ce impact are </w:t>
            </w:r>
            <w:r w:rsidR="00FC43E3" w:rsidRPr="00EB1C0D">
              <w:rPr>
                <w:rFonts w:ascii="Times New Roman" w:eastAsia="Calibri" w:hAnsi="Times New Roman" w:cs="Times New Roman"/>
                <w:b/>
                <w:sz w:val="24"/>
                <w:szCs w:val="24"/>
                <w:lang w:val="ro-RO" w:eastAsia="en-GB"/>
              </w:rPr>
              <w:t>opțiunea</w:t>
            </w:r>
            <w:r w:rsidRPr="00EB1C0D">
              <w:rPr>
                <w:rFonts w:ascii="Times New Roman" w:eastAsia="Calibri" w:hAnsi="Times New Roman" w:cs="Times New Roman"/>
                <w:b/>
                <w:sz w:val="24"/>
                <w:szCs w:val="24"/>
                <w:lang w:val="ro-RO" w:eastAsia="en-GB"/>
              </w:rPr>
              <w:t xml:space="preserve"> asupra întreprinderilor mici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mijlocii. Se explică dacă </w:t>
            </w:r>
            <w:r w:rsidR="00FC43E3" w:rsidRPr="00EB1C0D">
              <w:rPr>
                <w:rFonts w:ascii="Times New Roman" w:eastAsia="Calibri" w:hAnsi="Times New Roman" w:cs="Times New Roman"/>
                <w:b/>
                <w:sz w:val="24"/>
                <w:szCs w:val="24"/>
                <w:lang w:val="ro-RO" w:eastAsia="en-GB"/>
              </w:rPr>
              <w:t>sunt</w:t>
            </w:r>
            <w:r w:rsidRPr="00EB1C0D">
              <w:rPr>
                <w:rFonts w:ascii="Times New Roman" w:eastAsia="Calibri" w:hAnsi="Times New Roman" w:cs="Times New Roman"/>
                <w:b/>
                <w:sz w:val="24"/>
                <w:szCs w:val="24"/>
                <w:lang w:val="ro-RO" w:eastAsia="en-GB"/>
              </w:rPr>
              <w:t xml:space="preserve"> propuse măsuri de diminuare a acestor impacturi</w:t>
            </w:r>
          </w:p>
        </w:tc>
      </w:tr>
      <w:tr w:rsidR="00B468B6" w:rsidRPr="00B76CED" w14:paraId="7D66C374" w14:textId="77777777" w:rsidTr="003319EB">
        <w:trPr>
          <w:jc w:val="center"/>
        </w:trPr>
        <w:tc>
          <w:tcPr>
            <w:tcW w:w="5000" w:type="pct"/>
            <w:gridSpan w:val="2"/>
            <w:tcMar>
              <w:top w:w="15" w:type="dxa"/>
              <w:left w:w="45" w:type="dxa"/>
              <w:bottom w:w="15" w:type="dxa"/>
              <w:right w:w="45" w:type="dxa"/>
            </w:tcMar>
          </w:tcPr>
          <w:p w14:paraId="0330ACED" w14:textId="23076F94" w:rsidR="0007273A" w:rsidRPr="00EB1C0D" w:rsidRDefault="001D0AEF" w:rsidP="00DA5F81">
            <w:pPr>
              <w:tabs>
                <w:tab w:val="left" w:pos="0"/>
              </w:tabs>
              <w:spacing w:before="120" w:after="120"/>
              <w:rPr>
                <w:rFonts w:ascii="Times New Roman" w:eastAsia="Times New Roman" w:hAnsi="Times New Roman" w:cs="Times New Roman"/>
                <w:sz w:val="24"/>
                <w:szCs w:val="24"/>
                <w:lang w:val="ro-RO" w:eastAsia="ro-RO"/>
              </w:rPr>
            </w:pPr>
            <w:r w:rsidRPr="00EB1C0D">
              <w:rPr>
                <w:rFonts w:ascii="Times New Roman" w:eastAsia="Times New Roman" w:hAnsi="Times New Roman" w:cs="Times New Roman"/>
                <w:sz w:val="24"/>
                <w:szCs w:val="24"/>
                <w:lang w:val="ro-RO" w:eastAsia="ru-RU"/>
              </w:rPr>
              <w:t>N</w:t>
            </w:r>
            <w:r w:rsidR="008E4C9E" w:rsidRPr="00EB1C0D">
              <w:rPr>
                <w:rFonts w:ascii="Times New Roman" w:eastAsia="Times New Roman" w:hAnsi="Times New Roman" w:cs="Times New Roman"/>
                <w:sz w:val="24"/>
                <w:szCs w:val="24"/>
                <w:lang w:val="ro-RO" w:eastAsia="ru-RU"/>
              </w:rPr>
              <w:t xml:space="preserve">u au </w:t>
            </w:r>
            <w:r w:rsidR="0002509A">
              <w:rPr>
                <w:rFonts w:ascii="Times New Roman" w:eastAsia="Times New Roman" w:hAnsi="Times New Roman" w:cs="Times New Roman"/>
                <w:sz w:val="24"/>
                <w:szCs w:val="24"/>
                <w:lang w:val="ro-RO" w:eastAsia="ru-RU"/>
              </w:rPr>
              <w:t xml:space="preserve">fost </w:t>
            </w:r>
            <w:r w:rsidR="008E4C9E" w:rsidRPr="00EB1C0D">
              <w:rPr>
                <w:rFonts w:ascii="Times New Roman" w:eastAsia="Times New Roman" w:hAnsi="Times New Roman" w:cs="Times New Roman"/>
                <w:sz w:val="24"/>
                <w:szCs w:val="24"/>
                <w:lang w:val="ro-RO" w:eastAsia="ru-RU"/>
              </w:rPr>
              <w:t>identificat</w:t>
            </w:r>
            <w:r w:rsidRPr="00EB1C0D">
              <w:rPr>
                <w:rFonts w:ascii="Times New Roman" w:eastAsia="Times New Roman" w:hAnsi="Times New Roman" w:cs="Times New Roman"/>
                <w:sz w:val="24"/>
                <w:szCs w:val="24"/>
                <w:lang w:val="ro-RO" w:eastAsia="ru-RU"/>
              </w:rPr>
              <w:t>e</w:t>
            </w:r>
            <w:r w:rsidR="008E4C9E" w:rsidRPr="00EB1C0D">
              <w:rPr>
                <w:rFonts w:ascii="Times New Roman" w:eastAsia="Times New Roman" w:hAnsi="Times New Roman" w:cs="Times New Roman"/>
                <w:sz w:val="24"/>
                <w:szCs w:val="24"/>
                <w:lang w:val="ro-RO" w:eastAsia="ru-RU"/>
              </w:rPr>
              <w:t xml:space="preserve"> costuri de conformare.</w:t>
            </w:r>
          </w:p>
        </w:tc>
      </w:tr>
      <w:tr w:rsidR="00B468B6" w:rsidRPr="00B76CED" w14:paraId="2A4A58A1" w14:textId="77777777" w:rsidTr="003319EB">
        <w:trPr>
          <w:trHeight w:val="663"/>
          <w:jc w:val="center"/>
        </w:trPr>
        <w:tc>
          <w:tcPr>
            <w:tcW w:w="5000" w:type="pct"/>
            <w:gridSpan w:val="2"/>
            <w:shd w:val="clear" w:color="auto" w:fill="auto"/>
            <w:tcMar>
              <w:top w:w="15" w:type="dxa"/>
              <w:left w:w="45" w:type="dxa"/>
              <w:bottom w:w="15" w:type="dxa"/>
              <w:right w:w="45" w:type="dxa"/>
            </w:tcMar>
          </w:tcPr>
          <w:p w14:paraId="6A6544A8" w14:textId="77777777"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Concluzie </w:t>
            </w:r>
          </w:p>
          <w:p w14:paraId="4A07DA31" w14:textId="4E1823CA"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e) </w:t>
            </w:r>
            <w:r w:rsidR="00FC43E3" w:rsidRPr="00EB1C0D">
              <w:rPr>
                <w:rFonts w:ascii="Times New Roman" w:eastAsia="Calibri" w:hAnsi="Times New Roman" w:cs="Times New Roman"/>
                <w:b/>
                <w:sz w:val="24"/>
                <w:szCs w:val="24"/>
                <w:lang w:val="ro-RO" w:eastAsia="en-GB"/>
              </w:rPr>
              <w:t>Argumentați</w:t>
            </w:r>
            <w:r w:rsidRPr="00EB1C0D">
              <w:rPr>
                <w:rFonts w:ascii="Times New Roman" w:eastAsia="Calibri" w:hAnsi="Times New Roman" w:cs="Times New Roman"/>
                <w:b/>
                <w:sz w:val="24"/>
                <w:szCs w:val="24"/>
                <w:lang w:val="ro-RO" w:eastAsia="en-GB"/>
              </w:rPr>
              <w:t xml:space="preserve"> selectarea unei </w:t>
            </w:r>
            <w:r w:rsidR="00FC43E3" w:rsidRPr="00EB1C0D">
              <w:rPr>
                <w:rFonts w:ascii="Times New Roman" w:eastAsia="Calibri" w:hAnsi="Times New Roman" w:cs="Times New Roman"/>
                <w:b/>
                <w:sz w:val="24"/>
                <w:szCs w:val="24"/>
                <w:lang w:val="ro-RO" w:eastAsia="en-GB"/>
              </w:rPr>
              <w:t>opțiunii</w:t>
            </w:r>
            <w:r w:rsidRPr="00EB1C0D">
              <w:rPr>
                <w:rFonts w:ascii="Times New Roman" w:eastAsia="Calibri" w:hAnsi="Times New Roman" w:cs="Times New Roman"/>
                <w:b/>
                <w:sz w:val="24"/>
                <w:szCs w:val="24"/>
                <w:lang w:val="ro-RO" w:eastAsia="en-GB"/>
              </w:rPr>
              <w:t xml:space="preserve">, în baza atingerii obiectivelor, beneficiilor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costurilor, precum </w:t>
            </w:r>
            <w:r w:rsidR="00FC43E3"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a asigurării celui mai mic impact negativ asupra celor </w:t>
            </w:r>
            <w:r w:rsidR="00FC43E3" w:rsidRPr="00EB1C0D">
              <w:rPr>
                <w:rFonts w:ascii="Times New Roman" w:eastAsia="Calibri" w:hAnsi="Times New Roman" w:cs="Times New Roman"/>
                <w:b/>
                <w:sz w:val="24"/>
                <w:szCs w:val="24"/>
                <w:lang w:val="ro-RO" w:eastAsia="en-GB"/>
              </w:rPr>
              <w:t>afectați</w:t>
            </w:r>
          </w:p>
        </w:tc>
      </w:tr>
      <w:tr w:rsidR="00B468B6" w:rsidRPr="00B76CED" w14:paraId="2EBA0EB7" w14:textId="77777777" w:rsidTr="003319EB">
        <w:trPr>
          <w:jc w:val="center"/>
        </w:trPr>
        <w:tc>
          <w:tcPr>
            <w:tcW w:w="5000" w:type="pct"/>
            <w:gridSpan w:val="2"/>
            <w:tcMar>
              <w:top w:w="15" w:type="dxa"/>
              <w:left w:w="45" w:type="dxa"/>
              <w:bottom w:w="15" w:type="dxa"/>
              <w:right w:w="45" w:type="dxa"/>
            </w:tcMar>
          </w:tcPr>
          <w:p w14:paraId="0136CF44" w14:textId="5CD7D018" w:rsidR="004B2EE9" w:rsidRPr="00EB1C0D" w:rsidRDefault="00763B9C" w:rsidP="00156377">
            <w:pPr>
              <w:tabs>
                <w:tab w:val="left" w:pos="0"/>
                <w:tab w:val="left" w:pos="1562"/>
              </w:tabs>
              <w:suppressAutoHyphens/>
              <w:spacing w:after="60"/>
              <w:jc w:val="both"/>
              <w:rPr>
                <w:rFonts w:ascii="Times New Roman" w:eastAsia="Times New Roman" w:hAnsi="Times New Roman" w:cs="Times New Roman"/>
                <w:bCs/>
                <w:sz w:val="24"/>
                <w:szCs w:val="24"/>
                <w:lang w:val="ro-RO" w:eastAsia="ro-RO"/>
              </w:rPr>
            </w:pPr>
            <w:r w:rsidRPr="00763B9C">
              <w:rPr>
                <w:rFonts w:ascii="Times New Roman" w:eastAsia="Times New Roman" w:hAnsi="Times New Roman" w:cs="Times New Roman"/>
                <w:bCs/>
                <w:sz w:val="24"/>
                <w:szCs w:val="24"/>
                <w:lang w:val="ro-RO" w:eastAsia="ro-RO"/>
              </w:rPr>
              <w:t xml:space="preserve">Aprobarea </w:t>
            </w:r>
            <w:proofErr w:type="spellStart"/>
            <w:r w:rsidRPr="00763B9C">
              <w:rPr>
                <w:rFonts w:ascii="Times New Roman" w:eastAsia="Times New Roman" w:hAnsi="Times New Roman" w:cs="Times New Roman"/>
                <w:bCs/>
                <w:sz w:val="24"/>
                <w:szCs w:val="24"/>
                <w:lang w:val="ro-RO" w:eastAsia="ro-RO"/>
              </w:rPr>
              <w:t>Hotărîrii</w:t>
            </w:r>
            <w:proofErr w:type="spellEnd"/>
            <w:r w:rsidRPr="00763B9C">
              <w:rPr>
                <w:rFonts w:ascii="Times New Roman" w:eastAsia="Times New Roman" w:hAnsi="Times New Roman" w:cs="Times New Roman"/>
                <w:bCs/>
                <w:sz w:val="24"/>
                <w:szCs w:val="24"/>
                <w:lang w:val="ro-RO" w:eastAsia="ro-RO"/>
              </w:rPr>
              <w:t xml:space="preserve"> Guvernului cu privire la modificarea </w:t>
            </w:r>
            <w:proofErr w:type="spellStart"/>
            <w:r w:rsidRPr="00763B9C">
              <w:rPr>
                <w:rFonts w:ascii="Times New Roman" w:eastAsia="Times New Roman" w:hAnsi="Times New Roman" w:cs="Times New Roman"/>
                <w:bCs/>
                <w:sz w:val="24"/>
                <w:szCs w:val="24"/>
                <w:lang w:val="ro-RO" w:eastAsia="ro-RO"/>
              </w:rPr>
              <w:t>Hotărîrii</w:t>
            </w:r>
            <w:proofErr w:type="spellEnd"/>
            <w:r w:rsidRPr="00763B9C">
              <w:rPr>
                <w:rFonts w:ascii="Times New Roman" w:eastAsia="Times New Roman" w:hAnsi="Times New Roman" w:cs="Times New Roman"/>
                <w:bCs/>
                <w:sz w:val="24"/>
                <w:szCs w:val="24"/>
                <w:lang w:val="ro-RO" w:eastAsia="ro-RO"/>
              </w:rPr>
              <w:t xml:space="preserve"> Guvernului nr. 1003/2014 pentru aprobarea regulamentelor privind cerințele de etichetare energetică a unor produse cu impact energetic</w:t>
            </w:r>
            <w:r>
              <w:rPr>
                <w:rFonts w:ascii="Times New Roman" w:eastAsia="Times New Roman" w:hAnsi="Times New Roman" w:cs="Times New Roman"/>
                <w:bCs/>
                <w:sz w:val="24"/>
                <w:szCs w:val="24"/>
                <w:lang w:val="ro-RO" w:eastAsia="ro-RO"/>
              </w:rPr>
              <w:t xml:space="preserve">, este unica soluție </w:t>
            </w:r>
            <w:r w:rsidR="00843D33">
              <w:rPr>
                <w:rFonts w:ascii="Times New Roman" w:eastAsia="Times New Roman" w:hAnsi="Times New Roman" w:cs="Times New Roman"/>
                <w:bCs/>
                <w:sz w:val="24"/>
                <w:szCs w:val="24"/>
                <w:lang w:val="ro-RO" w:eastAsia="ro-RO"/>
              </w:rPr>
              <w:t>valabilă</w:t>
            </w:r>
            <w:r>
              <w:rPr>
                <w:rFonts w:ascii="Times New Roman" w:eastAsia="Times New Roman" w:hAnsi="Times New Roman" w:cs="Times New Roman"/>
                <w:bCs/>
                <w:sz w:val="24"/>
                <w:szCs w:val="24"/>
                <w:lang w:val="ro-RO" w:eastAsia="ro-RO"/>
              </w:rPr>
              <w:t xml:space="preserve"> la zi </w:t>
            </w:r>
            <w:r w:rsidR="00843D33">
              <w:rPr>
                <w:rFonts w:ascii="Times New Roman" w:eastAsia="Times New Roman" w:hAnsi="Times New Roman" w:cs="Times New Roman"/>
                <w:bCs/>
                <w:sz w:val="24"/>
                <w:szCs w:val="24"/>
                <w:lang w:val="ro-RO" w:eastAsia="ro-RO"/>
              </w:rPr>
              <w:t>capabilă să înlăture neconcordanțele cadrului normativ național cu prevederile aquis-ului comunitar pe domeniul energetic.</w:t>
            </w:r>
            <w:r>
              <w:rPr>
                <w:rFonts w:ascii="Times New Roman" w:eastAsia="Times New Roman" w:hAnsi="Times New Roman" w:cs="Times New Roman"/>
                <w:bCs/>
                <w:sz w:val="24"/>
                <w:szCs w:val="24"/>
                <w:lang w:val="ro-RO" w:eastAsia="ro-RO"/>
              </w:rPr>
              <w:t xml:space="preserve"> </w:t>
            </w:r>
          </w:p>
        </w:tc>
      </w:tr>
      <w:tr w:rsidR="00B468B6" w:rsidRPr="00EB1C0D" w14:paraId="6D4B03D8" w14:textId="77777777" w:rsidTr="003319EB">
        <w:trPr>
          <w:jc w:val="center"/>
        </w:trPr>
        <w:tc>
          <w:tcPr>
            <w:tcW w:w="5000" w:type="pct"/>
            <w:gridSpan w:val="2"/>
            <w:shd w:val="clear" w:color="auto" w:fill="auto"/>
            <w:tcMar>
              <w:top w:w="15" w:type="dxa"/>
              <w:left w:w="45" w:type="dxa"/>
              <w:bottom w:w="15" w:type="dxa"/>
              <w:right w:w="45" w:type="dxa"/>
            </w:tcMar>
          </w:tcPr>
          <w:p w14:paraId="32D34000" w14:textId="68E7C821" w:rsidR="00AD1A52" w:rsidRPr="00EB1C0D" w:rsidRDefault="00B468B6" w:rsidP="00DA5F81">
            <w:pPr>
              <w:spacing w:before="120" w:after="12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t>5. IMPLEMENTAREA ȘI MONITORIZAREA</w:t>
            </w:r>
          </w:p>
        </w:tc>
      </w:tr>
      <w:tr w:rsidR="00B468B6" w:rsidRPr="00B76CED" w14:paraId="248E2AE3" w14:textId="77777777" w:rsidTr="003319EB">
        <w:trPr>
          <w:jc w:val="center"/>
        </w:trPr>
        <w:tc>
          <w:tcPr>
            <w:tcW w:w="5000" w:type="pct"/>
            <w:gridSpan w:val="2"/>
            <w:shd w:val="clear" w:color="auto" w:fill="auto"/>
            <w:tcMar>
              <w:top w:w="15" w:type="dxa"/>
              <w:left w:w="45" w:type="dxa"/>
              <w:bottom w:w="15" w:type="dxa"/>
              <w:right w:w="45" w:type="dxa"/>
            </w:tcMar>
          </w:tcPr>
          <w:p w14:paraId="71DF74BB" w14:textId="3A8DA56C"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4E2CEB" w:rsidRPr="00EB1C0D">
              <w:rPr>
                <w:rFonts w:ascii="Times New Roman" w:eastAsia="Calibri" w:hAnsi="Times New Roman" w:cs="Times New Roman"/>
                <w:b/>
                <w:sz w:val="24"/>
                <w:szCs w:val="24"/>
                <w:lang w:val="ro-RO" w:eastAsia="en-GB"/>
              </w:rPr>
              <w:t>Descrieți</w:t>
            </w:r>
            <w:r w:rsidRPr="00EB1C0D">
              <w:rPr>
                <w:rFonts w:ascii="Times New Roman" w:eastAsia="Calibri" w:hAnsi="Times New Roman" w:cs="Times New Roman"/>
                <w:b/>
                <w:sz w:val="24"/>
                <w:szCs w:val="24"/>
                <w:lang w:val="ro-RO" w:eastAsia="en-GB"/>
              </w:rPr>
              <w:t xml:space="preserve"> cum va fi organizată implementarea </w:t>
            </w:r>
            <w:r w:rsidR="004E2CEB" w:rsidRPr="00EB1C0D">
              <w:rPr>
                <w:rFonts w:ascii="Times New Roman" w:eastAsia="Calibri" w:hAnsi="Times New Roman" w:cs="Times New Roman"/>
                <w:b/>
                <w:sz w:val="24"/>
                <w:szCs w:val="24"/>
                <w:lang w:val="ro-RO" w:eastAsia="en-GB"/>
              </w:rPr>
              <w:t>opțiunii</w:t>
            </w:r>
            <w:r w:rsidRPr="00EB1C0D">
              <w:rPr>
                <w:rFonts w:ascii="Times New Roman" w:eastAsia="Calibri" w:hAnsi="Times New Roman" w:cs="Times New Roman"/>
                <w:b/>
                <w:sz w:val="24"/>
                <w:szCs w:val="24"/>
                <w:lang w:val="ro-RO" w:eastAsia="en-GB"/>
              </w:rPr>
              <w:t xml:space="preserve"> recomandate, ce cadru juridic necesită a fi modificat </w:t>
            </w:r>
            <w:r w:rsidR="004E2CEB"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/sau elaborat </w:t>
            </w:r>
            <w:r w:rsidR="004E2CEB"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aprobat, ce schimbări </w:t>
            </w:r>
            <w:r w:rsidR="004E2CEB" w:rsidRPr="00EB1C0D">
              <w:rPr>
                <w:rFonts w:ascii="Times New Roman" w:eastAsia="Calibri" w:hAnsi="Times New Roman" w:cs="Times New Roman"/>
                <w:b/>
                <w:sz w:val="24"/>
                <w:szCs w:val="24"/>
                <w:lang w:val="ro-RO" w:eastAsia="en-GB"/>
              </w:rPr>
              <w:t>instituționale</w:t>
            </w:r>
            <w:r w:rsidRPr="00EB1C0D">
              <w:rPr>
                <w:rFonts w:ascii="Times New Roman" w:eastAsia="Calibri" w:hAnsi="Times New Roman" w:cs="Times New Roman"/>
                <w:b/>
                <w:sz w:val="24"/>
                <w:szCs w:val="24"/>
                <w:lang w:val="ro-RO" w:eastAsia="en-GB"/>
              </w:rPr>
              <w:t xml:space="preserve"> </w:t>
            </w:r>
            <w:r w:rsidR="004E2CEB" w:rsidRPr="00EB1C0D">
              <w:rPr>
                <w:rFonts w:ascii="Times New Roman" w:eastAsia="Calibri" w:hAnsi="Times New Roman" w:cs="Times New Roman"/>
                <w:b/>
                <w:sz w:val="24"/>
                <w:szCs w:val="24"/>
                <w:lang w:val="ro-RO" w:eastAsia="en-GB"/>
              </w:rPr>
              <w:t>sunt</w:t>
            </w:r>
            <w:r w:rsidRPr="00EB1C0D">
              <w:rPr>
                <w:rFonts w:ascii="Times New Roman" w:eastAsia="Calibri" w:hAnsi="Times New Roman" w:cs="Times New Roman"/>
                <w:b/>
                <w:sz w:val="24"/>
                <w:szCs w:val="24"/>
                <w:lang w:val="ro-RO" w:eastAsia="en-GB"/>
              </w:rPr>
              <w:t xml:space="preserve"> necesare</w:t>
            </w:r>
          </w:p>
        </w:tc>
      </w:tr>
      <w:tr w:rsidR="00B468B6" w:rsidRPr="00B76CED" w14:paraId="6C6F7C21" w14:textId="77777777" w:rsidTr="003319EB">
        <w:trPr>
          <w:jc w:val="center"/>
        </w:trPr>
        <w:tc>
          <w:tcPr>
            <w:tcW w:w="5000" w:type="pct"/>
            <w:gridSpan w:val="2"/>
            <w:tcMar>
              <w:top w:w="15" w:type="dxa"/>
              <w:left w:w="45" w:type="dxa"/>
              <w:bottom w:w="15" w:type="dxa"/>
              <w:right w:w="45" w:type="dxa"/>
            </w:tcMar>
          </w:tcPr>
          <w:p w14:paraId="19D0EF7F" w14:textId="0CE0C7B1" w:rsidR="00D153FD" w:rsidRPr="00D153FD" w:rsidRDefault="00795D1C" w:rsidP="00D153FD">
            <w:pPr>
              <w:spacing w:before="240" w:after="120" w:line="240" w:lineRule="auto"/>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Conform</w:t>
            </w:r>
            <w:r w:rsidR="00D153FD">
              <w:rPr>
                <w:rFonts w:ascii="Times New Roman" w:eastAsia="Times New Roman" w:hAnsi="Times New Roman" w:cs="Times New Roman"/>
                <w:sz w:val="24"/>
                <w:szCs w:val="20"/>
                <w:lang w:val="ro-RO"/>
              </w:rPr>
              <w:t xml:space="preserve"> </w:t>
            </w:r>
            <w:proofErr w:type="spellStart"/>
            <w:r w:rsidR="00D153FD">
              <w:rPr>
                <w:rFonts w:ascii="Times New Roman" w:eastAsia="Times New Roman" w:hAnsi="Times New Roman" w:cs="Times New Roman"/>
                <w:sz w:val="24"/>
                <w:szCs w:val="20"/>
                <w:lang w:val="ro-RO"/>
              </w:rPr>
              <w:t>Hotărîrii</w:t>
            </w:r>
            <w:proofErr w:type="spellEnd"/>
            <w:r w:rsidR="00D153FD">
              <w:rPr>
                <w:rFonts w:ascii="Times New Roman" w:eastAsia="Times New Roman" w:hAnsi="Times New Roman" w:cs="Times New Roman"/>
                <w:sz w:val="24"/>
                <w:szCs w:val="20"/>
                <w:lang w:val="ro-RO"/>
              </w:rPr>
              <w:t xml:space="preserve"> Guvernului </w:t>
            </w:r>
            <w:r w:rsidR="007B1326" w:rsidRPr="007B1326">
              <w:rPr>
                <w:rFonts w:ascii="Times New Roman" w:eastAsia="Times New Roman" w:hAnsi="Times New Roman" w:cs="Times New Roman"/>
                <w:sz w:val="24"/>
                <w:szCs w:val="20"/>
                <w:lang w:val="ro-RO"/>
              </w:rPr>
              <w:t xml:space="preserve">750/2016 pentru aprobarea regulamentelor privind </w:t>
            </w:r>
            <w:proofErr w:type="spellStart"/>
            <w:r w:rsidR="007B1326" w:rsidRPr="007B1326">
              <w:rPr>
                <w:rFonts w:ascii="Times New Roman" w:eastAsia="Times New Roman" w:hAnsi="Times New Roman" w:cs="Times New Roman"/>
                <w:sz w:val="24"/>
                <w:szCs w:val="20"/>
                <w:lang w:val="ro-RO"/>
              </w:rPr>
              <w:t>cerinţele</w:t>
            </w:r>
            <w:proofErr w:type="spellEnd"/>
            <w:r w:rsidR="007B1326" w:rsidRPr="007B1326">
              <w:rPr>
                <w:rFonts w:ascii="Times New Roman" w:eastAsia="Times New Roman" w:hAnsi="Times New Roman" w:cs="Times New Roman"/>
                <w:sz w:val="24"/>
                <w:szCs w:val="20"/>
                <w:lang w:val="ro-RO"/>
              </w:rPr>
              <w:t xml:space="preserve"> în materie de proiectare ecologică aplicabile produselor cu impact energetic și ab</w:t>
            </w:r>
            <w:r w:rsidR="007B1326">
              <w:rPr>
                <w:rFonts w:ascii="Times New Roman" w:eastAsia="Times New Roman" w:hAnsi="Times New Roman" w:cs="Times New Roman"/>
                <w:sz w:val="24"/>
                <w:szCs w:val="20"/>
                <w:lang w:val="ro-RO"/>
              </w:rPr>
              <w:t xml:space="preserve">rogarea unei hotărâri de guvern, </w:t>
            </w:r>
            <w:r w:rsidR="00D153FD" w:rsidRPr="00D153FD">
              <w:rPr>
                <w:rFonts w:ascii="Times New Roman" w:eastAsia="Times New Roman" w:hAnsi="Times New Roman" w:cs="Times New Roman"/>
                <w:sz w:val="24"/>
                <w:szCs w:val="20"/>
                <w:lang w:val="ro-RO"/>
              </w:rPr>
              <w:t>Ministerului Economiei și Infrastructurii este responsabil de exercitarea controlului asupra executării Hotărârii Guvernului.</w:t>
            </w:r>
          </w:p>
          <w:p w14:paraId="7F80A9E2" w14:textId="77777777" w:rsidR="00D153FD" w:rsidRPr="00D153FD" w:rsidRDefault="00D153FD" w:rsidP="00D153FD">
            <w:pPr>
              <w:spacing w:before="120" w:after="120" w:line="240" w:lineRule="auto"/>
              <w:jc w:val="both"/>
              <w:rPr>
                <w:rFonts w:ascii="Times New Roman" w:eastAsia="Times New Roman" w:hAnsi="Times New Roman" w:cs="Times New Roman"/>
                <w:sz w:val="24"/>
                <w:szCs w:val="20"/>
                <w:lang w:val="ro-RO"/>
              </w:rPr>
            </w:pPr>
            <w:r w:rsidRPr="00D153FD">
              <w:rPr>
                <w:rFonts w:ascii="Times New Roman" w:eastAsia="Times New Roman" w:hAnsi="Times New Roman" w:cs="Times New Roman"/>
                <w:sz w:val="24"/>
                <w:szCs w:val="20"/>
                <w:lang w:val="ro-RO"/>
              </w:rPr>
              <w:t>Responsabili de implementarea Cerințelor sunt agenții economici care produc sau plasează pe piață produsele vizate, dar și autoritățile administrației publice centrale și cele responsabile de supravegherea pieței.</w:t>
            </w:r>
          </w:p>
          <w:p w14:paraId="06023FA3" w14:textId="7EC2D665" w:rsidR="00D153FD" w:rsidRPr="00D153FD" w:rsidRDefault="00D153FD" w:rsidP="00D153FD">
            <w:pPr>
              <w:spacing w:before="120" w:after="120" w:line="240" w:lineRule="auto"/>
              <w:jc w:val="both"/>
              <w:rPr>
                <w:rFonts w:ascii="Times New Roman" w:eastAsia="Times New Roman" w:hAnsi="Times New Roman" w:cs="Times New Roman"/>
                <w:sz w:val="24"/>
                <w:szCs w:val="20"/>
                <w:lang w:val="ro-RO"/>
              </w:rPr>
            </w:pPr>
            <w:r w:rsidRPr="00D153FD">
              <w:rPr>
                <w:rFonts w:ascii="Times New Roman" w:eastAsia="Times New Roman" w:hAnsi="Times New Roman" w:cs="Times New Roman"/>
                <w:sz w:val="24"/>
                <w:szCs w:val="20"/>
                <w:lang w:val="ro-RO"/>
              </w:rPr>
              <w:t>Implementarea va fi asigurată de instituțiile nemijlocit responsabile: Agenția pe</w:t>
            </w:r>
            <w:r w:rsidR="007B1326">
              <w:rPr>
                <w:rFonts w:ascii="Times New Roman" w:eastAsia="Times New Roman" w:hAnsi="Times New Roman" w:cs="Times New Roman"/>
                <w:sz w:val="24"/>
                <w:szCs w:val="20"/>
                <w:lang w:val="ro-RO"/>
              </w:rPr>
              <w:t>ntru protecția consumatorilor,</w:t>
            </w:r>
            <w:r w:rsidRPr="00D153FD">
              <w:rPr>
                <w:rFonts w:ascii="Times New Roman" w:eastAsia="Times New Roman" w:hAnsi="Times New Roman" w:cs="Times New Roman"/>
                <w:sz w:val="24"/>
                <w:szCs w:val="20"/>
                <w:lang w:val="ro-RO"/>
              </w:rPr>
              <w:t>, instituții subordonate și administrate de către Ministerul Economiei și Infrastructurii, precum și organismele de evaluarea conformității, recunoscute de către MEI.</w:t>
            </w:r>
          </w:p>
          <w:p w14:paraId="1F4FFF7F" w14:textId="77777777" w:rsidR="00D153FD" w:rsidRPr="00D153FD" w:rsidRDefault="00D153FD" w:rsidP="00D153FD">
            <w:pPr>
              <w:spacing w:before="120" w:after="120" w:line="240" w:lineRule="auto"/>
              <w:jc w:val="both"/>
              <w:rPr>
                <w:rFonts w:ascii="Times New Roman" w:eastAsia="Times New Roman" w:hAnsi="Times New Roman" w:cs="Times New Roman"/>
                <w:sz w:val="24"/>
                <w:szCs w:val="20"/>
                <w:lang w:val="ro-RO"/>
              </w:rPr>
            </w:pPr>
            <w:r w:rsidRPr="00D153FD">
              <w:rPr>
                <w:rFonts w:ascii="Times New Roman" w:eastAsia="Times New Roman" w:hAnsi="Times New Roman" w:cs="Times New Roman"/>
                <w:sz w:val="24"/>
                <w:szCs w:val="20"/>
                <w:lang w:val="ro-RO"/>
              </w:rPr>
              <w:t xml:space="preserve">S-a propus intrarea în vigoare a proiectului la 6 luni de la data publicării în Monitorul Oficial, luându-se în considerație că proiectul propus să fie publicat (adus la cunoștință publicului și organelor aferente) cu cel puțin jumătate de an înainte. </w:t>
            </w:r>
          </w:p>
          <w:p w14:paraId="7D10112A" w14:textId="5B097637" w:rsidR="00D55520" w:rsidRPr="0002509A" w:rsidRDefault="00D153FD" w:rsidP="00D153FD">
            <w:pPr>
              <w:spacing w:before="60" w:after="120"/>
              <w:jc w:val="both"/>
              <w:rPr>
                <w:rFonts w:ascii="Times New Roman" w:eastAsia="Times New Roman" w:hAnsi="Times New Roman" w:cs="Times New Roman"/>
                <w:bCs/>
                <w:sz w:val="24"/>
                <w:szCs w:val="24"/>
                <w:lang w:val="ro-RO" w:eastAsia="ro-RO"/>
              </w:rPr>
            </w:pPr>
            <w:r w:rsidRPr="00D153FD">
              <w:rPr>
                <w:rFonts w:ascii="Times New Roman" w:eastAsia="Times New Roman" w:hAnsi="Times New Roman" w:cs="Times New Roman"/>
                <w:sz w:val="24"/>
                <w:szCs w:val="20"/>
                <w:lang w:val="ro-RO"/>
              </w:rPr>
              <w:t>Monitorizarea urmează a fi efectuată de către Ministerul Economiei și Infrastructurii</w:t>
            </w:r>
          </w:p>
        </w:tc>
      </w:tr>
      <w:tr w:rsidR="00B468B6" w:rsidRPr="00B76CED" w14:paraId="0ECD843E" w14:textId="77777777" w:rsidTr="003319EB">
        <w:trPr>
          <w:jc w:val="center"/>
        </w:trPr>
        <w:tc>
          <w:tcPr>
            <w:tcW w:w="5000" w:type="pct"/>
            <w:gridSpan w:val="2"/>
            <w:shd w:val="clear" w:color="auto" w:fill="auto"/>
            <w:tcMar>
              <w:top w:w="15" w:type="dxa"/>
              <w:left w:w="45" w:type="dxa"/>
              <w:bottom w:w="15" w:type="dxa"/>
              <w:right w:w="45" w:type="dxa"/>
            </w:tcMar>
          </w:tcPr>
          <w:p w14:paraId="0BF9F235" w14:textId="1E81E017"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901D44" w:rsidRPr="00EB1C0D">
              <w:rPr>
                <w:rFonts w:ascii="Times New Roman" w:eastAsia="Calibri" w:hAnsi="Times New Roman" w:cs="Times New Roman"/>
                <w:b/>
                <w:sz w:val="24"/>
                <w:szCs w:val="24"/>
                <w:lang w:val="ro-RO" w:eastAsia="en-GB"/>
              </w:rPr>
              <w:t>Indicați</w:t>
            </w:r>
            <w:r w:rsidRPr="00EB1C0D">
              <w:rPr>
                <w:rFonts w:ascii="Times New Roman" w:eastAsia="Calibri" w:hAnsi="Times New Roman" w:cs="Times New Roman"/>
                <w:b/>
                <w:sz w:val="24"/>
                <w:szCs w:val="24"/>
                <w:lang w:val="ro-RO" w:eastAsia="en-GB"/>
              </w:rPr>
              <w:t xml:space="preserve"> clar indicatorii de </w:t>
            </w:r>
            <w:r w:rsidR="00901D44" w:rsidRPr="00EB1C0D">
              <w:rPr>
                <w:rFonts w:ascii="Times New Roman" w:eastAsia="Calibri" w:hAnsi="Times New Roman" w:cs="Times New Roman"/>
                <w:b/>
                <w:sz w:val="24"/>
                <w:szCs w:val="24"/>
                <w:lang w:val="ro-RO" w:eastAsia="en-GB"/>
              </w:rPr>
              <w:t>performanță</w:t>
            </w:r>
            <w:r w:rsidRPr="00EB1C0D">
              <w:rPr>
                <w:rFonts w:ascii="Times New Roman" w:eastAsia="Calibri" w:hAnsi="Times New Roman" w:cs="Times New Roman"/>
                <w:b/>
                <w:sz w:val="24"/>
                <w:szCs w:val="24"/>
                <w:lang w:val="ro-RO" w:eastAsia="en-GB"/>
              </w:rPr>
              <w:t xml:space="preserve"> în baza cărora se va efectua monitorizarea</w:t>
            </w:r>
          </w:p>
        </w:tc>
      </w:tr>
      <w:tr w:rsidR="00B468B6" w:rsidRPr="00B76CED" w14:paraId="0D9CC402" w14:textId="77777777" w:rsidTr="003319EB">
        <w:trPr>
          <w:jc w:val="center"/>
        </w:trPr>
        <w:tc>
          <w:tcPr>
            <w:tcW w:w="5000" w:type="pct"/>
            <w:gridSpan w:val="2"/>
            <w:tcMar>
              <w:top w:w="15" w:type="dxa"/>
              <w:left w:w="45" w:type="dxa"/>
              <w:bottom w:w="15" w:type="dxa"/>
              <w:right w:w="45" w:type="dxa"/>
            </w:tcMar>
          </w:tcPr>
          <w:p w14:paraId="0F4B662C" w14:textId="48A4EA2C" w:rsidR="00B64F85" w:rsidRDefault="00B64F85" w:rsidP="00E706FC">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activităților de informare a participanților la piață desfășurate;</w:t>
            </w:r>
          </w:p>
          <w:p w14:paraId="642069E6" w14:textId="35303C90" w:rsidR="00B64F85" w:rsidRDefault="00B64F85" w:rsidP="00E706FC">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controalelor în scopul supravegherii pieței efectuate;</w:t>
            </w:r>
          </w:p>
          <w:p w14:paraId="34C78560" w14:textId="77777777" w:rsidR="00B64F85" w:rsidRDefault="00E72433" w:rsidP="00B64F85">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produselor neconforme identificate</w:t>
            </w:r>
            <w:r w:rsidR="00B64F85">
              <w:rPr>
                <w:rFonts w:ascii="Times New Roman" w:eastAsia="Times New Roman" w:hAnsi="Times New Roman" w:cs="Times New Roman"/>
                <w:sz w:val="24"/>
                <w:szCs w:val="24"/>
                <w:lang w:val="ro-RO" w:eastAsia="ro-RO"/>
              </w:rPr>
              <w:t>;</w:t>
            </w:r>
          </w:p>
          <w:p w14:paraId="7D56FFB5" w14:textId="4BA2E984" w:rsidR="00186F26" w:rsidRPr="00EB1C0D" w:rsidRDefault="00186F26" w:rsidP="00B64F85">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măsurilor corective aplicate.</w:t>
            </w:r>
          </w:p>
        </w:tc>
      </w:tr>
      <w:tr w:rsidR="00B468B6" w:rsidRPr="00EB1C0D" w14:paraId="07802A95" w14:textId="77777777" w:rsidTr="003319EB">
        <w:trPr>
          <w:jc w:val="center"/>
        </w:trPr>
        <w:tc>
          <w:tcPr>
            <w:tcW w:w="5000" w:type="pct"/>
            <w:gridSpan w:val="2"/>
            <w:shd w:val="clear" w:color="auto" w:fill="auto"/>
            <w:tcMar>
              <w:top w:w="15" w:type="dxa"/>
              <w:left w:w="45" w:type="dxa"/>
              <w:bottom w:w="15" w:type="dxa"/>
              <w:right w:w="45" w:type="dxa"/>
            </w:tcMar>
          </w:tcPr>
          <w:p w14:paraId="521840F0" w14:textId="3C5A6319"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c) </w:t>
            </w:r>
            <w:r w:rsidR="005E0B39"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peste </w:t>
            </w:r>
            <w:proofErr w:type="spellStart"/>
            <w:r w:rsidRPr="00EB1C0D">
              <w:rPr>
                <w:rFonts w:ascii="Times New Roman" w:eastAsia="Calibri" w:hAnsi="Times New Roman" w:cs="Times New Roman"/>
                <w:b/>
                <w:sz w:val="24"/>
                <w:szCs w:val="24"/>
                <w:lang w:val="ro-RO" w:eastAsia="en-GB"/>
              </w:rPr>
              <w:t>cît</w:t>
            </w:r>
            <w:proofErr w:type="spellEnd"/>
            <w:r w:rsidRPr="00EB1C0D">
              <w:rPr>
                <w:rFonts w:ascii="Times New Roman" w:eastAsia="Calibri" w:hAnsi="Times New Roman" w:cs="Times New Roman"/>
                <w:b/>
                <w:sz w:val="24"/>
                <w:szCs w:val="24"/>
                <w:lang w:val="ro-RO" w:eastAsia="en-GB"/>
              </w:rPr>
              <w:t xml:space="preserve"> timp vor fi </w:t>
            </w:r>
            <w:r w:rsidR="005E0B39" w:rsidRPr="00EB1C0D">
              <w:rPr>
                <w:rFonts w:ascii="Times New Roman" w:eastAsia="Calibri" w:hAnsi="Times New Roman" w:cs="Times New Roman"/>
                <w:b/>
                <w:sz w:val="24"/>
                <w:szCs w:val="24"/>
                <w:lang w:val="ro-RO" w:eastAsia="en-GB"/>
              </w:rPr>
              <w:t>resimțite</w:t>
            </w:r>
            <w:r w:rsidRPr="00EB1C0D">
              <w:rPr>
                <w:rFonts w:ascii="Times New Roman" w:eastAsia="Calibri" w:hAnsi="Times New Roman" w:cs="Times New Roman"/>
                <w:b/>
                <w:sz w:val="24"/>
                <w:szCs w:val="24"/>
                <w:lang w:val="ro-RO" w:eastAsia="en-GB"/>
              </w:rPr>
              <w:t xml:space="preserve"> impacturile estimate </w:t>
            </w:r>
            <w:r w:rsidR="005E0B39"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este necesară evaluarea </w:t>
            </w:r>
            <w:r w:rsidR="005E0B39" w:rsidRPr="00EB1C0D">
              <w:rPr>
                <w:rFonts w:ascii="Times New Roman" w:eastAsia="Calibri" w:hAnsi="Times New Roman" w:cs="Times New Roman"/>
                <w:b/>
                <w:sz w:val="24"/>
                <w:szCs w:val="24"/>
                <w:lang w:val="ro-RO" w:eastAsia="en-GB"/>
              </w:rPr>
              <w:t>performanței</w:t>
            </w:r>
            <w:r w:rsidRPr="00EB1C0D">
              <w:rPr>
                <w:rFonts w:ascii="Times New Roman" w:eastAsia="Calibri" w:hAnsi="Times New Roman" w:cs="Times New Roman"/>
                <w:b/>
                <w:sz w:val="24"/>
                <w:szCs w:val="24"/>
                <w:lang w:val="ro-RO" w:eastAsia="en-GB"/>
              </w:rPr>
              <w:t xml:space="preserve"> actului normativ propus. </w:t>
            </w:r>
            <w:r w:rsidR="005E0B39" w:rsidRPr="00EB1C0D">
              <w:rPr>
                <w:rFonts w:ascii="Times New Roman" w:eastAsia="Calibri" w:hAnsi="Times New Roman" w:cs="Times New Roman"/>
                <w:b/>
                <w:sz w:val="24"/>
                <w:szCs w:val="24"/>
                <w:lang w:val="ro-RO" w:eastAsia="en-GB"/>
              </w:rPr>
              <w:t>Explicați</w:t>
            </w:r>
            <w:r w:rsidRPr="00EB1C0D">
              <w:rPr>
                <w:rFonts w:ascii="Times New Roman" w:eastAsia="Calibri" w:hAnsi="Times New Roman" w:cs="Times New Roman"/>
                <w:b/>
                <w:sz w:val="24"/>
                <w:szCs w:val="24"/>
                <w:lang w:val="ro-RO" w:eastAsia="en-GB"/>
              </w:rPr>
              <w:t xml:space="preserve"> cum va fi monitorizată </w:t>
            </w:r>
            <w:r w:rsidR="005E0B39"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 evaluată </w:t>
            </w:r>
            <w:r w:rsidR="005E0B39" w:rsidRPr="00EB1C0D">
              <w:rPr>
                <w:rFonts w:ascii="Times New Roman" w:eastAsia="Calibri" w:hAnsi="Times New Roman" w:cs="Times New Roman"/>
                <w:b/>
                <w:sz w:val="24"/>
                <w:szCs w:val="24"/>
                <w:lang w:val="ro-RO" w:eastAsia="en-GB"/>
              </w:rPr>
              <w:t>opțiunea</w:t>
            </w:r>
          </w:p>
        </w:tc>
      </w:tr>
      <w:tr w:rsidR="00B468B6" w:rsidRPr="00B76CED" w14:paraId="00F82317" w14:textId="77777777" w:rsidTr="003319EB">
        <w:trPr>
          <w:jc w:val="center"/>
        </w:trPr>
        <w:tc>
          <w:tcPr>
            <w:tcW w:w="5000" w:type="pct"/>
            <w:gridSpan w:val="2"/>
            <w:tcMar>
              <w:top w:w="15" w:type="dxa"/>
              <w:left w:w="45" w:type="dxa"/>
              <w:bottom w:w="15" w:type="dxa"/>
              <w:right w:w="45" w:type="dxa"/>
            </w:tcMar>
          </w:tcPr>
          <w:p w14:paraId="5AEE3F1D" w14:textId="4BB74AD7" w:rsidR="00B23EA9" w:rsidRPr="00EB1C0D" w:rsidRDefault="00C13C0C" w:rsidP="00C030F8">
            <w:pPr>
              <w:spacing w:before="120" w:after="1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Este dificil de estimat </w:t>
            </w:r>
            <w:r w:rsidRPr="00C13C0C">
              <w:rPr>
                <w:rFonts w:ascii="Times New Roman" w:hAnsi="Times New Roman" w:cs="Times New Roman"/>
                <w:sz w:val="24"/>
                <w:szCs w:val="24"/>
                <w:lang w:val="ro-RO"/>
              </w:rPr>
              <w:t xml:space="preserve">peste </w:t>
            </w:r>
            <w:r w:rsidR="00B23EA9" w:rsidRPr="00C13C0C">
              <w:rPr>
                <w:rFonts w:ascii="Times New Roman" w:hAnsi="Times New Roman" w:cs="Times New Roman"/>
                <w:sz w:val="24"/>
                <w:szCs w:val="24"/>
                <w:lang w:val="ro-RO"/>
              </w:rPr>
              <w:t>cât</w:t>
            </w:r>
            <w:r w:rsidRPr="00C13C0C">
              <w:rPr>
                <w:rFonts w:ascii="Times New Roman" w:hAnsi="Times New Roman" w:cs="Times New Roman"/>
                <w:sz w:val="24"/>
                <w:szCs w:val="24"/>
                <w:lang w:val="ro-RO"/>
              </w:rPr>
              <w:t xml:space="preserve"> timp vor fi resimțite impacturile </w:t>
            </w:r>
            <w:r w:rsidR="00B23EA9">
              <w:rPr>
                <w:rFonts w:ascii="Times New Roman" w:hAnsi="Times New Roman" w:cs="Times New Roman"/>
                <w:sz w:val="24"/>
                <w:szCs w:val="24"/>
                <w:lang w:val="ro-RO"/>
              </w:rPr>
              <w:t xml:space="preserve">prevăzute, totuși, efectele pozitive se vor resimți după ce consumatorii </w:t>
            </w:r>
            <w:r w:rsidR="00C030F8">
              <w:rPr>
                <w:rFonts w:ascii="Times New Roman" w:hAnsi="Times New Roman" w:cs="Times New Roman"/>
                <w:sz w:val="24"/>
                <w:szCs w:val="24"/>
                <w:lang w:val="ro-RO"/>
              </w:rPr>
              <w:t xml:space="preserve">vor înlocui instalațiile </w:t>
            </w:r>
            <w:r w:rsidR="00C030F8" w:rsidRPr="00C030F8">
              <w:rPr>
                <w:rFonts w:ascii="Times New Roman" w:hAnsi="Times New Roman" w:cs="Times New Roman"/>
                <w:sz w:val="24"/>
                <w:szCs w:val="24"/>
                <w:lang w:val="ro-RO"/>
              </w:rPr>
              <w:t xml:space="preserve">pentru încălzirea incintelor </w:t>
            </w:r>
            <w:proofErr w:type="spellStart"/>
            <w:r w:rsidR="00C030F8" w:rsidRPr="00C030F8">
              <w:rPr>
                <w:rFonts w:ascii="Times New Roman" w:hAnsi="Times New Roman" w:cs="Times New Roman"/>
                <w:sz w:val="24"/>
                <w:szCs w:val="24"/>
                <w:lang w:val="ro-RO"/>
              </w:rPr>
              <w:t>şi</w:t>
            </w:r>
            <w:proofErr w:type="spellEnd"/>
            <w:r w:rsidR="00C030F8" w:rsidRPr="00C030F8">
              <w:rPr>
                <w:rFonts w:ascii="Times New Roman" w:hAnsi="Times New Roman" w:cs="Times New Roman"/>
                <w:sz w:val="24"/>
                <w:szCs w:val="24"/>
                <w:lang w:val="ro-RO"/>
              </w:rPr>
              <w:t xml:space="preserve"> instalațiile de încălzire cu funcție dublă</w:t>
            </w:r>
            <w:r w:rsidR="00C030F8">
              <w:rPr>
                <w:rFonts w:ascii="Times New Roman" w:hAnsi="Times New Roman" w:cs="Times New Roman"/>
                <w:sz w:val="24"/>
                <w:szCs w:val="24"/>
                <w:lang w:val="ro-RO"/>
              </w:rPr>
              <w:t xml:space="preserve"> vechi și neperformante cu </w:t>
            </w:r>
            <w:r w:rsidR="00C030F8" w:rsidRPr="00A47B14">
              <w:rPr>
                <w:rFonts w:ascii="Times New Roman" w:eastAsia="Calibri" w:hAnsi="Times New Roman" w:cs="Times New Roman"/>
                <w:bCs/>
                <w:sz w:val="24"/>
                <w:szCs w:val="24"/>
                <w:lang w:val="ro-RO" w:eastAsia="ja-JP"/>
              </w:rPr>
              <w:t xml:space="preserve">instalațiile </w:t>
            </w:r>
            <w:r w:rsidR="00C030F8">
              <w:rPr>
                <w:rFonts w:ascii="Times New Roman" w:eastAsia="Calibri" w:hAnsi="Times New Roman" w:cs="Times New Roman"/>
                <w:bCs/>
                <w:sz w:val="24"/>
                <w:szCs w:val="24"/>
                <w:lang w:val="ro-RO" w:eastAsia="ja-JP"/>
              </w:rPr>
              <w:t xml:space="preserve"> proiectate conform noilor cerințe.</w:t>
            </w:r>
          </w:p>
        </w:tc>
      </w:tr>
      <w:tr w:rsidR="00B468B6" w:rsidRPr="000C7B99" w14:paraId="675AE73D" w14:textId="77777777" w:rsidTr="003319EB">
        <w:trPr>
          <w:jc w:val="center"/>
        </w:trPr>
        <w:tc>
          <w:tcPr>
            <w:tcW w:w="5000" w:type="pct"/>
            <w:gridSpan w:val="2"/>
            <w:shd w:val="clear" w:color="auto" w:fill="auto"/>
            <w:tcMar>
              <w:top w:w="15" w:type="dxa"/>
              <w:left w:w="45" w:type="dxa"/>
              <w:bottom w:w="15" w:type="dxa"/>
              <w:right w:w="45" w:type="dxa"/>
            </w:tcMar>
          </w:tcPr>
          <w:p w14:paraId="4A66DDE1" w14:textId="4A637270" w:rsidR="00AD1A52" w:rsidRPr="00EB1C0D" w:rsidRDefault="00B468B6" w:rsidP="00DA5F81">
            <w:pPr>
              <w:spacing w:before="60" w:after="60"/>
              <w:rPr>
                <w:rFonts w:ascii="Times New Roman" w:eastAsia="Times New Roman" w:hAnsi="Times New Roman" w:cs="Times New Roman"/>
                <w:b/>
                <w:sz w:val="24"/>
                <w:szCs w:val="24"/>
                <w:lang w:val="ro-RO" w:eastAsia="ru-RU"/>
              </w:rPr>
            </w:pPr>
            <w:r w:rsidRPr="00EB1C0D">
              <w:rPr>
                <w:rFonts w:ascii="Times New Roman" w:eastAsia="Times New Roman" w:hAnsi="Times New Roman" w:cs="Times New Roman"/>
                <w:b/>
                <w:bCs/>
                <w:sz w:val="24"/>
                <w:szCs w:val="24"/>
                <w:lang w:val="ro-RO" w:eastAsia="ru-RU"/>
              </w:rPr>
              <w:t>6. CONSULTAREA</w:t>
            </w:r>
          </w:p>
        </w:tc>
      </w:tr>
      <w:tr w:rsidR="00B468B6" w:rsidRPr="00B76CED" w14:paraId="562922D0" w14:textId="77777777" w:rsidTr="003319EB">
        <w:trPr>
          <w:jc w:val="center"/>
        </w:trPr>
        <w:tc>
          <w:tcPr>
            <w:tcW w:w="5000" w:type="pct"/>
            <w:gridSpan w:val="2"/>
            <w:shd w:val="clear" w:color="auto" w:fill="auto"/>
            <w:tcMar>
              <w:top w:w="15" w:type="dxa"/>
              <w:left w:w="45" w:type="dxa"/>
              <w:bottom w:w="15" w:type="dxa"/>
              <w:right w:w="45" w:type="dxa"/>
            </w:tcMar>
          </w:tcPr>
          <w:p w14:paraId="2566070C" w14:textId="50DB622A"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a) </w:t>
            </w:r>
            <w:r w:rsidR="00CB3A6A" w:rsidRPr="00EB1C0D">
              <w:rPr>
                <w:rFonts w:ascii="Times New Roman" w:eastAsia="Calibri" w:hAnsi="Times New Roman" w:cs="Times New Roman"/>
                <w:b/>
                <w:sz w:val="24"/>
                <w:szCs w:val="24"/>
                <w:lang w:val="ro-RO" w:eastAsia="en-GB"/>
              </w:rPr>
              <w:t>Identificați</w:t>
            </w:r>
            <w:r w:rsidRPr="00EB1C0D">
              <w:rPr>
                <w:rFonts w:ascii="Times New Roman" w:eastAsia="Calibri" w:hAnsi="Times New Roman" w:cs="Times New Roman"/>
                <w:b/>
                <w:sz w:val="24"/>
                <w:szCs w:val="24"/>
                <w:lang w:val="ro-RO" w:eastAsia="en-GB"/>
              </w:rPr>
              <w:t xml:space="preserve"> principalele </w:t>
            </w:r>
            <w:r w:rsidR="00CB3A6A" w:rsidRPr="00EB1C0D">
              <w:rPr>
                <w:rFonts w:ascii="Times New Roman" w:eastAsia="Calibri" w:hAnsi="Times New Roman" w:cs="Times New Roman"/>
                <w:b/>
                <w:sz w:val="24"/>
                <w:szCs w:val="24"/>
                <w:lang w:val="ro-RO" w:eastAsia="en-GB"/>
              </w:rPr>
              <w:t>părți</w:t>
            </w:r>
            <w:r w:rsidRPr="00EB1C0D">
              <w:rPr>
                <w:rFonts w:ascii="Times New Roman" w:eastAsia="Calibri" w:hAnsi="Times New Roman" w:cs="Times New Roman"/>
                <w:b/>
                <w:sz w:val="24"/>
                <w:szCs w:val="24"/>
                <w:lang w:val="ro-RO" w:eastAsia="en-GB"/>
              </w:rPr>
              <w:t xml:space="preserve"> (grupuri) interesate în </w:t>
            </w:r>
            <w:r w:rsidR="00CB3A6A" w:rsidRPr="00EB1C0D">
              <w:rPr>
                <w:rFonts w:ascii="Times New Roman" w:eastAsia="Calibri" w:hAnsi="Times New Roman" w:cs="Times New Roman"/>
                <w:b/>
                <w:sz w:val="24"/>
                <w:szCs w:val="24"/>
                <w:lang w:val="ro-RO" w:eastAsia="en-GB"/>
              </w:rPr>
              <w:t>intervenția</w:t>
            </w:r>
            <w:r w:rsidRPr="00EB1C0D">
              <w:rPr>
                <w:rFonts w:ascii="Times New Roman" w:eastAsia="Calibri" w:hAnsi="Times New Roman" w:cs="Times New Roman"/>
                <w:b/>
                <w:sz w:val="24"/>
                <w:szCs w:val="24"/>
                <w:lang w:val="ro-RO" w:eastAsia="en-GB"/>
              </w:rPr>
              <w:t xml:space="preserve"> propusă</w:t>
            </w:r>
          </w:p>
        </w:tc>
      </w:tr>
      <w:tr w:rsidR="00B468B6" w:rsidRPr="00B76CED" w14:paraId="7C0A3F7A" w14:textId="77777777" w:rsidTr="003319EB">
        <w:trPr>
          <w:jc w:val="center"/>
        </w:trPr>
        <w:tc>
          <w:tcPr>
            <w:tcW w:w="5000" w:type="pct"/>
            <w:gridSpan w:val="2"/>
            <w:tcMar>
              <w:top w:w="15" w:type="dxa"/>
              <w:left w:w="45" w:type="dxa"/>
              <w:bottom w:w="15" w:type="dxa"/>
              <w:right w:w="45" w:type="dxa"/>
            </w:tcMar>
          </w:tcPr>
          <w:p w14:paraId="1DA80257" w14:textId="4A3E8CEA" w:rsidR="00B96D23" w:rsidRDefault="00B96D23" w:rsidP="00DA5F81">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Autorități publice</w:t>
            </w:r>
            <w:r w:rsidR="00335150">
              <w:rPr>
                <w:rFonts w:ascii="Times New Roman" w:eastAsia="Calibri" w:hAnsi="Times New Roman" w:cs="Times New Roman"/>
                <w:sz w:val="24"/>
                <w:szCs w:val="24"/>
                <w:lang w:val="ro-RO"/>
              </w:rPr>
              <w:t xml:space="preserve"> </w:t>
            </w:r>
          </w:p>
          <w:p w14:paraId="1A65B7D1" w14:textId="41CBB45E" w:rsidR="00B96D23" w:rsidRDefault="00B96D23" w:rsidP="00DA5F81">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Întreprinzători din domeniul distribuției și furnizării produselor cu impact energetic</w:t>
            </w:r>
            <w:r w:rsidR="00C030F8">
              <w:rPr>
                <w:rFonts w:ascii="Times New Roman" w:eastAsia="Calibri" w:hAnsi="Times New Roman" w:cs="Times New Roman"/>
                <w:sz w:val="24"/>
                <w:szCs w:val="24"/>
                <w:lang w:val="ro-RO"/>
              </w:rPr>
              <w:t xml:space="preserve"> ce cad sub incidența Regulamentului</w:t>
            </w:r>
            <w:r w:rsidR="004E5FDC">
              <w:rPr>
                <w:rFonts w:ascii="Times New Roman" w:eastAsia="Calibri" w:hAnsi="Times New Roman" w:cs="Times New Roman"/>
                <w:sz w:val="24"/>
                <w:szCs w:val="24"/>
                <w:lang w:val="ro-RO"/>
              </w:rPr>
              <w:t>;</w:t>
            </w:r>
          </w:p>
          <w:p w14:paraId="71EA803D" w14:textId="5262928C" w:rsidR="00585956" w:rsidRDefault="004E5FDC" w:rsidP="00DA5F81">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Asociații de consumatori</w:t>
            </w:r>
          </w:p>
          <w:p w14:paraId="19FF8E7E" w14:textId="30DFFB1D" w:rsidR="00B663D4" w:rsidRPr="00EB1C0D" w:rsidRDefault="00B663D4" w:rsidP="00DA5F81">
            <w:pPr>
              <w:spacing w:before="120" w:after="120"/>
              <w:jc w:val="both"/>
              <w:rPr>
                <w:rFonts w:ascii="Times New Roman" w:eastAsia="Calibri" w:hAnsi="Times New Roman" w:cs="Times New Roman"/>
                <w:sz w:val="24"/>
                <w:szCs w:val="24"/>
                <w:lang w:val="ro-RO"/>
              </w:rPr>
            </w:pPr>
            <w:r w:rsidRPr="000A5CBF">
              <w:rPr>
                <w:rFonts w:ascii="Times New Roman" w:eastAsia="Calibri" w:hAnsi="Times New Roman" w:cs="Times New Roman"/>
                <w:sz w:val="24"/>
                <w:szCs w:val="24"/>
                <w:lang w:val="ro-RO"/>
              </w:rPr>
              <w:t>Consumatorii finali</w:t>
            </w:r>
          </w:p>
        </w:tc>
      </w:tr>
      <w:tr w:rsidR="00B468B6" w:rsidRPr="00B76CED" w14:paraId="0EC2709B" w14:textId="77777777" w:rsidTr="003319EB">
        <w:trPr>
          <w:jc w:val="center"/>
        </w:trPr>
        <w:tc>
          <w:tcPr>
            <w:tcW w:w="5000" w:type="pct"/>
            <w:gridSpan w:val="2"/>
            <w:shd w:val="clear" w:color="auto" w:fill="auto"/>
            <w:tcMar>
              <w:top w:w="15" w:type="dxa"/>
              <w:left w:w="45" w:type="dxa"/>
              <w:bottom w:w="15" w:type="dxa"/>
              <w:right w:w="45" w:type="dxa"/>
            </w:tcMar>
          </w:tcPr>
          <w:p w14:paraId="30322501" w14:textId="592039B6"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t xml:space="preserve">b) </w:t>
            </w:r>
            <w:r w:rsidR="006D1006" w:rsidRPr="00EB1C0D">
              <w:rPr>
                <w:rFonts w:ascii="Times New Roman" w:eastAsia="Calibri" w:hAnsi="Times New Roman" w:cs="Times New Roman"/>
                <w:b/>
                <w:sz w:val="24"/>
                <w:szCs w:val="24"/>
                <w:lang w:val="ro-RO" w:eastAsia="en-GB"/>
              </w:rPr>
              <w:t>Explicați</w:t>
            </w:r>
            <w:r w:rsidRPr="00EB1C0D">
              <w:rPr>
                <w:rFonts w:ascii="Times New Roman" w:eastAsia="Calibri" w:hAnsi="Times New Roman" w:cs="Times New Roman"/>
                <w:b/>
                <w:sz w:val="24"/>
                <w:szCs w:val="24"/>
                <w:lang w:val="ro-RO" w:eastAsia="en-GB"/>
              </w:rPr>
              <w:t xml:space="preserve"> succint cum (prin ce metode) s-a asigurat consultarea adecvată a </w:t>
            </w:r>
            <w:r w:rsidR="006D1006" w:rsidRPr="00EB1C0D">
              <w:rPr>
                <w:rFonts w:ascii="Times New Roman" w:eastAsia="Calibri" w:hAnsi="Times New Roman" w:cs="Times New Roman"/>
                <w:b/>
                <w:sz w:val="24"/>
                <w:szCs w:val="24"/>
                <w:lang w:val="ro-RO" w:eastAsia="en-GB"/>
              </w:rPr>
              <w:t>părților</w:t>
            </w:r>
          </w:p>
        </w:tc>
      </w:tr>
      <w:tr w:rsidR="00B468B6" w:rsidRPr="00B76CED" w14:paraId="01AB8395" w14:textId="77777777" w:rsidTr="003319EB">
        <w:trPr>
          <w:jc w:val="center"/>
        </w:trPr>
        <w:tc>
          <w:tcPr>
            <w:tcW w:w="5000" w:type="pct"/>
            <w:gridSpan w:val="2"/>
            <w:tcMar>
              <w:top w:w="15" w:type="dxa"/>
              <w:left w:w="45" w:type="dxa"/>
              <w:bottom w:w="15" w:type="dxa"/>
              <w:right w:w="45" w:type="dxa"/>
            </w:tcMar>
          </w:tcPr>
          <w:p w14:paraId="310FFAD0" w14:textId="77777777"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Procesul de consultanță a fost (este) bazat pe câteva metode de bază:</w:t>
            </w:r>
          </w:p>
          <w:p w14:paraId="4D15B83B" w14:textId="1C55F3B2" w:rsidR="00984550" w:rsidRPr="00984550"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a) interacțiunea directă între elaboratorii proiectului și </w:t>
            </w:r>
            <w:r w:rsidR="007B68C5">
              <w:rPr>
                <w:rFonts w:ascii="Times New Roman" w:eastAsia="Times New Roman" w:hAnsi="Times New Roman" w:cs="Times New Roman"/>
                <w:sz w:val="24"/>
                <w:szCs w:val="24"/>
                <w:lang w:val="ro-RO"/>
              </w:rPr>
              <w:t>Analizei de Impact</w:t>
            </w:r>
            <w:r w:rsidRPr="00984550">
              <w:rPr>
                <w:rFonts w:ascii="Times New Roman" w:eastAsia="Times New Roman" w:hAnsi="Times New Roman" w:cs="Times New Roman"/>
                <w:sz w:val="24"/>
                <w:szCs w:val="24"/>
                <w:lang w:val="ro-RO"/>
              </w:rPr>
              <w:t xml:space="preserve"> cu reprezentanții grupurilor de interese;</w:t>
            </w:r>
          </w:p>
          <w:p w14:paraId="554991E3" w14:textId="2872AD10" w:rsidR="00984550" w:rsidRPr="00984550"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b) examinarea informației din sursele disponibile: </w:t>
            </w:r>
          </w:p>
          <w:p w14:paraId="026EA53C" w14:textId="77777777" w:rsidR="00984550" w:rsidRPr="00984550"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informația statistică din surse oficiale (Biroul Național de Statistică, Serviciul Vamal etc.); </w:t>
            </w:r>
          </w:p>
          <w:p w14:paraId="69C59442" w14:textId="77777777" w:rsidR="00984550" w:rsidRPr="00984550"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informații prezentate pe pagină web oficiale a Centrului Național de Acreditare, Agenția pentru protecția consumatorilor și supravegherea pieței, Agenția Supraveghere tehnică, etc.; </w:t>
            </w:r>
          </w:p>
          <w:p w14:paraId="5BD5A149" w14:textId="77777777" w:rsidR="00984550" w:rsidRPr="00984550"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consultarea cu autoritatea de supraveghere a pieței - Agenția pentru protecția consumatorilor și supravegherea pieței, Agenția Supraveghere tehnică, totodată și cu Centrul Tehnic pentru Securitate Industrială și Certificare; </w:t>
            </w:r>
          </w:p>
          <w:p w14:paraId="2D996149" w14:textId="77777777"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c) consultarea indirectă cu toate structurile și persoanele interesate prin publicarea proiectului și a unei note succinte pe pagina web a Ministerului Economiei și Infrastructurii.</w:t>
            </w:r>
          </w:p>
          <w:p w14:paraId="7035F958" w14:textId="77777777"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Consultarea, comunicarea și mediatizarea proiectului Hotărârii Guvernului nominalizat cu  grupurile de interese va avea loc prin intermediul:</w:t>
            </w:r>
          </w:p>
          <w:p w14:paraId="61AB9E47" w14:textId="77777777" w:rsidR="00984550" w:rsidRPr="00984550"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xml:space="preserve">- internetului; </w:t>
            </w:r>
          </w:p>
          <w:p w14:paraId="0FE3E6A2" w14:textId="77777777" w:rsidR="00984550" w:rsidRPr="00984550"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consultărilor specializate;</w:t>
            </w:r>
          </w:p>
          <w:p w14:paraId="35138A5A" w14:textId="77777777" w:rsidR="00984550" w:rsidRPr="00984550"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 meselor-rotunde;</w:t>
            </w:r>
          </w:p>
          <w:p w14:paraId="49AF6CB2" w14:textId="77777777" w:rsidR="00984550" w:rsidRPr="00984550" w:rsidRDefault="00984550" w:rsidP="00984550">
            <w:pPr>
              <w:spacing w:before="120" w:after="0" w:line="240" w:lineRule="auto"/>
              <w:jc w:val="both"/>
              <w:rPr>
                <w:rFonts w:ascii="Times New Roman" w:eastAsia="Times New Roman" w:hAnsi="Times New Roman" w:cs="Times New Roman"/>
                <w:sz w:val="24"/>
                <w:szCs w:val="24"/>
                <w:lang w:val="ro-RO"/>
              </w:rPr>
            </w:pPr>
            <w:r w:rsidRPr="00984550">
              <w:rPr>
                <w:rFonts w:ascii="Times New Roman" w:eastAsia="Times New Roman" w:hAnsi="Times New Roman" w:cs="Times New Roman"/>
                <w:sz w:val="24"/>
                <w:szCs w:val="24"/>
                <w:lang w:val="ro-RO"/>
              </w:rPr>
              <w:t>În procesul de consultare se va ține cont de cei asupra cărora proiectul Hotărârii Guvernului propus va avea impact, precum și de tehnica de elaborare și aprobare a actelor normative în Republica Moldova.</w:t>
            </w:r>
          </w:p>
          <w:p w14:paraId="69E9C5DF" w14:textId="77777777" w:rsidR="00984550" w:rsidRPr="00984550" w:rsidRDefault="00984550" w:rsidP="00984550">
            <w:pPr>
              <w:spacing w:before="120" w:after="0" w:line="240" w:lineRule="auto"/>
              <w:jc w:val="both"/>
              <w:rPr>
                <w:rFonts w:ascii="Times New Roman" w:eastAsia="Times New Roman" w:hAnsi="Times New Roman" w:cs="Times New Roman"/>
                <w:bCs/>
                <w:sz w:val="24"/>
                <w:szCs w:val="24"/>
                <w:lang w:val="ro-RO"/>
              </w:rPr>
            </w:pPr>
            <w:r w:rsidRPr="00984550">
              <w:rPr>
                <w:rFonts w:ascii="Times New Roman" w:eastAsia="Times New Roman" w:hAnsi="Times New Roman" w:cs="Times New Roman"/>
                <w:bCs/>
                <w:sz w:val="24"/>
                <w:szCs w:val="24"/>
                <w:lang w:val="ro-RO"/>
              </w:rPr>
              <w:t>Precizăm că, poziția fiecărei entități consultate față de documentul de analiză a impactului și/sau intervenția propusă va fi prezentată după avizarea la ministerele de resort, constatările expertizei juridice și finalizarea consultărilor publice.</w:t>
            </w:r>
          </w:p>
          <w:p w14:paraId="5466AA99" w14:textId="4858FAB7" w:rsidR="002C7FA1" w:rsidRPr="00EB1C0D" w:rsidRDefault="00984550" w:rsidP="00984550">
            <w:pPr>
              <w:spacing w:before="60" w:after="120"/>
              <w:jc w:val="both"/>
              <w:rPr>
                <w:rFonts w:ascii="Times New Roman" w:eastAsia="Times New Roman" w:hAnsi="Times New Roman" w:cs="Times New Roman"/>
                <w:b/>
                <w:sz w:val="24"/>
                <w:szCs w:val="24"/>
                <w:lang w:val="ro-RO" w:eastAsia="ro-RO"/>
              </w:rPr>
            </w:pPr>
            <w:r w:rsidRPr="00984550">
              <w:rPr>
                <w:rFonts w:ascii="Times New Roman" w:eastAsia="Times New Roman" w:hAnsi="Times New Roman" w:cs="Times New Roman"/>
                <w:bCs/>
                <w:sz w:val="24"/>
                <w:szCs w:val="24"/>
                <w:lang w:val="ro-RO"/>
              </w:rPr>
              <w:t>Obiecțiile și propunerile judicioase vor fi luate în considerare la îmbunătățirea și definitivarea proiectului Hotărârii Guvernului privind aprobarea cerințelor de randament pentru cazanele noi de apă caldă cu combustie lichidă sau gazoasă.</w:t>
            </w:r>
          </w:p>
        </w:tc>
      </w:tr>
      <w:tr w:rsidR="00B468B6" w:rsidRPr="00B76CED" w14:paraId="5417EB33" w14:textId="77777777" w:rsidTr="003319EB">
        <w:trPr>
          <w:jc w:val="center"/>
        </w:trPr>
        <w:tc>
          <w:tcPr>
            <w:tcW w:w="5000" w:type="pct"/>
            <w:gridSpan w:val="2"/>
            <w:shd w:val="clear" w:color="auto" w:fill="auto"/>
            <w:tcMar>
              <w:top w:w="15" w:type="dxa"/>
              <w:left w:w="45" w:type="dxa"/>
              <w:bottom w:w="15" w:type="dxa"/>
              <w:right w:w="45" w:type="dxa"/>
            </w:tcMar>
          </w:tcPr>
          <w:p w14:paraId="2BE38FFF" w14:textId="0FC6B8EA" w:rsidR="00AD1A52" w:rsidRPr="00EB1C0D" w:rsidRDefault="00AD1A52" w:rsidP="00DA5F81">
            <w:pPr>
              <w:spacing w:before="60" w:after="60"/>
              <w:jc w:val="both"/>
              <w:rPr>
                <w:rFonts w:ascii="Times New Roman" w:eastAsia="Calibri" w:hAnsi="Times New Roman" w:cs="Times New Roman"/>
                <w:b/>
                <w:sz w:val="24"/>
                <w:szCs w:val="24"/>
                <w:lang w:val="ro-RO" w:eastAsia="en-GB"/>
              </w:rPr>
            </w:pPr>
            <w:r w:rsidRPr="00EB1C0D">
              <w:rPr>
                <w:rFonts w:ascii="Times New Roman" w:eastAsia="Calibri" w:hAnsi="Times New Roman" w:cs="Times New Roman"/>
                <w:b/>
                <w:sz w:val="24"/>
                <w:szCs w:val="24"/>
                <w:lang w:val="ro-RO" w:eastAsia="en-GB"/>
              </w:rPr>
              <w:lastRenderedPageBreak/>
              <w:t xml:space="preserve">c) </w:t>
            </w:r>
            <w:r w:rsidR="006D1006" w:rsidRPr="00EB1C0D">
              <w:rPr>
                <w:rFonts w:ascii="Times New Roman" w:eastAsia="Calibri" w:hAnsi="Times New Roman" w:cs="Times New Roman"/>
                <w:b/>
                <w:sz w:val="24"/>
                <w:szCs w:val="24"/>
                <w:lang w:val="ro-RO" w:eastAsia="en-GB"/>
              </w:rPr>
              <w:t>Expuneți</w:t>
            </w:r>
            <w:r w:rsidRPr="00EB1C0D">
              <w:rPr>
                <w:rFonts w:ascii="Times New Roman" w:eastAsia="Calibri" w:hAnsi="Times New Roman" w:cs="Times New Roman"/>
                <w:b/>
                <w:sz w:val="24"/>
                <w:szCs w:val="24"/>
                <w:lang w:val="ro-RO" w:eastAsia="en-GB"/>
              </w:rPr>
              <w:t xml:space="preserve"> succint </w:t>
            </w:r>
            <w:r w:rsidR="006D1006" w:rsidRPr="00EB1C0D">
              <w:rPr>
                <w:rFonts w:ascii="Times New Roman" w:eastAsia="Calibri" w:hAnsi="Times New Roman" w:cs="Times New Roman"/>
                <w:b/>
                <w:sz w:val="24"/>
                <w:szCs w:val="24"/>
                <w:lang w:val="ro-RO" w:eastAsia="en-GB"/>
              </w:rPr>
              <w:t>poziția</w:t>
            </w:r>
            <w:r w:rsidRPr="00EB1C0D">
              <w:rPr>
                <w:rFonts w:ascii="Times New Roman" w:eastAsia="Calibri" w:hAnsi="Times New Roman" w:cs="Times New Roman"/>
                <w:b/>
                <w:sz w:val="24"/>
                <w:szCs w:val="24"/>
                <w:lang w:val="ro-RO" w:eastAsia="en-GB"/>
              </w:rPr>
              <w:t xml:space="preserve"> fiecărei </w:t>
            </w:r>
            <w:r w:rsidR="006D1006" w:rsidRPr="00EB1C0D">
              <w:rPr>
                <w:rFonts w:ascii="Times New Roman" w:eastAsia="Calibri" w:hAnsi="Times New Roman" w:cs="Times New Roman"/>
                <w:b/>
                <w:sz w:val="24"/>
                <w:szCs w:val="24"/>
                <w:lang w:val="ro-RO" w:eastAsia="en-GB"/>
              </w:rPr>
              <w:t>entității</w:t>
            </w:r>
            <w:r w:rsidRPr="00EB1C0D">
              <w:rPr>
                <w:rFonts w:ascii="Times New Roman" w:eastAsia="Calibri" w:hAnsi="Times New Roman" w:cs="Times New Roman"/>
                <w:b/>
                <w:sz w:val="24"/>
                <w:szCs w:val="24"/>
                <w:lang w:val="ro-RO" w:eastAsia="en-GB"/>
              </w:rPr>
              <w:t xml:space="preserve"> consultate </w:t>
            </w:r>
            <w:r w:rsidR="006D1006" w:rsidRPr="00EB1C0D">
              <w:rPr>
                <w:rFonts w:ascii="Times New Roman" w:eastAsia="Calibri" w:hAnsi="Times New Roman" w:cs="Times New Roman"/>
                <w:b/>
                <w:sz w:val="24"/>
                <w:szCs w:val="24"/>
                <w:lang w:val="ro-RO" w:eastAsia="en-GB"/>
              </w:rPr>
              <w:t>față</w:t>
            </w:r>
            <w:r w:rsidRPr="00EB1C0D">
              <w:rPr>
                <w:rFonts w:ascii="Times New Roman" w:eastAsia="Calibri" w:hAnsi="Times New Roman" w:cs="Times New Roman"/>
                <w:b/>
                <w:sz w:val="24"/>
                <w:szCs w:val="24"/>
                <w:lang w:val="ro-RO" w:eastAsia="en-GB"/>
              </w:rPr>
              <w:t xml:space="preserve"> de documentul de analiză a impactului </w:t>
            </w:r>
            <w:r w:rsidR="006D1006" w:rsidRPr="00EB1C0D">
              <w:rPr>
                <w:rFonts w:ascii="Times New Roman" w:eastAsia="Calibri" w:hAnsi="Times New Roman" w:cs="Times New Roman"/>
                <w:b/>
                <w:sz w:val="24"/>
                <w:szCs w:val="24"/>
                <w:lang w:val="ro-RO" w:eastAsia="en-GB"/>
              </w:rPr>
              <w:t>și</w:t>
            </w:r>
            <w:r w:rsidRPr="00EB1C0D">
              <w:rPr>
                <w:rFonts w:ascii="Times New Roman" w:eastAsia="Calibri" w:hAnsi="Times New Roman" w:cs="Times New Roman"/>
                <w:b/>
                <w:sz w:val="24"/>
                <w:szCs w:val="24"/>
                <w:lang w:val="ro-RO" w:eastAsia="en-GB"/>
              </w:rPr>
              <w:t xml:space="preserve">/sau </w:t>
            </w:r>
            <w:r w:rsidR="006D1006" w:rsidRPr="00EB1C0D">
              <w:rPr>
                <w:rFonts w:ascii="Times New Roman" w:eastAsia="Calibri" w:hAnsi="Times New Roman" w:cs="Times New Roman"/>
                <w:b/>
                <w:sz w:val="24"/>
                <w:szCs w:val="24"/>
                <w:lang w:val="ro-RO" w:eastAsia="en-GB"/>
              </w:rPr>
              <w:t>intervenția</w:t>
            </w:r>
            <w:r w:rsidRPr="00EB1C0D">
              <w:rPr>
                <w:rFonts w:ascii="Times New Roman" w:eastAsia="Calibri" w:hAnsi="Times New Roman" w:cs="Times New Roman"/>
                <w:b/>
                <w:sz w:val="24"/>
                <w:szCs w:val="24"/>
                <w:lang w:val="ro-RO" w:eastAsia="en-GB"/>
              </w:rPr>
              <w:t xml:space="preserve"> propusă (se expune </w:t>
            </w:r>
            <w:r w:rsidR="006D1006" w:rsidRPr="00EB1C0D">
              <w:rPr>
                <w:rFonts w:ascii="Times New Roman" w:eastAsia="Calibri" w:hAnsi="Times New Roman" w:cs="Times New Roman"/>
                <w:b/>
                <w:sz w:val="24"/>
                <w:szCs w:val="24"/>
                <w:lang w:val="ro-RO" w:eastAsia="en-GB"/>
              </w:rPr>
              <w:t>poziția</w:t>
            </w:r>
            <w:r w:rsidRPr="00EB1C0D">
              <w:rPr>
                <w:rFonts w:ascii="Times New Roman" w:eastAsia="Calibri" w:hAnsi="Times New Roman" w:cs="Times New Roman"/>
                <w:b/>
                <w:sz w:val="24"/>
                <w:szCs w:val="24"/>
                <w:lang w:val="ro-RO" w:eastAsia="en-GB"/>
              </w:rPr>
              <w:t xml:space="preserve"> a cel </w:t>
            </w:r>
            <w:r w:rsidR="006D1006" w:rsidRPr="00EB1C0D">
              <w:rPr>
                <w:rFonts w:ascii="Times New Roman" w:eastAsia="Calibri" w:hAnsi="Times New Roman" w:cs="Times New Roman"/>
                <w:b/>
                <w:sz w:val="24"/>
                <w:szCs w:val="24"/>
                <w:lang w:val="ro-RO" w:eastAsia="en-GB"/>
              </w:rPr>
              <w:t>puțin</w:t>
            </w:r>
            <w:r w:rsidRPr="00EB1C0D">
              <w:rPr>
                <w:rFonts w:ascii="Times New Roman" w:eastAsia="Calibri" w:hAnsi="Times New Roman" w:cs="Times New Roman"/>
                <w:b/>
                <w:sz w:val="24"/>
                <w:szCs w:val="24"/>
                <w:lang w:val="ro-RO" w:eastAsia="en-GB"/>
              </w:rPr>
              <w:t xml:space="preserve"> unui exponent din fiecare grup de interese identificat)</w:t>
            </w:r>
            <w:r w:rsidR="006D1006" w:rsidRPr="00EB1C0D">
              <w:rPr>
                <w:rFonts w:ascii="Times New Roman" w:eastAsia="Calibri" w:hAnsi="Times New Roman" w:cs="Times New Roman"/>
                <w:b/>
                <w:sz w:val="24"/>
                <w:szCs w:val="24"/>
                <w:lang w:val="ro-RO" w:eastAsia="en-GB"/>
              </w:rPr>
              <w:t>.</w:t>
            </w:r>
          </w:p>
        </w:tc>
      </w:tr>
      <w:tr w:rsidR="00B468B6" w:rsidRPr="00B76CED" w14:paraId="039ACD64" w14:textId="77777777" w:rsidTr="003319EB">
        <w:trPr>
          <w:jc w:val="center"/>
        </w:trPr>
        <w:tc>
          <w:tcPr>
            <w:tcW w:w="5000" w:type="pct"/>
            <w:gridSpan w:val="2"/>
            <w:tcMar>
              <w:top w:w="15" w:type="dxa"/>
              <w:left w:w="45" w:type="dxa"/>
              <w:bottom w:w="15" w:type="dxa"/>
              <w:right w:w="45" w:type="dxa"/>
            </w:tcMar>
          </w:tcPr>
          <w:p w14:paraId="34A6F1E6" w14:textId="5265F788" w:rsidR="00AD1A52" w:rsidRPr="00EB1C0D" w:rsidRDefault="00AD1A52" w:rsidP="00212E23">
            <w:pPr>
              <w:spacing w:after="60"/>
              <w:jc w:val="both"/>
              <w:rPr>
                <w:rFonts w:ascii="Times New Roman" w:eastAsia="Times New Roman" w:hAnsi="Times New Roman" w:cs="Times New Roman"/>
                <w:sz w:val="24"/>
                <w:szCs w:val="24"/>
                <w:lang w:val="ro-RO" w:eastAsia="ro-RO"/>
              </w:rPr>
            </w:pPr>
          </w:p>
        </w:tc>
      </w:tr>
    </w:tbl>
    <w:p w14:paraId="07F0FBDA" w14:textId="77777777" w:rsidR="00B663D4" w:rsidRPr="00CB76D1" w:rsidRDefault="00B663D4">
      <w:pPr>
        <w:rPr>
          <w:lang w:val="en-US"/>
        </w:rPr>
      </w:pPr>
      <w:r w:rsidRPr="00CB76D1">
        <w:rPr>
          <w:lang w:val="en-US"/>
        </w:rPr>
        <w:br w:type="page"/>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1476"/>
        <w:gridCol w:w="1479"/>
        <w:gridCol w:w="1356"/>
      </w:tblGrid>
      <w:tr w:rsidR="00B468B6" w:rsidRPr="00B76CED" w14:paraId="5FE00ACD" w14:textId="77777777" w:rsidTr="005F5039">
        <w:trPr>
          <w:trHeight w:val="245"/>
          <w:jc w:val="center"/>
        </w:trPr>
        <w:tc>
          <w:tcPr>
            <w:tcW w:w="5000" w:type="pct"/>
            <w:gridSpan w:val="4"/>
            <w:shd w:val="clear" w:color="auto" w:fill="auto"/>
            <w:tcMar>
              <w:top w:w="15" w:type="dxa"/>
              <w:left w:w="45" w:type="dxa"/>
              <w:bottom w:w="15" w:type="dxa"/>
              <w:right w:w="45" w:type="dxa"/>
            </w:tcMar>
          </w:tcPr>
          <w:p w14:paraId="176AD96A" w14:textId="36F59F67" w:rsidR="00CF3D51" w:rsidRPr="00EB1C0D" w:rsidRDefault="00CF3D51" w:rsidP="00DA5F81">
            <w:pPr>
              <w:spacing w:after="60"/>
              <w:jc w:val="right"/>
              <w:rPr>
                <w:rFonts w:ascii="Times New Roman" w:hAnsi="Times New Roman" w:cs="Times New Roman"/>
                <w:b/>
                <w:bCs/>
                <w:sz w:val="24"/>
                <w:szCs w:val="24"/>
                <w:lang w:val="ro-RO"/>
              </w:rPr>
            </w:pPr>
            <w:r w:rsidRPr="00EB1C0D">
              <w:rPr>
                <w:rFonts w:ascii="Times New Roman" w:hAnsi="Times New Roman" w:cs="Times New Roman"/>
                <w:b/>
                <w:bCs/>
                <w:sz w:val="24"/>
                <w:szCs w:val="24"/>
                <w:lang w:val="ro-RO"/>
              </w:rPr>
              <w:lastRenderedPageBreak/>
              <w:t>Anexă</w:t>
            </w:r>
          </w:p>
          <w:p w14:paraId="7923722C" w14:textId="77777777" w:rsidR="00CF3D51" w:rsidRPr="00EB1C0D" w:rsidRDefault="00CF3D51" w:rsidP="00DA5F81">
            <w:pPr>
              <w:spacing w:after="60"/>
              <w:jc w:val="center"/>
              <w:rPr>
                <w:rFonts w:ascii="Times New Roman" w:hAnsi="Times New Roman" w:cs="Times New Roman"/>
                <w:b/>
                <w:bCs/>
                <w:sz w:val="24"/>
                <w:szCs w:val="24"/>
                <w:lang w:val="ro-RO"/>
              </w:rPr>
            </w:pPr>
            <w:r w:rsidRPr="00EB1C0D">
              <w:rPr>
                <w:rFonts w:ascii="Times New Roman" w:hAnsi="Times New Roman" w:cs="Times New Roman"/>
                <w:b/>
                <w:bCs/>
                <w:sz w:val="24"/>
                <w:szCs w:val="24"/>
                <w:lang w:val="ro-RO"/>
              </w:rPr>
              <w:t>Tabel pentru identificarea impacturilor</w:t>
            </w:r>
          </w:p>
        </w:tc>
      </w:tr>
      <w:tr w:rsidR="00B468B6" w:rsidRPr="00EB1C0D" w14:paraId="1CA7A1A4" w14:textId="77777777" w:rsidTr="005F5039">
        <w:trPr>
          <w:trHeight w:val="263"/>
          <w:jc w:val="center"/>
        </w:trPr>
        <w:tc>
          <w:tcPr>
            <w:tcW w:w="2730" w:type="pct"/>
            <w:tcMar>
              <w:top w:w="15" w:type="dxa"/>
              <w:left w:w="45" w:type="dxa"/>
              <w:bottom w:w="15" w:type="dxa"/>
              <w:right w:w="45" w:type="dxa"/>
            </w:tcMar>
          </w:tcPr>
          <w:p w14:paraId="310B4E63" w14:textId="77777777" w:rsidR="00CF3D51" w:rsidRPr="00EB1C0D" w:rsidRDefault="00CF3D51" w:rsidP="00DA5F81">
            <w:pPr>
              <w:spacing w:after="60"/>
              <w:jc w:val="center"/>
              <w:rPr>
                <w:rFonts w:ascii="Times New Roman" w:hAnsi="Times New Roman" w:cs="Times New Roman"/>
                <w:b/>
                <w:bCs/>
                <w:sz w:val="24"/>
                <w:szCs w:val="24"/>
                <w:lang w:val="ro-RO"/>
              </w:rPr>
            </w:pPr>
            <w:r w:rsidRPr="00EB1C0D">
              <w:rPr>
                <w:rFonts w:ascii="Times New Roman" w:hAnsi="Times New Roman" w:cs="Times New Roman"/>
                <w:b/>
                <w:bCs/>
                <w:sz w:val="24"/>
                <w:szCs w:val="24"/>
                <w:lang w:val="ro-RO"/>
              </w:rPr>
              <w:t>Categorii de impact</w:t>
            </w:r>
          </w:p>
        </w:tc>
        <w:tc>
          <w:tcPr>
            <w:tcW w:w="2270" w:type="pct"/>
            <w:gridSpan w:val="3"/>
          </w:tcPr>
          <w:p w14:paraId="19CB05BB" w14:textId="77777777" w:rsidR="00CF3D51" w:rsidRPr="00EB1C0D" w:rsidRDefault="00CF3D51" w:rsidP="00DA5F81">
            <w:pPr>
              <w:spacing w:after="60"/>
              <w:jc w:val="center"/>
              <w:rPr>
                <w:rFonts w:ascii="Times New Roman" w:hAnsi="Times New Roman" w:cs="Times New Roman"/>
                <w:b/>
                <w:sz w:val="24"/>
                <w:szCs w:val="24"/>
                <w:lang w:val="ro-RO"/>
              </w:rPr>
            </w:pPr>
            <w:r w:rsidRPr="00EB1C0D">
              <w:rPr>
                <w:rFonts w:ascii="Times New Roman" w:hAnsi="Times New Roman" w:cs="Times New Roman"/>
                <w:b/>
                <w:sz w:val="24"/>
                <w:szCs w:val="24"/>
                <w:lang w:val="ro-RO"/>
              </w:rPr>
              <w:t>Punctaj atribuit</w:t>
            </w:r>
          </w:p>
        </w:tc>
      </w:tr>
      <w:tr w:rsidR="00B468B6" w:rsidRPr="00EB1C0D" w14:paraId="38528C62" w14:textId="77777777" w:rsidTr="005F5039">
        <w:trPr>
          <w:trHeight w:val="444"/>
          <w:jc w:val="center"/>
        </w:trPr>
        <w:tc>
          <w:tcPr>
            <w:tcW w:w="2730" w:type="pct"/>
            <w:tcMar>
              <w:top w:w="15" w:type="dxa"/>
              <w:left w:w="45" w:type="dxa"/>
              <w:bottom w:w="15" w:type="dxa"/>
              <w:right w:w="45" w:type="dxa"/>
            </w:tcMar>
          </w:tcPr>
          <w:p w14:paraId="65F0C7B9" w14:textId="77777777" w:rsidR="00CF3D51" w:rsidRPr="00EB1C0D" w:rsidRDefault="00CF3D51" w:rsidP="00DA5F81">
            <w:pPr>
              <w:spacing w:after="60"/>
              <w:rPr>
                <w:rFonts w:ascii="Times New Roman" w:hAnsi="Times New Roman" w:cs="Times New Roman"/>
                <w:bCs/>
                <w:i/>
                <w:sz w:val="24"/>
                <w:szCs w:val="24"/>
                <w:lang w:val="ro-RO"/>
              </w:rPr>
            </w:pPr>
          </w:p>
        </w:tc>
        <w:tc>
          <w:tcPr>
            <w:tcW w:w="777" w:type="pct"/>
          </w:tcPr>
          <w:p w14:paraId="612AF86B" w14:textId="77777777" w:rsidR="00CF3D51" w:rsidRPr="00EB1C0D" w:rsidRDefault="00CF3D51" w:rsidP="00DA5F81">
            <w:pPr>
              <w:spacing w:after="60"/>
              <w:rPr>
                <w:rFonts w:ascii="Times New Roman" w:hAnsi="Times New Roman" w:cs="Times New Roman"/>
                <w:i/>
                <w:sz w:val="24"/>
                <w:szCs w:val="24"/>
                <w:lang w:val="ro-RO"/>
              </w:rPr>
            </w:pPr>
            <w:r w:rsidRPr="00EB1C0D">
              <w:rPr>
                <w:rFonts w:ascii="Times New Roman" w:hAnsi="Times New Roman" w:cs="Times New Roman"/>
                <w:i/>
                <w:sz w:val="24"/>
                <w:szCs w:val="24"/>
                <w:lang w:val="ro-RO"/>
              </w:rPr>
              <w:t xml:space="preserve">Opțiunea </w:t>
            </w:r>
          </w:p>
          <w:p w14:paraId="48891682" w14:textId="77777777" w:rsidR="00CF3D51" w:rsidRPr="00EB1C0D" w:rsidRDefault="00CF3D51" w:rsidP="00DA5F81">
            <w:pPr>
              <w:spacing w:after="60"/>
              <w:rPr>
                <w:rFonts w:ascii="Times New Roman" w:hAnsi="Times New Roman" w:cs="Times New Roman"/>
                <w:i/>
                <w:sz w:val="24"/>
                <w:szCs w:val="24"/>
                <w:lang w:val="ro-RO"/>
              </w:rPr>
            </w:pPr>
            <w:r w:rsidRPr="00EB1C0D">
              <w:rPr>
                <w:rFonts w:ascii="Times New Roman" w:hAnsi="Times New Roman" w:cs="Times New Roman"/>
                <w:i/>
                <w:sz w:val="24"/>
                <w:szCs w:val="24"/>
                <w:lang w:val="ro-RO"/>
              </w:rPr>
              <w:t>propusă</w:t>
            </w:r>
          </w:p>
        </w:tc>
        <w:tc>
          <w:tcPr>
            <w:tcW w:w="779" w:type="pct"/>
          </w:tcPr>
          <w:p w14:paraId="4E3159CF" w14:textId="77777777" w:rsidR="00CF3D51" w:rsidRPr="00EB1C0D" w:rsidRDefault="00CF3D51" w:rsidP="00DA5F81">
            <w:pPr>
              <w:spacing w:after="60"/>
              <w:rPr>
                <w:rFonts w:ascii="Times New Roman" w:hAnsi="Times New Roman" w:cs="Times New Roman"/>
                <w:bCs/>
                <w:i/>
                <w:sz w:val="24"/>
                <w:szCs w:val="24"/>
                <w:lang w:val="ro-RO"/>
              </w:rPr>
            </w:pPr>
            <w:r w:rsidRPr="00EB1C0D">
              <w:rPr>
                <w:rFonts w:ascii="Times New Roman" w:hAnsi="Times New Roman" w:cs="Times New Roman"/>
                <w:bCs/>
                <w:i/>
                <w:sz w:val="24"/>
                <w:szCs w:val="24"/>
                <w:lang w:val="ro-RO"/>
              </w:rPr>
              <w:t>Opțiunea alterativă 1</w:t>
            </w:r>
          </w:p>
        </w:tc>
        <w:tc>
          <w:tcPr>
            <w:tcW w:w="714" w:type="pct"/>
          </w:tcPr>
          <w:p w14:paraId="564F3935" w14:textId="77777777" w:rsidR="00CF3D51" w:rsidRPr="00EB1C0D" w:rsidRDefault="00CF3D51" w:rsidP="00DA5F81">
            <w:pPr>
              <w:spacing w:after="60"/>
              <w:rPr>
                <w:rFonts w:ascii="Times New Roman" w:hAnsi="Times New Roman" w:cs="Times New Roman"/>
                <w:bCs/>
                <w:i/>
                <w:sz w:val="24"/>
                <w:szCs w:val="24"/>
                <w:lang w:val="ro-RO"/>
              </w:rPr>
            </w:pPr>
            <w:r w:rsidRPr="00EB1C0D">
              <w:rPr>
                <w:rFonts w:ascii="Times New Roman" w:hAnsi="Times New Roman" w:cs="Times New Roman"/>
                <w:bCs/>
                <w:i/>
                <w:sz w:val="24"/>
                <w:szCs w:val="24"/>
                <w:lang w:val="ro-RO"/>
              </w:rPr>
              <w:t>Opțiunea alterativă 2</w:t>
            </w:r>
          </w:p>
        </w:tc>
      </w:tr>
      <w:tr w:rsidR="00B468B6" w:rsidRPr="00EB1C0D" w14:paraId="2630ADCA" w14:textId="77777777" w:rsidTr="00764EBD">
        <w:trPr>
          <w:trHeight w:val="512"/>
          <w:jc w:val="center"/>
        </w:trPr>
        <w:tc>
          <w:tcPr>
            <w:tcW w:w="5000" w:type="pct"/>
            <w:gridSpan w:val="4"/>
            <w:shd w:val="clear" w:color="auto" w:fill="auto"/>
            <w:tcMar>
              <w:top w:w="15" w:type="dxa"/>
              <w:left w:w="45" w:type="dxa"/>
              <w:bottom w:w="15" w:type="dxa"/>
              <w:right w:w="45" w:type="dxa"/>
            </w:tcMar>
          </w:tcPr>
          <w:p w14:paraId="51E0552E" w14:textId="77777777" w:rsidR="00CF3D51" w:rsidRPr="00EB1C0D" w:rsidRDefault="00CF3D51" w:rsidP="00DA5F81">
            <w:pPr>
              <w:spacing w:after="60"/>
              <w:rPr>
                <w:rFonts w:ascii="Times New Roman" w:hAnsi="Times New Roman" w:cs="Times New Roman"/>
                <w:b/>
                <w:sz w:val="24"/>
                <w:szCs w:val="24"/>
                <w:lang w:val="ro-RO"/>
              </w:rPr>
            </w:pPr>
            <w:r w:rsidRPr="00EB1C0D">
              <w:rPr>
                <w:rFonts w:ascii="Times New Roman" w:hAnsi="Times New Roman" w:cs="Times New Roman"/>
                <w:b/>
                <w:bCs/>
                <w:sz w:val="24"/>
                <w:szCs w:val="24"/>
                <w:lang w:val="ro-RO"/>
              </w:rPr>
              <w:t>Economic</w:t>
            </w:r>
          </w:p>
        </w:tc>
      </w:tr>
      <w:tr w:rsidR="00983497" w:rsidRPr="00EB1C0D" w14:paraId="6846DEC3" w14:textId="77777777" w:rsidTr="005F5039">
        <w:trPr>
          <w:trHeight w:val="219"/>
          <w:jc w:val="center"/>
        </w:trPr>
        <w:tc>
          <w:tcPr>
            <w:tcW w:w="2730" w:type="pct"/>
            <w:tcMar>
              <w:top w:w="15" w:type="dxa"/>
              <w:left w:w="45" w:type="dxa"/>
              <w:bottom w:w="15" w:type="dxa"/>
              <w:right w:w="45" w:type="dxa"/>
            </w:tcMar>
          </w:tcPr>
          <w:p w14:paraId="3487DD53" w14:textId="77777777" w:rsidR="00983497" w:rsidRPr="00EB1C0D" w:rsidRDefault="00983497"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costurile desfășurării afacerilor</w:t>
            </w:r>
          </w:p>
        </w:tc>
        <w:tc>
          <w:tcPr>
            <w:tcW w:w="777" w:type="pct"/>
          </w:tcPr>
          <w:p w14:paraId="5B4282CE" w14:textId="5F407931" w:rsidR="00983497"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w:t>
            </w:r>
            <w:r w:rsidR="00764EBD">
              <w:rPr>
                <w:rFonts w:ascii="Times New Roman" w:hAnsi="Times New Roman" w:cs="Times New Roman"/>
                <w:sz w:val="24"/>
                <w:szCs w:val="24"/>
                <w:lang w:val="ro-RO"/>
              </w:rPr>
              <w:t>1</w:t>
            </w:r>
          </w:p>
        </w:tc>
        <w:tc>
          <w:tcPr>
            <w:tcW w:w="779" w:type="pct"/>
          </w:tcPr>
          <w:p w14:paraId="21A107E2" w14:textId="16604F19" w:rsidR="00983497" w:rsidRPr="00EB1C0D" w:rsidRDefault="00764EBD" w:rsidP="00DA5F81">
            <w:pPr>
              <w:spacing w:after="60"/>
              <w:rPr>
                <w:rFonts w:ascii="Times New Roman" w:hAnsi="Times New Roman" w:cs="Times New Roman"/>
                <w:bCs/>
                <w:sz w:val="24"/>
                <w:szCs w:val="24"/>
                <w:lang w:val="ro-RO"/>
              </w:rPr>
            </w:pPr>
            <w:r>
              <w:t>-</w:t>
            </w:r>
          </w:p>
        </w:tc>
        <w:tc>
          <w:tcPr>
            <w:tcW w:w="714" w:type="pct"/>
          </w:tcPr>
          <w:p w14:paraId="39B823EC" w14:textId="1D8A8DBA" w:rsidR="00983497" w:rsidRPr="00EB1C0D" w:rsidRDefault="00983497"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983497" w:rsidRPr="00EB1C0D" w14:paraId="504E1A22" w14:textId="77777777" w:rsidTr="005F5039">
        <w:trPr>
          <w:trHeight w:val="228"/>
          <w:jc w:val="center"/>
        </w:trPr>
        <w:tc>
          <w:tcPr>
            <w:tcW w:w="2730" w:type="pct"/>
            <w:tcMar>
              <w:top w:w="15" w:type="dxa"/>
              <w:left w:w="45" w:type="dxa"/>
              <w:bottom w:w="15" w:type="dxa"/>
              <w:right w:w="45" w:type="dxa"/>
            </w:tcMar>
          </w:tcPr>
          <w:p w14:paraId="01DCCA5E" w14:textId="77777777" w:rsidR="00983497" w:rsidRPr="00EB1C0D" w:rsidRDefault="00983497"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povara administrativă</w:t>
            </w:r>
          </w:p>
        </w:tc>
        <w:tc>
          <w:tcPr>
            <w:tcW w:w="777" w:type="pct"/>
          </w:tcPr>
          <w:p w14:paraId="0E4C1E5D" w14:textId="477624FE" w:rsidR="00983497"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w:t>
            </w:r>
            <w:r w:rsidR="00983497">
              <w:rPr>
                <w:rFonts w:ascii="Times New Roman" w:hAnsi="Times New Roman" w:cs="Times New Roman"/>
                <w:sz w:val="24"/>
                <w:szCs w:val="24"/>
                <w:lang w:val="ro-RO"/>
              </w:rPr>
              <w:t>1</w:t>
            </w:r>
          </w:p>
        </w:tc>
        <w:tc>
          <w:tcPr>
            <w:tcW w:w="779" w:type="pct"/>
          </w:tcPr>
          <w:p w14:paraId="1935A1B1" w14:textId="0040365F" w:rsidR="00983497" w:rsidRPr="00EB1C0D" w:rsidRDefault="00764EBD" w:rsidP="00DA5F81">
            <w:pPr>
              <w:spacing w:after="60"/>
              <w:rPr>
                <w:rFonts w:ascii="Times New Roman" w:hAnsi="Times New Roman" w:cs="Times New Roman"/>
                <w:bCs/>
                <w:sz w:val="24"/>
                <w:szCs w:val="24"/>
                <w:lang w:val="ro-RO"/>
              </w:rPr>
            </w:pPr>
            <w:r>
              <w:t>-</w:t>
            </w:r>
          </w:p>
        </w:tc>
        <w:tc>
          <w:tcPr>
            <w:tcW w:w="714" w:type="pct"/>
          </w:tcPr>
          <w:p w14:paraId="3988CDDB" w14:textId="4C457490" w:rsidR="00983497" w:rsidRPr="00EB1C0D" w:rsidRDefault="00983497"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D08C166" w14:textId="77777777" w:rsidTr="005F5039">
        <w:trPr>
          <w:trHeight w:val="246"/>
          <w:jc w:val="center"/>
        </w:trPr>
        <w:tc>
          <w:tcPr>
            <w:tcW w:w="2730" w:type="pct"/>
            <w:tcMar>
              <w:top w:w="15" w:type="dxa"/>
              <w:left w:w="45" w:type="dxa"/>
              <w:bottom w:w="15" w:type="dxa"/>
              <w:right w:w="45" w:type="dxa"/>
            </w:tcMar>
          </w:tcPr>
          <w:p w14:paraId="5F4D6071" w14:textId="7777777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fluxurile comerciale și investiționale</w:t>
            </w:r>
          </w:p>
        </w:tc>
        <w:tc>
          <w:tcPr>
            <w:tcW w:w="777" w:type="pct"/>
          </w:tcPr>
          <w:p w14:paraId="3679C3F1" w14:textId="11BFB392" w:rsidR="0090326C" w:rsidRPr="00EB1C0D" w:rsidRDefault="00764EBD"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785EB5CF" w14:textId="265265FF"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471CE6B" w14:textId="05CBCF6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CB78F0D" w14:textId="77777777" w:rsidTr="005F5039">
        <w:trPr>
          <w:trHeight w:val="237"/>
          <w:jc w:val="center"/>
        </w:trPr>
        <w:tc>
          <w:tcPr>
            <w:tcW w:w="2730" w:type="pct"/>
            <w:tcMar>
              <w:top w:w="15" w:type="dxa"/>
              <w:left w:w="45" w:type="dxa"/>
              <w:bottom w:w="15" w:type="dxa"/>
              <w:right w:w="45" w:type="dxa"/>
            </w:tcMar>
          </w:tcPr>
          <w:p w14:paraId="53F060C9" w14:textId="7777777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competitivitatea afacerilor</w:t>
            </w:r>
          </w:p>
        </w:tc>
        <w:tc>
          <w:tcPr>
            <w:tcW w:w="777" w:type="pct"/>
          </w:tcPr>
          <w:p w14:paraId="47BDED3D" w14:textId="4EF41770"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5C431E6A" w14:textId="421FB231"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5F2BFDF" w14:textId="563DB14D"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699EFCC" w14:textId="77777777" w:rsidTr="005F5039">
        <w:trPr>
          <w:trHeight w:val="138"/>
          <w:jc w:val="center"/>
        </w:trPr>
        <w:tc>
          <w:tcPr>
            <w:tcW w:w="2730" w:type="pct"/>
            <w:tcMar>
              <w:top w:w="15" w:type="dxa"/>
              <w:left w:w="45" w:type="dxa"/>
              <w:bottom w:w="15" w:type="dxa"/>
              <w:right w:w="45" w:type="dxa"/>
            </w:tcMar>
          </w:tcPr>
          <w:p w14:paraId="48F7B2A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activitatea diferitor categorii de întreprinderi mici și mijlocii</w:t>
            </w:r>
          </w:p>
        </w:tc>
        <w:tc>
          <w:tcPr>
            <w:tcW w:w="777" w:type="pct"/>
          </w:tcPr>
          <w:p w14:paraId="618E5F3A" w14:textId="5C2940A2" w:rsidR="0090326C" w:rsidRPr="00EB1C0D" w:rsidRDefault="00E76B6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DE81FBE" w14:textId="5503D16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D16968A" w14:textId="21C6236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69D661C" w14:textId="77777777" w:rsidTr="005F5039">
        <w:trPr>
          <w:trHeight w:val="66"/>
          <w:jc w:val="center"/>
        </w:trPr>
        <w:tc>
          <w:tcPr>
            <w:tcW w:w="2730" w:type="pct"/>
            <w:tcMar>
              <w:top w:w="15" w:type="dxa"/>
              <w:left w:w="45" w:type="dxa"/>
              <w:bottom w:w="15" w:type="dxa"/>
              <w:right w:w="45" w:type="dxa"/>
            </w:tcMar>
          </w:tcPr>
          <w:p w14:paraId="7A91196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concurența pe piață</w:t>
            </w:r>
          </w:p>
        </w:tc>
        <w:tc>
          <w:tcPr>
            <w:tcW w:w="777" w:type="pct"/>
          </w:tcPr>
          <w:p w14:paraId="2B88A2BE" w14:textId="38D0DBDA"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33D82585" w14:textId="0E8425F9"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62438A3" w14:textId="5A28D9E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803DC12" w14:textId="77777777" w:rsidTr="005F5039">
        <w:trPr>
          <w:trHeight w:val="75"/>
          <w:jc w:val="center"/>
        </w:trPr>
        <w:tc>
          <w:tcPr>
            <w:tcW w:w="2730" w:type="pct"/>
            <w:tcMar>
              <w:top w:w="15" w:type="dxa"/>
              <w:left w:w="45" w:type="dxa"/>
              <w:bottom w:w="15" w:type="dxa"/>
              <w:right w:w="45" w:type="dxa"/>
            </w:tcMar>
          </w:tcPr>
          <w:p w14:paraId="4F63100B"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activitatea de inovare și cercetare</w:t>
            </w:r>
          </w:p>
        </w:tc>
        <w:tc>
          <w:tcPr>
            <w:tcW w:w="777" w:type="pct"/>
          </w:tcPr>
          <w:p w14:paraId="266B67F7" w14:textId="6C264FCA"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01802CC6" w14:textId="7EB1699D"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D426AB1" w14:textId="33EA9DE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E3AE028" w14:textId="77777777" w:rsidTr="005F5039">
        <w:trPr>
          <w:trHeight w:val="53"/>
          <w:jc w:val="center"/>
        </w:trPr>
        <w:tc>
          <w:tcPr>
            <w:tcW w:w="2730" w:type="pct"/>
            <w:tcMar>
              <w:top w:w="15" w:type="dxa"/>
              <w:left w:w="45" w:type="dxa"/>
              <w:bottom w:w="15" w:type="dxa"/>
              <w:right w:w="45" w:type="dxa"/>
            </w:tcMar>
          </w:tcPr>
          <w:p w14:paraId="771E86B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veniturile și cheltuielile publice</w:t>
            </w:r>
          </w:p>
        </w:tc>
        <w:tc>
          <w:tcPr>
            <w:tcW w:w="777" w:type="pct"/>
          </w:tcPr>
          <w:p w14:paraId="69236A2E" w14:textId="3A6EDE0C"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0EAD5409" w14:textId="772DBA05"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A7D9145" w14:textId="10462B4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C7D9BFB" w14:textId="77777777" w:rsidTr="005F5039">
        <w:trPr>
          <w:trHeight w:val="210"/>
          <w:jc w:val="center"/>
        </w:trPr>
        <w:tc>
          <w:tcPr>
            <w:tcW w:w="2730" w:type="pct"/>
            <w:tcMar>
              <w:top w:w="15" w:type="dxa"/>
              <w:left w:w="45" w:type="dxa"/>
              <w:bottom w:w="15" w:type="dxa"/>
              <w:right w:w="45" w:type="dxa"/>
            </w:tcMar>
          </w:tcPr>
          <w:p w14:paraId="23B61B13"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cadrul instituțional al autorităților publice</w:t>
            </w:r>
          </w:p>
        </w:tc>
        <w:tc>
          <w:tcPr>
            <w:tcW w:w="777" w:type="pct"/>
          </w:tcPr>
          <w:p w14:paraId="1C3978C1" w14:textId="0553145A"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63DA3736" w14:textId="30465A1D"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5850E2D" w14:textId="5ECFC29D"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52FF52D" w14:textId="77777777" w:rsidTr="005F5039">
        <w:trPr>
          <w:trHeight w:val="147"/>
          <w:jc w:val="center"/>
        </w:trPr>
        <w:tc>
          <w:tcPr>
            <w:tcW w:w="2730" w:type="pct"/>
            <w:tcMar>
              <w:top w:w="15" w:type="dxa"/>
              <w:left w:w="45" w:type="dxa"/>
              <w:bottom w:w="15" w:type="dxa"/>
              <w:right w:w="45" w:type="dxa"/>
            </w:tcMar>
          </w:tcPr>
          <w:p w14:paraId="19D5B88A"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alegerea, calitatea și prețurile pentru consumatori</w:t>
            </w:r>
          </w:p>
        </w:tc>
        <w:tc>
          <w:tcPr>
            <w:tcW w:w="777" w:type="pct"/>
          </w:tcPr>
          <w:p w14:paraId="37153D22" w14:textId="4F3518A0"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779" w:type="pct"/>
          </w:tcPr>
          <w:p w14:paraId="44D70144" w14:textId="78CC6AE3" w:rsidR="0090326C" w:rsidRPr="00EB1C0D" w:rsidRDefault="0090326C" w:rsidP="00DA5F81">
            <w:pPr>
              <w:spacing w:after="60"/>
              <w:rPr>
                <w:rFonts w:ascii="Times New Roman" w:hAnsi="Times New Roman" w:cs="Times New Roman"/>
                <w:bCs/>
                <w:sz w:val="24"/>
                <w:szCs w:val="24"/>
                <w:lang w:val="ro-RO"/>
              </w:rPr>
            </w:pPr>
          </w:p>
        </w:tc>
        <w:tc>
          <w:tcPr>
            <w:tcW w:w="714" w:type="pct"/>
          </w:tcPr>
          <w:p w14:paraId="07586539" w14:textId="2B57BBF4"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D90456C" w14:textId="77777777" w:rsidTr="005F5039">
        <w:trPr>
          <w:trHeight w:val="53"/>
          <w:jc w:val="center"/>
        </w:trPr>
        <w:tc>
          <w:tcPr>
            <w:tcW w:w="2730" w:type="pct"/>
            <w:tcMar>
              <w:top w:w="15" w:type="dxa"/>
              <w:left w:w="45" w:type="dxa"/>
              <w:bottom w:w="15" w:type="dxa"/>
              <w:right w:w="45" w:type="dxa"/>
            </w:tcMar>
          </w:tcPr>
          <w:p w14:paraId="7BDDA566"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bunăstarea gospodăriilor casnice și a cetățenilor</w:t>
            </w:r>
          </w:p>
        </w:tc>
        <w:tc>
          <w:tcPr>
            <w:tcW w:w="777" w:type="pct"/>
          </w:tcPr>
          <w:p w14:paraId="011F2309" w14:textId="3B2F6A30"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228FAFD1" w14:textId="780B2FDC"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D58AA75" w14:textId="5748869E"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89BE0B8" w14:textId="77777777" w:rsidTr="005F5039">
        <w:trPr>
          <w:trHeight w:val="246"/>
          <w:jc w:val="center"/>
        </w:trPr>
        <w:tc>
          <w:tcPr>
            <w:tcW w:w="2730" w:type="pct"/>
            <w:tcMar>
              <w:top w:w="15" w:type="dxa"/>
              <w:left w:w="45" w:type="dxa"/>
              <w:bottom w:w="15" w:type="dxa"/>
              <w:right w:w="45" w:type="dxa"/>
            </w:tcMar>
          </w:tcPr>
          <w:p w14:paraId="32C42CA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situația social-economică în anumite regiuni</w:t>
            </w:r>
          </w:p>
        </w:tc>
        <w:tc>
          <w:tcPr>
            <w:tcW w:w="777" w:type="pct"/>
          </w:tcPr>
          <w:p w14:paraId="2AF1FC81" w14:textId="77A0AF71" w:rsidR="0090326C" w:rsidRPr="00EB1C0D" w:rsidRDefault="00CD285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2070A1AE" w14:textId="6037FD7C"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BF74843" w14:textId="5CC3ECCD"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2F20E43" w14:textId="77777777" w:rsidTr="005F5039">
        <w:trPr>
          <w:trHeight w:val="246"/>
          <w:jc w:val="center"/>
        </w:trPr>
        <w:tc>
          <w:tcPr>
            <w:tcW w:w="2730" w:type="pct"/>
            <w:tcMar>
              <w:top w:w="15" w:type="dxa"/>
              <w:left w:w="45" w:type="dxa"/>
              <w:bottom w:w="15" w:type="dxa"/>
              <w:right w:w="45" w:type="dxa"/>
            </w:tcMar>
          </w:tcPr>
          <w:p w14:paraId="0F08DD6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situația macroeconomică</w:t>
            </w:r>
          </w:p>
        </w:tc>
        <w:tc>
          <w:tcPr>
            <w:tcW w:w="777" w:type="pct"/>
          </w:tcPr>
          <w:p w14:paraId="62222A8E" w14:textId="0761A62A" w:rsidR="0090326C"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3C772A2" w14:textId="5F0473E8"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585A405" w14:textId="320FB22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E74EB85" w14:textId="77777777" w:rsidTr="005F5039">
        <w:trPr>
          <w:trHeight w:val="237"/>
          <w:jc w:val="center"/>
        </w:trPr>
        <w:tc>
          <w:tcPr>
            <w:tcW w:w="2730" w:type="pct"/>
            <w:tcMar>
              <w:top w:w="15" w:type="dxa"/>
              <w:left w:w="45" w:type="dxa"/>
              <w:bottom w:w="15" w:type="dxa"/>
              <w:right w:w="45" w:type="dxa"/>
            </w:tcMar>
          </w:tcPr>
          <w:p w14:paraId="6B19EDE3"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alte aspecte economice</w:t>
            </w:r>
          </w:p>
        </w:tc>
        <w:tc>
          <w:tcPr>
            <w:tcW w:w="777" w:type="pct"/>
          </w:tcPr>
          <w:p w14:paraId="5CC81D97" w14:textId="483057D3" w:rsidR="0090326C"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04241B13" w14:textId="48DF80C5"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82F6CFC" w14:textId="77B8F868"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2814C05" w14:textId="77777777" w:rsidTr="005F5039">
        <w:trPr>
          <w:trHeight w:val="53"/>
          <w:jc w:val="center"/>
        </w:trPr>
        <w:tc>
          <w:tcPr>
            <w:tcW w:w="5000" w:type="pct"/>
            <w:gridSpan w:val="4"/>
            <w:shd w:val="clear" w:color="auto" w:fill="auto"/>
            <w:tcMar>
              <w:top w:w="15" w:type="dxa"/>
              <w:left w:w="45" w:type="dxa"/>
              <w:bottom w:w="15" w:type="dxa"/>
              <w:right w:w="45" w:type="dxa"/>
            </w:tcMar>
          </w:tcPr>
          <w:p w14:paraId="767C1D69" w14:textId="77777777" w:rsidR="0090326C" w:rsidRPr="00EB1C0D" w:rsidRDefault="0090326C" w:rsidP="00DA5F81">
            <w:pPr>
              <w:spacing w:after="60"/>
              <w:rPr>
                <w:rFonts w:ascii="Times New Roman" w:hAnsi="Times New Roman" w:cs="Times New Roman"/>
                <w:b/>
                <w:sz w:val="24"/>
                <w:szCs w:val="24"/>
                <w:lang w:val="ro-RO"/>
              </w:rPr>
            </w:pPr>
            <w:r w:rsidRPr="00EB1C0D">
              <w:rPr>
                <w:rFonts w:ascii="Times New Roman" w:hAnsi="Times New Roman" w:cs="Times New Roman"/>
                <w:b/>
                <w:bCs/>
                <w:sz w:val="24"/>
                <w:szCs w:val="24"/>
                <w:lang w:val="ro-RO"/>
              </w:rPr>
              <w:t>Social</w:t>
            </w:r>
          </w:p>
        </w:tc>
      </w:tr>
      <w:tr w:rsidR="00B468B6" w:rsidRPr="00EB1C0D" w14:paraId="5501C712" w14:textId="77777777" w:rsidTr="005F5039">
        <w:trPr>
          <w:trHeight w:val="156"/>
          <w:jc w:val="center"/>
        </w:trPr>
        <w:tc>
          <w:tcPr>
            <w:tcW w:w="2730" w:type="pct"/>
            <w:tcMar>
              <w:top w:w="15" w:type="dxa"/>
              <w:left w:w="45" w:type="dxa"/>
              <w:bottom w:w="15" w:type="dxa"/>
              <w:right w:w="45" w:type="dxa"/>
            </w:tcMar>
          </w:tcPr>
          <w:p w14:paraId="054E0D7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gradul de ocupare a forței de muncă</w:t>
            </w:r>
          </w:p>
        </w:tc>
        <w:tc>
          <w:tcPr>
            <w:tcW w:w="777" w:type="pct"/>
          </w:tcPr>
          <w:p w14:paraId="1E688506" w14:textId="01A606D5"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AC40063" w14:textId="415BD836"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C4F9B33" w14:textId="57661C49"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52E28F7" w14:textId="77777777" w:rsidTr="005F5039">
        <w:trPr>
          <w:trHeight w:val="53"/>
          <w:jc w:val="center"/>
        </w:trPr>
        <w:tc>
          <w:tcPr>
            <w:tcW w:w="2730" w:type="pct"/>
            <w:tcMar>
              <w:top w:w="15" w:type="dxa"/>
              <w:left w:w="45" w:type="dxa"/>
              <w:bottom w:w="15" w:type="dxa"/>
              <w:right w:w="45" w:type="dxa"/>
            </w:tcMar>
          </w:tcPr>
          <w:p w14:paraId="403EEBA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de salarizare</w:t>
            </w:r>
          </w:p>
        </w:tc>
        <w:tc>
          <w:tcPr>
            <w:tcW w:w="777" w:type="pct"/>
          </w:tcPr>
          <w:p w14:paraId="48E472DD" w14:textId="5960D04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F175D66" w14:textId="7B8276DD"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E671F72" w14:textId="62FFDA51"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DADCEC7" w14:textId="77777777" w:rsidTr="005F5039">
        <w:trPr>
          <w:trHeight w:val="53"/>
          <w:jc w:val="center"/>
        </w:trPr>
        <w:tc>
          <w:tcPr>
            <w:tcW w:w="2730" w:type="pct"/>
            <w:tcMar>
              <w:top w:w="15" w:type="dxa"/>
              <w:left w:w="45" w:type="dxa"/>
              <w:bottom w:w="15" w:type="dxa"/>
              <w:right w:w="45" w:type="dxa"/>
            </w:tcMar>
          </w:tcPr>
          <w:p w14:paraId="26E64953"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condițiile și organizarea muncii</w:t>
            </w:r>
          </w:p>
        </w:tc>
        <w:tc>
          <w:tcPr>
            <w:tcW w:w="777" w:type="pct"/>
          </w:tcPr>
          <w:p w14:paraId="6B97B477" w14:textId="7223F948"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5F325BA" w14:textId="57170806"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BFB2B02" w14:textId="38619CBC"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A4ECDF0" w14:textId="77777777" w:rsidTr="005F5039">
        <w:trPr>
          <w:trHeight w:val="53"/>
          <w:jc w:val="center"/>
        </w:trPr>
        <w:tc>
          <w:tcPr>
            <w:tcW w:w="2730" w:type="pct"/>
            <w:tcMar>
              <w:top w:w="15" w:type="dxa"/>
              <w:left w:w="45" w:type="dxa"/>
              <w:bottom w:w="15" w:type="dxa"/>
              <w:right w:w="45" w:type="dxa"/>
            </w:tcMar>
          </w:tcPr>
          <w:p w14:paraId="0FE2AD72"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sănătatea și securitatea muncii</w:t>
            </w:r>
          </w:p>
        </w:tc>
        <w:tc>
          <w:tcPr>
            <w:tcW w:w="777" w:type="pct"/>
          </w:tcPr>
          <w:p w14:paraId="0624995A" w14:textId="691F2641"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51BC83E" w14:textId="299BC53E"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5DDD55A" w14:textId="784C0B1A"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E929FDD" w14:textId="77777777" w:rsidTr="005F5039">
        <w:trPr>
          <w:trHeight w:val="102"/>
          <w:jc w:val="center"/>
        </w:trPr>
        <w:tc>
          <w:tcPr>
            <w:tcW w:w="2730" w:type="pct"/>
            <w:tcMar>
              <w:top w:w="15" w:type="dxa"/>
              <w:left w:w="45" w:type="dxa"/>
              <w:bottom w:w="15" w:type="dxa"/>
              <w:right w:w="45" w:type="dxa"/>
            </w:tcMar>
          </w:tcPr>
          <w:p w14:paraId="7C3F4DC5"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formarea profesională</w:t>
            </w:r>
          </w:p>
        </w:tc>
        <w:tc>
          <w:tcPr>
            <w:tcW w:w="777" w:type="pct"/>
          </w:tcPr>
          <w:p w14:paraId="239779C0" w14:textId="6B0B896A"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052685E8" w14:textId="57EAA70D"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1EBCFE0" w14:textId="698108F7"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07491DE" w14:textId="77777777" w:rsidTr="005F5039">
        <w:trPr>
          <w:trHeight w:val="210"/>
          <w:jc w:val="center"/>
        </w:trPr>
        <w:tc>
          <w:tcPr>
            <w:tcW w:w="2730" w:type="pct"/>
            <w:tcMar>
              <w:top w:w="15" w:type="dxa"/>
              <w:left w:w="45" w:type="dxa"/>
              <w:bottom w:w="15" w:type="dxa"/>
              <w:right w:w="45" w:type="dxa"/>
            </w:tcMar>
          </w:tcPr>
          <w:p w14:paraId="1A0BB2C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inegalitatea și distribuția veniturilor</w:t>
            </w:r>
          </w:p>
        </w:tc>
        <w:tc>
          <w:tcPr>
            <w:tcW w:w="777" w:type="pct"/>
          </w:tcPr>
          <w:p w14:paraId="4DD77AA7" w14:textId="34A3A6B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E892F22" w14:textId="60177B28"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FE21CB8" w14:textId="7DADABE9"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67882D3" w14:textId="77777777" w:rsidTr="005F5039">
        <w:trPr>
          <w:trHeight w:val="210"/>
          <w:jc w:val="center"/>
        </w:trPr>
        <w:tc>
          <w:tcPr>
            <w:tcW w:w="2730" w:type="pct"/>
            <w:tcMar>
              <w:top w:w="15" w:type="dxa"/>
              <w:left w:w="45" w:type="dxa"/>
              <w:bottom w:w="15" w:type="dxa"/>
              <w:right w:w="45" w:type="dxa"/>
            </w:tcMar>
          </w:tcPr>
          <w:p w14:paraId="030CAF05"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veniturilor populației</w:t>
            </w:r>
          </w:p>
        </w:tc>
        <w:tc>
          <w:tcPr>
            <w:tcW w:w="777" w:type="pct"/>
          </w:tcPr>
          <w:p w14:paraId="18A2FD3B" w14:textId="054064A0"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FD96C92" w14:textId="7FDC9AC6"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326E6FF" w14:textId="4B331BB7"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4F0B358" w14:textId="77777777" w:rsidTr="005F5039">
        <w:trPr>
          <w:trHeight w:val="129"/>
          <w:jc w:val="center"/>
        </w:trPr>
        <w:tc>
          <w:tcPr>
            <w:tcW w:w="2730" w:type="pct"/>
            <w:tcMar>
              <w:top w:w="15" w:type="dxa"/>
              <w:left w:w="45" w:type="dxa"/>
              <w:bottom w:w="15" w:type="dxa"/>
              <w:right w:w="45" w:type="dxa"/>
            </w:tcMar>
          </w:tcPr>
          <w:p w14:paraId="683FCFB6"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sărăciei</w:t>
            </w:r>
          </w:p>
        </w:tc>
        <w:tc>
          <w:tcPr>
            <w:tcW w:w="777" w:type="pct"/>
          </w:tcPr>
          <w:p w14:paraId="73106B01" w14:textId="1260F7F0"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7E60929" w14:textId="4D2A97B0"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EFA5737" w14:textId="7B62C77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B0B8DC4" w14:textId="77777777" w:rsidTr="005F5039">
        <w:trPr>
          <w:trHeight w:val="444"/>
          <w:jc w:val="center"/>
        </w:trPr>
        <w:tc>
          <w:tcPr>
            <w:tcW w:w="2730" w:type="pct"/>
            <w:tcMar>
              <w:top w:w="15" w:type="dxa"/>
              <w:left w:w="45" w:type="dxa"/>
              <w:bottom w:w="15" w:type="dxa"/>
              <w:right w:w="45" w:type="dxa"/>
            </w:tcMar>
          </w:tcPr>
          <w:p w14:paraId="311D130F"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la bunuri și servicii de bază, în special pentru persoanele social-vulnerabile</w:t>
            </w:r>
          </w:p>
        </w:tc>
        <w:tc>
          <w:tcPr>
            <w:tcW w:w="777" w:type="pct"/>
          </w:tcPr>
          <w:p w14:paraId="4370E2FE" w14:textId="2D14734D"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5CC0FB1F" w14:textId="760A1B38"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26EADB9" w14:textId="63C7EA98"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0D23F62" w14:textId="77777777" w:rsidTr="005F5039">
        <w:trPr>
          <w:trHeight w:val="53"/>
          <w:jc w:val="center"/>
        </w:trPr>
        <w:tc>
          <w:tcPr>
            <w:tcW w:w="2730" w:type="pct"/>
            <w:tcMar>
              <w:top w:w="15" w:type="dxa"/>
              <w:left w:w="45" w:type="dxa"/>
              <w:bottom w:w="15" w:type="dxa"/>
              <w:right w:w="45" w:type="dxa"/>
            </w:tcMar>
          </w:tcPr>
          <w:p w14:paraId="254A5FE9" w14:textId="7777777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diversitatea culturală și lingvistică</w:t>
            </w:r>
          </w:p>
        </w:tc>
        <w:tc>
          <w:tcPr>
            <w:tcW w:w="777" w:type="pct"/>
          </w:tcPr>
          <w:p w14:paraId="314E40F7" w14:textId="049824E5"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21F1CF9" w14:textId="7CC31CD7" w:rsidR="00144628" w:rsidRPr="00EB1C0D" w:rsidRDefault="00144628"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EA73CBF" w14:textId="1D4BC0B9" w:rsidR="00144628"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01698AC3" w14:textId="77777777" w:rsidTr="005F5039">
        <w:trPr>
          <w:trHeight w:val="53"/>
          <w:jc w:val="center"/>
        </w:trPr>
        <w:tc>
          <w:tcPr>
            <w:tcW w:w="2730" w:type="pct"/>
            <w:tcMar>
              <w:top w:w="15" w:type="dxa"/>
              <w:left w:w="45" w:type="dxa"/>
              <w:bottom w:w="15" w:type="dxa"/>
              <w:right w:w="45" w:type="dxa"/>
            </w:tcMar>
          </w:tcPr>
          <w:p w14:paraId="6CD65DD4"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partidele politice și organizațiile civice</w:t>
            </w:r>
          </w:p>
        </w:tc>
        <w:tc>
          <w:tcPr>
            <w:tcW w:w="777" w:type="pct"/>
          </w:tcPr>
          <w:p w14:paraId="76DA75F0" w14:textId="68D6BA57"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5EB75FE" w14:textId="64365AB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51A6A37" w14:textId="6384A9E8"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79C557F" w14:textId="77777777" w:rsidTr="005F5039">
        <w:trPr>
          <w:trHeight w:val="120"/>
          <w:jc w:val="center"/>
        </w:trPr>
        <w:tc>
          <w:tcPr>
            <w:tcW w:w="2730" w:type="pct"/>
            <w:tcMar>
              <w:top w:w="15" w:type="dxa"/>
              <w:left w:w="45" w:type="dxa"/>
              <w:bottom w:w="15" w:type="dxa"/>
              <w:right w:w="45" w:type="dxa"/>
            </w:tcMar>
          </w:tcPr>
          <w:p w14:paraId="48FD18F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lastRenderedPageBreak/>
              <w:t>sănătatea publică, inclusiv mortalitatea și morbiditatea</w:t>
            </w:r>
          </w:p>
        </w:tc>
        <w:tc>
          <w:tcPr>
            <w:tcW w:w="777" w:type="pct"/>
          </w:tcPr>
          <w:p w14:paraId="30B338BC" w14:textId="78F29ABD"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66945F68" w14:textId="14430D01"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51D1430" w14:textId="326B898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5B32F1F" w14:textId="77777777" w:rsidTr="005F5039">
        <w:trPr>
          <w:trHeight w:val="53"/>
          <w:jc w:val="center"/>
        </w:trPr>
        <w:tc>
          <w:tcPr>
            <w:tcW w:w="2730" w:type="pct"/>
            <w:tcMar>
              <w:top w:w="15" w:type="dxa"/>
              <w:left w:w="45" w:type="dxa"/>
              <w:bottom w:w="15" w:type="dxa"/>
              <w:right w:w="45" w:type="dxa"/>
            </w:tcMar>
          </w:tcPr>
          <w:p w14:paraId="3388BDBB"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modul sănătos de viață al populației</w:t>
            </w:r>
          </w:p>
        </w:tc>
        <w:tc>
          <w:tcPr>
            <w:tcW w:w="777" w:type="pct"/>
          </w:tcPr>
          <w:p w14:paraId="1FE38B8C" w14:textId="3FA30DE5" w:rsidR="0090326C" w:rsidRPr="00EB1C0D" w:rsidRDefault="00D318EC"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776D40D0" w14:textId="6B568FC4"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55C6C4A" w14:textId="579D954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49A9549" w14:textId="77777777" w:rsidTr="005F5039">
        <w:trPr>
          <w:trHeight w:val="228"/>
          <w:jc w:val="center"/>
        </w:trPr>
        <w:tc>
          <w:tcPr>
            <w:tcW w:w="2730" w:type="pct"/>
            <w:tcMar>
              <w:top w:w="15" w:type="dxa"/>
              <w:left w:w="45" w:type="dxa"/>
              <w:bottom w:w="15" w:type="dxa"/>
              <w:right w:w="45" w:type="dxa"/>
            </w:tcMar>
          </w:tcPr>
          <w:p w14:paraId="362382BE"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criminalității și securității publice</w:t>
            </w:r>
          </w:p>
        </w:tc>
        <w:tc>
          <w:tcPr>
            <w:tcW w:w="777" w:type="pct"/>
          </w:tcPr>
          <w:p w14:paraId="0B5B7BA2" w14:textId="66616C21"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FA2A9B4" w14:textId="72D63914"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E552C8B" w14:textId="1EC3E1E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9DA3DC9" w14:textId="77777777" w:rsidTr="005F5039">
        <w:trPr>
          <w:trHeight w:val="57"/>
          <w:jc w:val="center"/>
        </w:trPr>
        <w:tc>
          <w:tcPr>
            <w:tcW w:w="2730" w:type="pct"/>
            <w:tcMar>
              <w:top w:w="15" w:type="dxa"/>
              <w:left w:w="45" w:type="dxa"/>
              <w:bottom w:w="15" w:type="dxa"/>
              <w:right w:w="45" w:type="dxa"/>
            </w:tcMar>
          </w:tcPr>
          <w:p w14:paraId="095DBB42"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de protecție socială</w:t>
            </w:r>
          </w:p>
        </w:tc>
        <w:tc>
          <w:tcPr>
            <w:tcW w:w="777" w:type="pct"/>
          </w:tcPr>
          <w:p w14:paraId="6BE58D1E" w14:textId="427E0F9F"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063B64D" w14:textId="1F589D3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C55924B" w14:textId="54E802C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DCC8647" w14:textId="77777777" w:rsidTr="005F5039">
        <w:trPr>
          <w:trHeight w:val="165"/>
          <w:jc w:val="center"/>
        </w:trPr>
        <w:tc>
          <w:tcPr>
            <w:tcW w:w="2730" w:type="pct"/>
            <w:tcMar>
              <w:top w:w="15" w:type="dxa"/>
              <w:left w:w="45" w:type="dxa"/>
              <w:bottom w:w="15" w:type="dxa"/>
              <w:right w:w="45" w:type="dxa"/>
            </w:tcMar>
          </w:tcPr>
          <w:p w14:paraId="3481094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educaționale</w:t>
            </w:r>
          </w:p>
        </w:tc>
        <w:tc>
          <w:tcPr>
            <w:tcW w:w="777" w:type="pct"/>
          </w:tcPr>
          <w:p w14:paraId="554DF103" w14:textId="792A143C"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A23E279" w14:textId="2595196F"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DB40264" w14:textId="43062CB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11C813C" w14:textId="77777777" w:rsidTr="005F5039">
        <w:trPr>
          <w:trHeight w:val="53"/>
          <w:jc w:val="center"/>
        </w:trPr>
        <w:tc>
          <w:tcPr>
            <w:tcW w:w="2730" w:type="pct"/>
            <w:tcMar>
              <w:top w:w="15" w:type="dxa"/>
              <w:left w:w="45" w:type="dxa"/>
              <w:bottom w:w="15" w:type="dxa"/>
              <w:right w:w="45" w:type="dxa"/>
            </w:tcMar>
          </w:tcPr>
          <w:p w14:paraId="6A48245D"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medicale</w:t>
            </w:r>
          </w:p>
        </w:tc>
        <w:tc>
          <w:tcPr>
            <w:tcW w:w="777" w:type="pct"/>
          </w:tcPr>
          <w:p w14:paraId="6CA7E411" w14:textId="5E573AF4"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FE549AC" w14:textId="63FD7CDB"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A484219" w14:textId="37AA57A6"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AD79B92" w14:textId="77777777" w:rsidTr="005F5039">
        <w:trPr>
          <w:trHeight w:val="84"/>
          <w:jc w:val="center"/>
        </w:trPr>
        <w:tc>
          <w:tcPr>
            <w:tcW w:w="2730" w:type="pct"/>
            <w:tcMar>
              <w:top w:w="15" w:type="dxa"/>
              <w:left w:w="45" w:type="dxa"/>
              <w:bottom w:w="15" w:type="dxa"/>
              <w:right w:w="45" w:type="dxa"/>
            </w:tcMar>
          </w:tcPr>
          <w:p w14:paraId="1D96D7EE"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calitatea serviciilor publice administrative</w:t>
            </w:r>
          </w:p>
        </w:tc>
        <w:tc>
          <w:tcPr>
            <w:tcW w:w="777" w:type="pct"/>
          </w:tcPr>
          <w:p w14:paraId="3EE685F9" w14:textId="5BCC2973" w:rsidR="0090326C" w:rsidRPr="00EB1C0D" w:rsidRDefault="003D2335"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CAE8A5C" w14:textId="0EABCCFB"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EFEAA49" w14:textId="77CBFD8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D9B8430" w14:textId="77777777" w:rsidTr="005F5039">
        <w:trPr>
          <w:trHeight w:val="53"/>
          <w:jc w:val="center"/>
        </w:trPr>
        <w:tc>
          <w:tcPr>
            <w:tcW w:w="2730" w:type="pct"/>
            <w:tcMar>
              <w:top w:w="15" w:type="dxa"/>
              <w:left w:w="45" w:type="dxa"/>
              <w:bottom w:w="15" w:type="dxa"/>
              <w:right w:w="45" w:type="dxa"/>
            </w:tcMar>
          </w:tcPr>
          <w:p w14:paraId="4C77FCD7"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nivelul și calitatea educației populației</w:t>
            </w:r>
          </w:p>
        </w:tc>
        <w:tc>
          <w:tcPr>
            <w:tcW w:w="777" w:type="pct"/>
          </w:tcPr>
          <w:p w14:paraId="322BA4EA" w14:textId="14395D06"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F62728F" w14:textId="6FE3707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ED1B1B7" w14:textId="781E4EE4"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7E80E94" w14:textId="77777777" w:rsidTr="005F5039">
        <w:trPr>
          <w:trHeight w:val="111"/>
          <w:jc w:val="center"/>
        </w:trPr>
        <w:tc>
          <w:tcPr>
            <w:tcW w:w="2730" w:type="pct"/>
            <w:tcMar>
              <w:top w:w="15" w:type="dxa"/>
              <w:left w:w="45" w:type="dxa"/>
              <w:bottom w:w="15" w:type="dxa"/>
              <w:right w:w="45" w:type="dxa"/>
            </w:tcMar>
          </w:tcPr>
          <w:p w14:paraId="722ADC9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conservarea patrimoniului cultural</w:t>
            </w:r>
          </w:p>
        </w:tc>
        <w:tc>
          <w:tcPr>
            <w:tcW w:w="777" w:type="pct"/>
          </w:tcPr>
          <w:p w14:paraId="715D3457" w14:textId="61E1008C"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1FADE352" w14:textId="035EFA7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CF6820D" w14:textId="63D14A3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9DB6E0C" w14:textId="77777777" w:rsidTr="005F5039">
        <w:trPr>
          <w:trHeight w:val="444"/>
          <w:jc w:val="center"/>
        </w:trPr>
        <w:tc>
          <w:tcPr>
            <w:tcW w:w="2730" w:type="pct"/>
            <w:tcMar>
              <w:top w:w="15" w:type="dxa"/>
              <w:left w:w="45" w:type="dxa"/>
              <w:bottom w:w="15" w:type="dxa"/>
              <w:right w:w="45" w:type="dxa"/>
            </w:tcMar>
          </w:tcPr>
          <w:p w14:paraId="2C84264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populației la resurse culturale și participarea în manifestații culturale</w:t>
            </w:r>
          </w:p>
        </w:tc>
        <w:tc>
          <w:tcPr>
            <w:tcW w:w="777" w:type="pct"/>
          </w:tcPr>
          <w:p w14:paraId="64BE05FA" w14:textId="15B05552"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8F835E3" w14:textId="6DBBBB1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5383F27" w14:textId="730A366E"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8B67882" w14:textId="77777777" w:rsidTr="005F5039">
        <w:trPr>
          <w:trHeight w:val="174"/>
          <w:jc w:val="center"/>
        </w:trPr>
        <w:tc>
          <w:tcPr>
            <w:tcW w:w="2730" w:type="pct"/>
            <w:tcMar>
              <w:top w:w="15" w:type="dxa"/>
              <w:left w:w="45" w:type="dxa"/>
              <w:bottom w:w="15" w:type="dxa"/>
              <w:right w:w="45" w:type="dxa"/>
            </w:tcMar>
          </w:tcPr>
          <w:p w14:paraId="621982A5"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accesul și participarea populației în activități sportive</w:t>
            </w:r>
          </w:p>
        </w:tc>
        <w:tc>
          <w:tcPr>
            <w:tcW w:w="777" w:type="pct"/>
          </w:tcPr>
          <w:p w14:paraId="07B5EE4E" w14:textId="28C5EE60"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983CB33" w14:textId="56043D1D"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0174B75" w14:textId="5157ACF8"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1A8A01F3" w14:textId="77777777" w:rsidTr="005F5039">
        <w:trPr>
          <w:trHeight w:val="273"/>
          <w:jc w:val="center"/>
        </w:trPr>
        <w:tc>
          <w:tcPr>
            <w:tcW w:w="2730" w:type="pct"/>
            <w:tcMar>
              <w:top w:w="15" w:type="dxa"/>
              <w:left w:w="45" w:type="dxa"/>
              <w:bottom w:w="15" w:type="dxa"/>
              <w:right w:w="45" w:type="dxa"/>
            </w:tcMar>
          </w:tcPr>
          <w:p w14:paraId="2B39E520"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discriminarea</w:t>
            </w:r>
          </w:p>
        </w:tc>
        <w:tc>
          <w:tcPr>
            <w:tcW w:w="777" w:type="pct"/>
          </w:tcPr>
          <w:p w14:paraId="6717D236" w14:textId="4C56AC92"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17E8443A" w14:textId="7BA9556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48E1A0B" w14:textId="639CCEC3"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0003102" w14:textId="77777777" w:rsidTr="005F5039">
        <w:trPr>
          <w:trHeight w:val="246"/>
          <w:jc w:val="center"/>
        </w:trPr>
        <w:tc>
          <w:tcPr>
            <w:tcW w:w="2730" w:type="pct"/>
            <w:tcMar>
              <w:top w:w="15" w:type="dxa"/>
              <w:left w:w="45" w:type="dxa"/>
              <w:bottom w:w="15" w:type="dxa"/>
              <w:right w:w="45" w:type="dxa"/>
            </w:tcMar>
          </w:tcPr>
          <w:p w14:paraId="3B79749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alte aspecte sociale</w:t>
            </w:r>
          </w:p>
        </w:tc>
        <w:tc>
          <w:tcPr>
            <w:tcW w:w="777" w:type="pct"/>
          </w:tcPr>
          <w:p w14:paraId="3D7B5A64" w14:textId="425F0CD3" w:rsidR="0090326C" w:rsidRPr="00EB1C0D" w:rsidRDefault="00CE587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40478060" w14:textId="2A3D4DE5"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1214B8BF" w14:textId="11B50C8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40C486D" w14:textId="77777777" w:rsidTr="005F5039">
        <w:trPr>
          <w:trHeight w:val="237"/>
          <w:jc w:val="center"/>
        </w:trPr>
        <w:tc>
          <w:tcPr>
            <w:tcW w:w="5000" w:type="pct"/>
            <w:gridSpan w:val="4"/>
            <w:shd w:val="clear" w:color="auto" w:fill="auto"/>
            <w:tcMar>
              <w:top w:w="15" w:type="dxa"/>
              <w:left w:w="45" w:type="dxa"/>
              <w:bottom w:w="15" w:type="dxa"/>
              <w:right w:w="45" w:type="dxa"/>
            </w:tcMar>
          </w:tcPr>
          <w:p w14:paraId="6264E75A" w14:textId="77777777" w:rsidR="0090326C" w:rsidRPr="00EB1C0D" w:rsidRDefault="0090326C" w:rsidP="00DA5F81">
            <w:pPr>
              <w:spacing w:after="60"/>
              <w:rPr>
                <w:rFonts w:ascii="Times New Roman" w:hAnsi="Times New Roman" w:cs="Times New Roman"/>
                <w:b/>
                <w:sz w:val="24"/>
                <w:szCs w:val="24"/>
                <w:lang w:val="ro-RO"/>
              </w:rPr>
            </w:pPr>
            <w:r w:rsidRPr="00EB1C0D">
              <w:rPr>
                <w:rFonts w:ascii="Times New Roman" w:hAnsi="Times New Roman" w:cs="Times New Roman"/>
                <w:b/>
                <w:sz w:val="24"/>
                <w:szCs w:val="24"/>
                <w:lang w:val="ro-RO"/>
              </w:rPr>
              <w:t>De mediu</w:t>
            </w:r>
          </w:p>
        </w:tc>
      </w:tr>
      <w:tr w:rsidR="00B468B6" w:rsidRPr="00EB1C0D" w14:paraId="73F9B21E" w14:textId="77777777" w:rsidTr="005F5039">
        <w:trPr>
          <w:trHeight w:val="444"/>
          <w:jc w:val="center"/>
        </w:trPr>
        <w:tc>
          <w:tcPr>
            <w:tcW w:w="2730" w:type="pct"/>
            <w:tcMar>
              <w:top w:w="15" w:type="dxa"/>
              <w:left w:w="45" w:type="dxa"/>
              <w:bottom w:w="15" w:type="dxa"/>
              <w:right w:w="45" w:type="dxa"/>
            </w:tcMar>
          </w:tcPr>
          <w:p w14:paraId="76436A8A"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clima, inclusiv emisiile gazelor cu efect de seră și celor care afectează stratul de ozon</w:t>
            </w:r>
          </w:p>
        </w:tc>
        <w:tc>
          <w:tcPr>
            <w:tcW w:w="777" w:type="pct"/>
          </w:tcPr>
          <w:p w14:paraId="135B3462" w14:textId="6DFC7B5D"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2CF55E02" w14:textId="0CE21426"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C24345D" w14:textId="69AE9EF6"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85380EC" w14:textId="77777777" w:rsidTr="005F5039">
        <w:trPr>
          <w:trHeight w:val="53"/>
          <w:jc w:val="center"/>
        </w:trPr>
        <w:tc>
          <w:tcPr>
            <w:tcW w:w="2730" w:type="pct"/>
            <w:tcMar>
              <w:top w:w="15" w:type="dxa"/>
              <w:left w:w="45" w:type="dxa"/>
              <w:bottom w:w="15" w:type="dxa"/>
              <w:right w:w="45" w:type="dxa"/>
            </w:tcMar>
          </w:tcPr>
          <w:p w14:paraId="4D331D0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calitatea aerului</w:t>
            </w:r>
          </w:p>
        </w:tc>
        <w:tc>
          <w:tcPr>
            <w:tcW w:w="777" w:type="pct"/>
          </w:tcPr>
          <w:p w14:paraId="3CEDD117" w14:textId="78257CD0"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0A7B2BA3" w14:textId="582BB3F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245BC3F" w14:textId="6B15303C"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229F449" w14:textId="77777777" w:rsidTr="005F5039">
        <w:trPr>
          <w:trHeight w:val="444"/>
          <w:jc w:val="center"/>
        </w:trPr>
        <w:tc>
          <w:tcPr>
            <w:tcW w:w="2730" w:type="pct"/>
            <w:tcMar>
              <w:top w:w="15" w:type="dxa"/>
              <w:left w:w="45" w:type="dxa"/>
              <w:bottom w:w="15" w:type="dxa"/>
              <w:right w:w="45" w:type="dxa"/>
            </w:tcMar>
          </w:tcPr>
          <w:p w14:paraId="7685B4DF" w14:textId="7777777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bCs/>
                <w:sz w:val="24"/>
                <w:szCs w:val="24"/>
                <w:lang w:val="ro-RO"/>
              </w:rPr>
              <w:t>calitatea și cantitatea apei și resurselor acvatice, inclusiv a apei potabile și de alt gen</w:t>
            </w:r>
          </w:p>
        </w:tc>
        <w:tc>
          <w:tcPr>
            <w:tcW w:w="777" w:type="pct"/>
          </w:tcPr>
          <w:p w14:paraId="0278D8BC" w14:textId="0D029DDB" w:rsidR="0090326C" w:rsidRPr="00EB1C0D" w:rsidRDefault="006F71C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711F5260" w14:textId="1FA50E56"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9A821EA" w14:textId="26E86B14"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538575E" w14:textId="77777777" w:rsidTr="005F5039">
        <w:trPr>
          <w:trHeight w:val="129"/>
          <w:jc w:val="center"/>
        </w:trPr>
        <w:tc>
          <w:tcPr>
            <w:tcW w:w="2730" w:type="pct"/>
            <w:tcMar>
              <w:top w:w="15" w:type="dxa"/>
              <w:left w:w="45" w:type="dxa"/>
              <w:bottom w:w="15" w:type="dxa"/>
              <w:right w:w="45" w:type="dxa"/>
            </w:tcMar>
          </w:tcPr>
          <w:p w14:paraId="3E8D6C0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biodiversitatea</w:t>
            </w:r>
          </w:p>
        </w:tc>
        <w:tc>
          <w:tcPr>
            <w:tcW w:w="777" w:type="pct"/>
          </w:tcPr>
          <w:p w14:paraId="5276751A" w14:textId="6F7DB1F5" w:rsidR="0090326C" w:rsidRPr="00EB1C0D" w:rsidRDefault="00F73ED4"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5774C80" w14:textId="1A23C4C6"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6CBE8D1C" w14:textId="3D60ACB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A0CF4CE" w14:textId="77777777" w:rsidTr="005F5039">
        <w:trPr>
          <w:trHeight w:val="228"/>
          <w:jc w:val="center"/>
        </w:trPr>
        <w:tc>
          <w:tcPr>
            <w:tcW w:w="2730" w:type="pct"/>
            <w:tcMar>
              <w:top w:w="15" w:type="dxa"/>
              <w:left w:w="45" w:type="dxa"/>
              <w:bottom w:w="15" w:type="dxa"/>
              <w:right w:w="45" w:type="dxa"/>
            </w:tcMar>
          </w:tcPr>
          <w:p w14:paraId="3D7C9614"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flora</w:t>
            </w:r>
          </w:p>
        </w:tc>
        <w:tc>
          <w:tcPr>
            <w:tcW w:w="777" w:type="pct"/>
          </w:tcPr>
          <w:p w14:paraId="6F964A70" w14:textId="28A10FBC"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3B2AE55" w14:textId="6940970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8D6F8A1" w14:textId="40CEC923"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0A0A3A2" w14:textId="77777777" w:rsidTr="005F5039">
        <w:trPr>
          <w:trHeight w:val="53"/>
          <w:jc w:val="center"/>
        </w:trPr>
        <w:tc>
          <w:tcPr>
            <w:tcW w:w="2730" w:type="pct"/>
            <w:tcMar>
              <w:top w:w="15" w:type="dxa"/>
              <w:left w:w="45" w:type="dxa"/>
              <w:bottom w:w="15" w:type="dxa"/>
              <w:right w:w="45" w:type="dxa"/>
            </w:tcMar>
          </w:tcPr>
          <w:p w14:paraId="3E186524"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fauna</w:t>
            </w:r>
          </w:p>
        </w:tc>
        <w:tc>
          <w:tcPr>
            <w:tcW w:w="777" w:type="pct"/>
          </w:tcPr>
          <w:p w14:paraId="48ECFBE8" w14:textId="45E565F4"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4688C75A" w14:textId="6DEDC83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85499E5" w14:textId="580729B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4D3E8EDF" w14:textId="77777777" w:rsidTr="005F5039">
        <w:trPr>
          <w:trHeight w:val="66"/>
          <w:jc w:val="center"/>
        </w:trPr>
        <w:tc>
          <w:tcPr>
            <w:tcW w:w="2730" w:type="pct"/>
            <w:tcMar>
              <w:top w:w="15" w:type="dxa"/>
              <w:left w:w="45" w:type="dxa"/>
              <w:bottom w:w="15" w:type="dxa"/>
              <w:right w:w="45" w:type="dxa"/>
            </w:tcMar>
          </w:tcPr>
          <w:p w14:paraId="1DB25598"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peisajele naturale</w:t>
            </w:r>
          </w:p>
        </w:tc>
        <w:tc>
          <w:tcPr>
            <w:tcW w:w="777" w:type="pct"/>
          </w:tcPr>
          <w:p w14:paraId="5D8A7698" w14:textId="0C85267F"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3F47EE9" w14:textId="5627EC48"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75B57460" w14:textId="25D74D4F"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BC28BF0" w14:textId="77777777" w:rsidTr="005F5039">
        <w:trPr>
          <w:trHeight w:val="165"/>
          <w:jc w:val="center"/>
        </w:trPr>
        <w:tc>
          <w:tcPr>
            <w:tcW w:w="2730" w:type="pct"/>
            <w:tcMar>
              <w:top w:w="15" w:type="dxa"/>
              <w:left w:w="45" w:type="dxa"/>
              <w:bottom w:w="15" w:type="dxa"/>
              <w:right w:w="45" w:type="dxa"/>
            </w:tcMar>
          </w:tcPr>
          <w:p w14:paraId="73FBCE8F"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starea și resursele solului</w:t>
            </w:r>
          </w:p>
        </w:tc>
        <w:tc>
          <w:tcPr>
            <w:tcW w:w="777" w:type="pct"/>
          </w:tcPr>
          <w:p w14:paraId="1E304414" w14:textId="6B229C58"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3CB07E1F" w14:textId="54A0667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59E33058" w14:textId="4FBD99A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7A7E66E3" w14:textId="77777777" w:rsidTr="005F5039">
        <w:trPr>
          <w:trHeight w:val="53"/>
          <w:jc w:val="center"/>
        </w:trPr>
        <w:tc>
          <w:tcPr>
            <w:tcW w:w="2730" w:type="pct"/>
            <w:tcMar>
              <w:top w:w="15" w:type="dxa"/>
              <w:left w:w="45" w:type="dxa"/>
              <w:bottom w:w="15" w:type="dxa"/>
              <w:right w:w="45" w:type="dxa"/>
            </w:tcMar>
          </w:tcPr>
          <w:p w14:paraId="717F6C92"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producerea și reciclarea deșeurilor</w:t>
            </w:r>
          </w:p>
        </w:tc>
        <w:tc>
          <w:tcPr>
            <w:tcW w:w="777" w:type="pct"/>
          </w:tcPr>
          <w:p w14:paraId="40751CF1" w14:textId="7DADEBCB"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67E425C9" w14:textId="2886C030"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68A80DD" w14:textId="37BC803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5E888E26" w14:textId="77777777" w:rsidTr="005F5039">
        <w:trPr>
          <w:trHeight w:val="102"/>
          <w:jc w:val="center"/>
        </w:trPr>
        <w:tc>
          <w:tcPr>
            <w:tcW w:w="2730" w:type="pct"/>
            <w:tcMar>
              <w:top w:w="15" w:type="dxa"/>
              <w:left w:w="45" w:type="dxa"/>
              <w:bottom w:w="15" w:type="dxa"/>
              <w:right w:w="45" w:type="dxa"/>
            </w:tcMar>
          </w:tcPr>
          <w:p w14:paraId="5E3E130A"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utilizarea eficientă a resurselor regenerabile și neregenerabile</w:t>
            </w:r>
          </w:p>
        </w:tc>
        <w:tc>
          <w:tcPr>
            <w:tcW w:w="777" w:type="pct"/>
          </w:tcPr>
          <w:p w14:paraId="0E6D5B26" w14:textId="4F503FD1" w:rsidR="0090326C" w:rsidRPr="00EB1C0D" w:rsidRDefault="0064711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44E8598" w14:textId="5487C1AF"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367C1F5" w14:textId="558FDB67"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166F88D" w14:textId="77777777" w:rsidTr="005F5039">
        <w:trPr>
          <w:trHeight w:val="53"/>
          <w:jc w:val="center"/>
        </w:trPr>
        <w:tc>
          <w:tcPr>
            <w:tcW w:w="2730" w:type="pct"/>
            <w:tcMar>
              <w:top w:w="15" w:type="dxa"/>
              <w:left w:w="45" w:type="dxa"/>
              <w:bottom w:w="15" w:type="dxa"/>
              <w:right w:w="45" w:type="dxa"/>
            </w:tcMar>
          </w:tcPr>
          <w:p w14:paraId="37C21FD9"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consumul și producția durabilă</w:t>
            </w:r>
          </w:p>
        </w:tc>
        <w:tc>
          <w:tcPr>
            <w:tcW w:w="777" w:type="pct"/>
          </w:tcPr>
          <w:p w14:paraId="2D4C8BB8" w14:textId="3DCB83B2" w:rsidR="0090326C" w:rsidRPr="00EB1C0D" w:rsidRDefault="00CE587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6C98DB0C" w14:textId="771E4504"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3F1846F5" w14:textId="0AE0F050"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3A1E8ED5" w14:textId="77777777" w:rsidTr="005F5039">
        <w:trPr>
          <w:trHeight w:val="111"/>
          <w:jc w:val="center"/>
        </w:trPr>
        <w:tc>
          <w:tcPr>
            <w:tcW w:w="2730" w:type="pct"/>
            <w:tcMar>
              <w:top w:w="15" w:type="dxa"/>
              <w:left w:w="45" w:type="dxa"/>
              <w:bottom w:w="15" w:type="dxa"/>
              <w:right w:w="45" w:type="dxa"/>
            </w:tcMar>
          </w:tcPr>
          <w:p w14:paraId="065A0102"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intensitatea energetică</w:t>
            </w:r>
          </w:p>
        </w:tc>
        <w:tc>
          <w:tcPr>
            <w:tcW w:w="777" w:type="pct"/>
          </w:tcPr>
          <w:p w14:paraId="45E55DA7" w14:textId="438806F3" w:rsidR="0090326C" w:rsidRPr="00EB1C0D" w:rsidRDefault="00CE587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0B46A4CA" w14:textId="71F75AD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w:t>
            </w:r>
          </w:p>
        </w:tc>
        <w:tc>
          <w:tcPr>
            <w:tcW w:w="714" w:type="pct"/>
          </w:tcPr>
          <w:p w14:paraId="302C9A0C" w14:textId="726FE422"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2F2FA4EA" w14:textId="77777777" w:rsidTr="005F5039">
        <w:trPr>
          <w:trHeight w:val="129"/>
          <w:jc w:val="center"/>
        </w:trPr>
        <w:tc>
          <w:tcPr>
            <w:tcW w:w="2730" w:type="pct"/>
            <w:tcMar>
              <w:top w:w="15" w:type="dxa"/>
              <w:left w:w="45" w:type="dxa"/>
              <w:bottom w:w="15" w:type="dxa"/>
              <w:right w:w="45" w:type="dxa"/>
            </w:tcMar>
          </w:tcPr>
          <w:p w14:paraId="415A5E5D"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eficiența și performanța energetică</w:t>
            </w:r>
          </w:p>
        </w:tc>
        <w:tc>
          <w:tcPr>
            <w:tcW w:w="777" w:type="pct"/>
          </w:tcPr>
          <w:p w14:paraId="42E2FF96" w14:textId="172E8F8F" w:rsidR="0090326C" w:rsidRPr="00EB1C0D" w:rsidRDefault="00647111"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973E341" w14:textId="4D00921B"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0DE1EC37" w14:textId="498FD999"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CDDAB0F" w14:textId="77777777" w:rsidTr="005F5039">
        <w:trPr>
          <w:trHeight w:val="192"/>
          <w:jc w:val="center"/>
        </w:trPr>
        <w:tc>
          <w:tcPr>
            <w:tcW w:w="2730" w:type="pct"/>
            <w:tcMar>
              <w:top w:w="15" w:type="dxa"/>
              <w:left w:w="45" w:type="dxa"/>
              <w:bottom w:w="15" w:type="dxa"/>
              <w:right w:w="45" w:type="dxa"/>
            </w:tcMar>
          </w:tcPr>
          <w:p w14:paraId="51D681EB"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bunăstarea animalelor</w:t>
            </w:r>
          </w:p>
        </w:tc>
        <w:tc>
          <w:tcPr>
            <w:tcW w:w="777" w:type="pct"/>
          </w:tcPr>
          <w:p w14:paraId="2D42F734" w14:textId="143BD5F7" w:rsidR="0090326C" w:rsidRPr="00EB1C0D" w:rsidRDefault="006D3DCE"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D124FC4" w14:textId="29F2054E"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28B1627" w14:textId="2E9B962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CD81F1B" w14:textId="77777777" w:rsidTr="005F5039">
        <w:trPr>
          <w:jc w:val="center"/>
        </w:trPr>
        <w:tc>
          <w:tcPr>
            <w:tcW w:w="2730" w:type="pct"/>
            <w:tcMar>
              <w:top w:w="15" w:type="dxa"/>
              <w:left w:w="45" w:type="dxa"/>
              <w:bottom w:w="15" w:type="dxa"/>
              <w:right w:w="45" w:type="dxa"/>
            </w:tcMar>
          </w:tcPr>
          <w:p w14:paraId="0EF856F0"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riscuri majore pentru mediu (incendii, explozii, accidente etc.)</w:t>
            </w:r>
          </w:p>
        </w:tc>
        <w:tc>
          <w:tcPr>
            <w:tcW w:w="777" w:type="pct"/>
          </w:tcPr>
          <w:p w14:paraId="682BEBA9" w14:textId="38F07312" w:rsidR="0090326C" w:rsidRPr="00EB1C0D" w:rsidRDefault="008E54F4"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77FC8E41" w14:textId="44C23F9A"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EEA47FA" w14:textId="21DB37C6"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0DFBB229" w14:textId="77777777" w:rsidTr="005F5039">
        <w:trPr>
          <w:jc w:val="center"/>
        </w:trPr>
        <w:tc>
          <w:tcPr>
            <w:tcW w:w="2730" w:type="pct"/>
            <w:tcMar>
              <w:top w:w="15" w:type="dxa"/>
              <w:left w:w="45" w:type="dxa"/>
              <w:bottom w:w="15" w:type="dxa"/>
              <w:right w:w="45" w:type="dxa"/>
            </w:tcMar>
          </w:tcPr>
          <w:p w14:paraId="3A2E2E1E"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lastRenderedPageBreak/>
              <w:t>utilizarea terenurilor</w:t>
            </w:r>
          </w:p>
        </w:tc>
        <w:tc>
          <w:tcPr>
            <w:tcW w:w="777" w:type="pct"/>
          </w:tcPr>
          <w:p w14:paraId="18AC108A" w14:textId="7B7B4A15" w:rsidR="0090326C" w:rsidRPr="00EB1C0D" w:rsidRDefault="00E76B62"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C03373B" w14:textId="6B0ECE9C"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426A95A5" w14:textId="396558AE"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EB1C0D" w14:paraId="6A1A0C6F" w14:textId="77777777" w:rsidTr="005F5039">
        <w:trPr>
          <w:jc w:val="center"/>
        </w:trPr>
        <w:tc>
          <w:tcPr>
            <w:tcW w:w="2730" w:type="pct"/>
            <w:tcMar>
              <w:top w:w="15" w:type="dxa"/>
              <w:left w:w="45" w:type="dxa"/>
              <w:bottom w:w="15" w:type="dxa"/>
              <w:right w:w="45" w:type="dxa"/>
            </w:tcMar>
          </w:tcPr>
          <w:p w14:paraId="0BEE92DC" w14:textId="77777777"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bCs/>
                <w:sz w:val="24"/>
                <w:szCs w:val="24"/>
                <w:lang w:val="ro-RO"/>
              </w:rPr>
              <w:t>alte aspecte de mediu</w:t>
            </w:r>
          </w:p>
        </w:tc>
        <w:tc>
          <w:tcPr>
            <w:tcW w:w="777" w:type="pct"/>
          </w:tcPr>
          <w:p w14:paraId="5A84ABBB" w14:textId="43D611F2" w:rsidR="0090326C" w:rsidRPr="00EB1C0D" w:rsidRDefault="00144628"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0</w:t>
            </w:r>
          </w:p>
        </w:tc>
        <w:tc>
          <w:tcPr>
            <w:tcW w:w="779" w:type="pct"/>
          </w:tcPr>
          <w:p w14:paraId="2EBD0C69" w14:textId="32192471" w:rsidR="0090326C" w:rsidRPr="00EB1C0D" w:rsidRDefault="0090326C" w:rsidP="00DA5F81">
            <w:pPr>
              <w:spacing w:after="60"/>
              <w:rPr>
                <w:rFonts w:ascii="Times New Roman" w:hAnsi="Times New Roman" w:cs="Times New Roman"/>
                <w:bCs/>
                <w:sz w:val="24"/>
                <w:szCs w:val="24"/>
                <w:lang w:val="ro-RO"/>
              </w:rPr>
            </w:pPr>
            <w:r w:rsidRPr="00EB1C0D">
              <w:rPr>
                <w:rFonts w:ascii="Times New Roman" w:hAnsi="Times New Roman" w:cs="Times New Roman"/>
                <w:sz w:val="24"/>
                <w:szCs w:val="24"/>
                <w:lang w:val="ro-RO"/>
              </w:rPr>
              <w:t>-</w:t>
            </w:r>
          </w:p>
        </w:tc>
        <w:tc>
          <w:tcPr>
            <w:tcW w:w="714" w:type="pct"/>
          </w:tcPr>
          <w:p w14:paraId="2591EC11" w14:textId="0007CBE1" w:rsidR="0090326C" w:rsidRPr="00EB1C0D" w:rsidRDefault="0090326C" w:rsidP="00DA5F81">
            <w:pPr>
              <w:spacing w:after="60"/>
              <w:rPr>
                <w:rFonts w:ascii="Times New Roman" w:hAnsi="Times New Roman" w:cs="Times New Roman"/>
                <w:sz w:val="24"/>
                <w:szCs w:val="24"/>
                <w:lang w:val="ro-RO"/>
              </w:rPr>
            </w:pPr>
            <w:r w:rsidRPr="00EB1C0D">
              <w:rPr>
                <w:rFonts w:ascii="Times New Roman" w:hAnsi="Times New Roman" w:cs="Times New Roman"/>
                <w:sz w:val="24"/>
                <w:szCs w:val="24"/>
                <w:lang w:val="ro-RO"/>
              </w:rPr>
              <w:t>-</w:t>
            </w:r>
          </w:p>
        </w:tc>
      </w:tr>
      <w:tr w:rsidR="00B468B6" w:rsidRPr="00B76CED" w14:paraId="553B1581" w14:textId="77777777" w:rsidTr="005F5039">
        <w:trPr>
          <w:jc w:val="center"/>
        </w:trPr>
        <w:tc>
          <w:tcPr>
            <w:tcW w:w="5000" w:type="pct"/>
            <w:gridSpan w:val="4"/>
            <w:tcMar>
              <w:top w:w="15" w:type="dxa"/>
              <w:left w:w="45" w:type="dxa"/>
              <w:bottom w:w="15" w:type="dxa"/>
              <w:right w:w="45" w:type="dxa"/>
            </w:tcMar>
          </w:tcPr>
          <w:p w14:paraId="045BEA60" w14:textId="44BB8B18" w:rsidR="0090326C" w:rsidRPr="00EB1C0D" w:rsidRDefault="0090326C" w:rsidP="00DA5F81">
            <w:pPr>
              <w:spacing w:after="60"/>
              <w:jc w:val="both"/>
              <w:rPr>
                <w:rFonts w:ascii="Times New Roman" w:hAnsi="Times New Roman" w:cs="Times New Roman"/>
                <w:sz w:val="24"/>
                <w:szCs w:val="24"/>
                <w:lang w:val="ro-RO"/>
              </w:rPr>
            </w:pPr>
            <w:r w:rsidRPr="00EB1C0D">
              <w:rPr>
                <w:rFonts w:ascii="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w:t>
            </w:r>
            <w:r w:rsidR="00144628" w:rsidRPr="00EB1C0D">
              <w:rPr>
                <w:rFonts w:ascii="Times New Roman" w:hAnsi="Times New Roman" w:cs="Times New Roman"/>
                <w:bCs/>
                <w:i/>
                <w:iCs/>
                <w:sz w:val="24"/>
                <w:szCs w:val="24"/>
                <w:lang w:val="ro-RO"/>
              </w:rPr>
              <w:t xml:space="preserve"> </w:t>
            </w:r>
            <w:r w:rsidRPr="00EB1C0D">
              <w:rPr>
                <w:rFonts w:ascii="Times New Roman" w:hAnsi="Times New Roman" w:cs="Times New Roman"/>
                <w:bCs/>
                <w:i/>
                <w:iCs/>
                <w:sz w:val="24"/>
                <w:szCs w:val="24"/>
                <w:lang w:val="ro-RO"/>
              </w:rPr>
              <w:t>în comparație cu situația din alte opțiuni și alte categorii de impact. Impacturile identificate prin acest tabel se descriu pe larg, cu argumentarea punctajului acordat, inclusiv prin date cuantificate, în compartimentul 4 din Formular, lit. b</w:t>
            </w:r>
            <w:r w:rsidRPr="00EB1C0D">
              <w:rPr>
                <w:rFonts w:ascii="Times New Roman" w:hAnsi="Times New Roman" w:cs="Times New Roman"/>
                <w:bCs/>
                <w:i/>
                <w:iCs/>
                <w:sz w:val="24"/>
                <w:szCs w:val="24"/>
                <w:vertAlign w:val="superscript"/>
                <w:lang w:val="ro-RO"/>
              </w:rPr>
              <w:t>1</w:t>
            </w:r>
            <w:r w:rsidRPr="00EB1C0D">
              <w:rPr>
                <w:rFonts w:ascii="Times New Roman" w:hAnsi="Times New Roman" w:cs="Times New Roman"/>
                <w:bCs/>
                <w:i/>
                <w:iCs/>
                <w:sz w:val="24"/>
                <w:szCs w:val="24"/>
                <w:lang w:val="ro-RO"/>
              </w:rPr>
              <w:t>) și, după caz,</w:t>
            </w:r>
            <w:r w:rsidR="00144628" w:rsidRPr="00EB1C0D">
              <w:rPr>
                <w:rFonts w:ascii="Times New Roman" w:hAnsi="Times New Roman" w:cs="Times New Roman"/>
                <w:bCs/>
                <w:i/>
                <w:iCs/>
                <w:sz w:val="24"/>
                <w:szCs w:val="24"/>
                <w:lang w:val="ro-RO"/>
              </w:rPr>
              <w:t xml:space="preserve"> </w:t>
            </w:r>
            <w:r w:rsidRPr="00EB1C0D">
              <w:rPr>
                <w:rFonts w:ascii="Times New Roman" w:hAnsi="Times New Roman" w:cs="Times New Roman"/>
                <w:bCs/>
                <w:i/>
                <w:iCs/>
                <w:sz w:val="24"/>
                <w:szCs w:val="24"/>
                <w:lang w:val="ro-RO"/>
              </w:rPr>
              <w:t>b</w:t>
            </w:r>
            <w:r w:rsidRPr="00EB1C0D">
              <w:rPr>
                <w:rFonts w:ascii="Times New Roman" w:hAnsi="Times New Roman" w:cs="Times New Roman"/>
                <w:bCs/>
                <w:i/>
                <w:iCs/>
                <w:sz w:val="24"/>
                <w:szCs w:val="24"/>
                <w:vertAlign w:val="superscript"/>
                <w:lang w:val="ro-RO"/>
              </w:rPr>
              <w:t>2</w:t>
            </w:r>
            <w:r w:rsidRPr="00EB1C0D">
              <w:rPr>
                <w:rFonts w:ascii="Times New Roman" w:hAnsi="Times New Roman" w:cs="Times New Roman"/>
                <w:bCs/>
                <w:i/>
                <w:iCs/>
                <w:sz w:val="24"/>
                <w:szCs w:val="24"/>
                <w:lang w:val="ro-RO"/>
              </w:rPr>
              <w:t>), privind analiza impacturilor opțiunilor.</w:t>
            </w:r>
          </w:p>
        </w:tc>
      </w:tr>
    </w:tbl>
    <w:p w14:paraId="5F024BD4" w14:textId="31E3363B" w:rsidR="0083279A" w:rsidRPr="00421356" w:rsidRDefault="0083279A" w:rsidP="00DA5F81">
      <w:pPr>
        <w:tabs>
          <w:tab w:val="left" w:pos="-284"/>
          <w:tab w:val="left" w:pos="709"/>
          <w:tab w:val="left" w:pos="1418"/>
        </w:tabs>
        <w:spacing w:after="60"/>
        <w:jc w:val="both"/>
        <w:rPr>
          <w:rFonts w:ascii="Times New Roman" w:eastAsia="Calibri" w:hAnsi="Times New Roman" w:cs="Times New Roman"/>
          <w:sz w:val="26"/>
          <w:szCs w:val="26"/>
          <w:lang w:val="en-US"/>
        </w:rPr>
      </w:pPr>
    </w:p>
    <w:sectPr w:rsidR="0083279A" w:rsidRPr="00421356" w:rsidSect="00342F1B">
      <w:footerReference w:type="default" r:id="rId11"/>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80F6" w14:textId="77777777" w:rsidR="00E8148D" w:rsidRDefault="00E8148D" w:rsidP="0035780C">
      <w:pPr>
        <w:spacing w:after="0" w:line="240" w:lineRule="auto"/>
      </w:pPr>
      <w:r>
        <w:separator/>
      </w:r>
    </w:p>
  </w:endnote>
  <w:endnote w:type="continuationSeparator" w:id="0">
    <w:p w14:paraId="48287EE4" w14:textId="77777777" w:rsidR="00E8148D" w:rsidRDefault="00E8148D"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14:paraId="624A27F0" w14:textId="4D600665" w:rsidR="00B76CED" w:rsidRDefault="00B76CED" w:rsidP="0041348D">
        <w:pPr>
          <w:pStyle w:val="Footer"/>
          <w:tabs>
            <w:tab w:val="left" w:pos="8352"/>
            <w:tab w:val="right" w:pos="9637"/>
          </w:tabs>
        </w:pPr>
        <w:r>
          <w:tab/>
        </w:r>
        <w:r>
          <w:tab/>
        </w:r>
        <w:r>
          <w:tab/>
        </w:r>
        <w:r>
          <w:tab/>
        </w:r>
        <w:r>
          <w:fldChar w:fldCharType="begin"/>
        </w:r>
        <w:r>
          <w:instrText xml:space="preserve"> PAGE   \* MERGEFORMAT </w:instrText>
        </w:r>
        <w:r>
          <w:fldChar w:fldCharType="separate"/>
        </w:r>
        <w:r w:rsidR="00FF1FB5">
          <w:rPr>
            <w:noProof/>
          </w:rPr>
          <w:t>2</w:t>
        </w:r>
        <w:r>
          <w:rPr>
            <w:noProof/>
          </w:rPr>
          <w:fldChar w:fldCharType="end"/>
        </w:r>
      </w:p>
    </w:sdtContent>
  </w:sdt>
  <w:p w14:paraId="51EAFB5A" w14:textId="77777777" w:rsidR="00B76CED" w:rsidRDefault="00B76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58FCF" w14:textId="77777777" w:rsidR="00E8148D" w:rsidRDefault="00E8148D" w:rsidP="0035780C">
      <w:pPr>
        <w:spacing w:after="0" w:line="240" w:lineRule="auto"/>
      </w:pPr>
      <w:r>
        <w:separator/>
      </w:r>
    </w:p>
  </w:footnote>
  <w:footnote w:type="continuationSeparator" w:id="0">
    <w:p w14:paraId="11D6DB74" w14:textId="77777777" w:rsidR="00E8148D" w:rsidRDefault="00E8148D" w:rsidP="0035780C">
      <w:pPr>
        <w:spacing w:after="0" w:line="240" w:lineRule="auto"/>
      </w:pPr>
      <w:r>
        <w:continuationSeparator/>
      </w:r>
    </w:p>
  </w:footnote>
  <w:footnote w:id="1">
    <w:p w14:paraId="6B07FC57" w14:textId="77777777" w:rsidR="00B76CED" w:rsidRPr="00BF2FD8" w:rsidRDefault="00B76CED" w:rsidP="00283E66">
      <w:pPr>
        <w:pStyle w:val="FootnoteText"/>
        <w:rPr>
          <w:lang w:val="it-IT"/>
        </w:rPr>
      </w:pPr>
      <w:r w:rsidRPr="00C93363">
        <w:rPr>
          <w:rStyle w:val="FootnoteReference"/>
        </w:rPr>
        <w:footnoteRef/>
      </w:r>
      <w:r w:rsidRPr="00BF2FD8">
        <w:rPr>
          <w:sz w:val="16"/>
          <w:lang w:val="it-IT"/>
        </w:rPr>
        <w:t xml:space="preserve"> Acordul de Asociere între Republica Moldova, pe de o parte, şi Uniunea Europeană şi Comunitatea Europeană a Energiei Atomice şi statele membre ale acestora, pe de altă parte, ratificat prin</w:t>
      </w:r>
      <w:r w:rsidRPr="00BF2FD8">
        <w:rPr>
          <w:sz w:val="18"/>
          <w:lang w:val="it-IT"/>
        </w:rPr>
        <w:t xml:space="preserve"> </w:t>
      </w:r>
      <w:r w:rsidRPr="00BF2FD8">
        <w:rPr>
          <w:sz w:val="16"/>
          <w:lang w:val="it-IT"/>
        </w:rPr>
        <w:t xml:space="preserve">Legea Nr. 112 din  02.07.2014 </w:t>
      </w:r>
    </w:p>
  </w:footnote>
  <w:footnote w:id="2">
    <w:p w14:paraId="2C688806" w14:textId="77777777" w:rsidR="00B76CED" w:rsidRPr="00BF2FD8" w:rsidRDefault="00B76CED" w:rsidP="00283E66">
      <w:pPr>
        <w:pStyle w:val="FootnoteText"/>
        <w:rPr>
          <w:lang w:val="it-IT"/>
        </w:rPr>
      </w:pPr>
      <w:r>
        <w:rPr>
          <w:rStyle w:val="FootnoteReference"/>
        </w:rPr>
        <w:footnoteRef/>
      </w:r>
      <w:r w:rsidRPr="00BF2FD8">
        <w:rPr>
          <w:lang w:val="it-IT"/>
        </w:rPr>
        <w:t xml:space="preserve"> A</w:t>
      </w:r>
      <w:r w:rsidRPr="00BF2FD8">
        <w:rPr>
          <w:sz w:val="16"/>
          <w:lang w:val="it-IT"/>
        </w:rPr>
        <w:t>doptat prin Legea Nr. 117 din  23.12.2009 pentru aderarea Republicii Moldova la Tratatul de constituire a Comunității Energetice</w:t>
      </w:r>
    </w:p>
  </w:footnote>
  <w:footnote w:id="3">
    <w:p w14:paraId="4DA74A1E" w14:textId="6FC601B3" w:rsidR="00B76CED" w:rsidRPr="009A4268" w:rsidRDefault="00B76CED">
      <w:pPr>
        <w:pStyle w:val="FootnoteText"/>
        <w:rPr>
          <w:lang w:val="it-IT"/>
        </w:rPr>
      </w:pPr>
      <w:r>
        <w:rPr>
          <w:rStyle w:val="FootnoteReference"/>
        </w:rPr>
        <w:footnoteRef/>
      </w:r>
      <w:r w:rsidRPr="009A4268">
        <w:rPr>
          <w:lang w:val="it-IT"/>
        </w:rPr>
        <w:t xml:space="preserve"> https://statbank.statistica.md/pxweb/pxweb/ro/40%20Statistica%20economica/?rxid=b2ff27d7-0b96-43c9-934b-42e1a2a9a774</w:t>
      </w:r>
    </w:p>
  </w:footnote>
  <w:footnote w:id="4">
    <w:p w14:paraId="6E2DEA8F" w14:textId="77777777" w:rsidR="00B76CED" w:rsidRPr="003B39E2" w:rsidRDefault="00B76CED" w:rsidP="00680DB2">
      <w:pPr>
        <w:pStyle w:val="FootnoteText"/>
        <w:rPr>
          <w:lang w:val="ro-RO"/>
        </w:rPr>
      </w:pPr>
      <w:r>
        <w:rPr>
          <w:rStyle w:val="FootnoteReference"/>
        </w:rPr>
        <w:footnoteRef/>
      </w:r>
      <w:r w:rsidRPr="00680DB2">
        <w:rPr>
          <w:lang w:val="en-US"/>
        </w:rPr>
        <w:t xml:space="preserve"> </w:t>
      </w:r>
      <w:proofErr w:type="spellStart"/>
      <w:r w:rsidRPr="00680DB2">
        <w:rPr>
          <w:lang w:val="en-US"/>
        </w:rPr>
        <w:t>Balanța</w:t>
      </w:r>
      <w:proofErr w:type="spellEnd"/>
      <w:r w:rsidRPr="00680DB2">
        <w:rPr>
          <w:lang w:val="en-US"/>
        </w:rPr>
        <w:t xml:space="preserve"> </w:t>
      </w:r>
      <w:proofErr w:type="spellStart"/>
      <w:r w:rsidRPr="00680DB2">
        <w:rPr>
          <w:lang w:val="en-US"/>
        </w:rPr>
        <w:t>energetică</w:t>
      </w:r>
      <w:proofErr w:type="spellEnd"/>
      <w:r w:rsidRPr="00680DB2">
        <w:rPr>
          <w:lang w:val="en-US"/>
        </w:rPr>
        <w:t xml:space="preserve"> </w:t>
      </w:r>
      <w:proofErr w:type="spellStart"/>
      <w:r w:rsidRPr="00680DB2">
        <w:rPr>
          <w:lang w:val="en-US"/>
        </w:rPr>
        <w:t>ediția</w:t>
      </w:r>
      <w:proofErr w:type="spellEnd"/>
      <w:r w:rsidRPr="00680DB2">
        <w:rPr>
          <w:lang w:val="en-US"/>
        </w:rPr>
        <w:t xml:space="preserve"> </w:t>
      </w:r>
      <w:proofErr w:type="spellStart"/>
      <w:r w:rsidRPr="00680DB2">
        <w:rPr>
          <w:lang w:val="en-US"/>
        </w:rPr>
        <w:t>anului</w:t>
      </w:r>
      <w:proofErr w:type="spellEnd"/>
      <w:r w:rsidRPr="00680DB2">
        <w:rPr>
          <w:lang w:val="en-US"/>
        </w:rPr>
        <w:t xml:space="preserve"> 2020</w:t>
      </w:r>
    </w:p>
  </w:footnote>
  <w:footnote w:id="5">
    <w:p w14:paraId="541E3659" w14:textId="46D2237A" w:rsidR="00B76CED" w:rsidRPr="0065307E" w:rsidRDefault="00B76CED">
      <w:pPr>
        <w:pStyle w:val="FootnoteText"/>
        <w:rPr>
          <w:lang w:val="ro-RO"/>
        </w:rPr>
      </w:pPr>
      <w:r>
        <w:rPr>
          <w:rStyle w:val="FootnoteReference"/>
        </w:rPr>
        <w:footnoteRef/>
      </w:r>
      <w:r w:rsidRPr="00E969C4">
        <w:rPr>
          <w:lang w:val="it-IT"/>
        </w:rPr>
        <w:t xml:space="preserve"> http://www.meteo.md/images/uploads/poluare/pdf/chis.pdf</w:t>
      </w:r>
    </w:p>
  </w:footnote>
  <w:footnote w:id="6">
    <w:p w14:paraId="79576F8D" w14:textId="77777777" w:rsidR="00B76CED" w:rsidRPr="00BF2FD8" w:rsidRDefault="00B76CED" w:rsidP="002C61AA">
      <w:pPr>
        <w:pStyle w:val="FootnoteText"/>
        <w:rPr>
          <w:lang w:val="it-IT"/>
        </w:rPr>
      </w:pPr>
      <w:r>
        <w:rPr>
          <w:rStyle w:val="FootnoteReference"/>
        </w:rPr>
        <w:footnoteRef/>
      </w:r>
      <w:r w:rsidRPr="00BF2FD8">
        <w:rPr>
          <w:lang w:val="it-IT"/>
        </w:rPr>
        <w:t xml:space="preserve"> </w:t>
      </w:r>
      <w:r w:rsidRPr="00BF2FD8">
        <w:rPr>
          <w:lang w:val="it-IT"/>
        </w:rPr>
        <w:t>A</w:t>
      </w:r>
      <w:r w:rsidRPr="00BF2FD8">
        <w:rPr>
          <w:sz w:val="16"/>
          <w:lang w:val="it-IT"/>
        </w:rPr>
        <w:t>doptat prin Legea Nr. 117 din  23.12.2009 pentru aderarea Republicii Moldova la Tratatul de constituire a Comunității Energetice</w:t>
      </w:r>
    </w:p>
  </w:footnote>
  <w:footnote w:id="7">
    <w:p w14:paraId="74F79AC1" w14:textId="19F7ACEF" w:rsidR="00B76CED" w:rsidRPr="00A47B14" w:rsidRDefault="00B76CED">
      <w:pPr>
        <w:pStyle w:val="FootnoteText"/>
        <w:rPr>
          <w:lang w:val="ro-RO"/>
        </w:rPr>
      </w:pPr>
      <w:r>
        <w:rPr>
          <w:rStyle w:val="FootnoteReference"/>
        </w:rPr>
        <w:footnoteRef/>
      </w:r>
      <w:r w:rsidRPr="00A47B14">
        <w:rPr>
          <w:lang w:val="it-IT"/>
        </w:rPr>
        <w:t xml:space="preserve"> </w:t>
      </w:r>
      <w:r w:rsidRPr="00A47B14">
        <w:rPr>
          <w:lang w:val="it-IT"/>
        </w:rPr>
        <w:t>https://ec.europa.eu/smart-regulation/impact/ia_carried_out/docs/ia_2013/swd_2013_0296_en.pdf</w:t>
      </w:r>
    </w:p>
  </w:footnote>
  <w:footnote w:id="8">
    <w:p w14:paraId="57BED236" w14:textId="2CDE24BB" w:rsidR="00B76CED" w:rsidRPr="00A47B14" w:rsidRDefault="00B76CED" w:rsidP="00D34CF7">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2D004CD"/>
    <w:multiLevelType w:val="hybridMultilevel"/>
    <w:tmpl w:val="E8B29E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173B40"/>
    <w:multiLevelType w:val="multilevel"/>
    <w:tmpl w:val="D9F07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592C67"/>
    <w:multiLevelType w:val="hybridMultilevel"/>
    <w:tmpl w:val="0F80DF50"/>
    <w:lvl w:ilvl="0" w:tplc="C164AD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76C353C"/>
    <w:multiLevelType w:val="hybridMultilevel"/>
    <w:tmpl w:val="D5108308"/>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99E077D"/>
    <w:multiLevelType w:val="hybridMultilevel"/>
    <w:tmpl w:val="EFC623A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5A73F38"/>
    <w:multiLevelType w:val="hybridMultilevel"/>
    <w:tmpl w:val="DBE46D44"/>
    <w:lvl w:ilvl="0" w:tplc="EDFC86E0">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49157AA"/>
    <w:multiLevelType w:val="hybridMultilevel"/>
    <w:tmpl w:val="A2ECE6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6DE2823"/>
    <w:multiLevelType w:val="hybridMultilevel"/>
    <w:tmpl w:val="A766936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3C0A7D27"/>
    <w:multiLevelType w:val="hybridMultilevel"/>
    <w:tmpl w:val="334A16FA"/>
    <w:lvl w:ilvl="0" w:tplc="73982044">
      <w:start w:val="15"/>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F9A25C1"/>
    <w:multiLevelType w:val="hybridMultilevel"/>
    <w:tmpl w:val="4D96FA9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44147636"/>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C3FF1"/>
    <w:multiLevelType w:val="hybridMultilevel"/>
    <w:tmpl w:val="946C8DB2"/>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864A8C"/>
    <w:multiLevelType w:val="hybridMultilevel"/>
    <w:tmpl w:val="3A1EF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4E0978CF"/>
    <w:multiLevelType w:val="hybridMultilevel"/>
    <w:tmpl w:val="BB0C5FFE"/>
    <w:lvl w:ilvl="0" w:tplc="D792905C">
      <w:start w:val="1"/>
      <w:numFmt w:val="lowerLetter"/>
      <w:lvlText w:val="%1)"/>
      <w:lvlJc w:val="left"/>
      <w:pPr>
        <w:ind w:left="-1341" w:hanging="360"/>
      </w:pPr>
      <w:rPr>
        <w:rFonts w:hint="default"/>
      </w:rPr>
    </w:lvl>
    <w:lvl w:ilvl="1" w:tplc="04180019" w:tentative="1">
      <w:start w:val="1"/>
      <w:numFmt w:val="lowerLetter"/>
      <w:lvlText w:val="%2."/>
      <w:lvlJc w:val="left"/>
      <w:pPr>
        <w:ind w:left="-621" w:hanging="360"/>
      </w:pPr>
    </w:lvl>
    <w:lvl w:ilvl="2" w:tplc="0418001B" w:tentative="1">
      <w:start w:val="1"/>
      <w:numFmt w:val="lowerRoman"/>
      <w:lvlText w:val="%3."/>
      <w:lvlJc w:val="right"/>
      <w:pPr>
        <w:ind w:left="99" w:hanging="180"/>
      </w:pPr>
    </w:lvl>
    <w:lvl w:ilvl="3" w:tplc="0418000F" w:tentative="1">
      <w:start w:val="1"/>
      <w:numFmt w:val="decimal"/>
      <w:lvlText w:val="%4."/>
      <w:lvlJc w:val="left"/>
      <w:pPr>
        <w:ind w:left="819" w:hanging="360"/>
      </w:pPr>
    </w:lvl>
    <w:lvl w:ilvl="4" w:tplc="04180019" w:tentative="1">
      <w:start w:val="1"/>
      <w:numFmt w:val="lowerLetter"/>
      <w:lvlText w:val="%5."/>
      <w:lvlJc w:val="left"/>
      <w:pPr>
        <w:ind w:left="1539" w:hanging="360"/>
      </w:pPr>
    </w:lvl>
    <w:lvl w:ilvl="5" w:tplc="0418001B" w:tentative="1">
      <w:start w:val="1"/>
      <w:numFmt w:val="lowerRoman"/>
      <w:lvlText w:val="%6."/>
      <w:lvlJc w:val="right"/>
      <w:pPr>
        <w:ind w:left="2259" w:hanging="180"/>
      </w:pPr>
    </w:lvl>
    <w:lvl w:ilvl="6" w:tplc="0418000F" w:tentative="1">
      <w:start w:val="1"/>
      <w:numFmt w:val="decimal"/>
      <w:lvlText w:val="%7."/>
      <w:lvlJc w:val="left"/>
      <w:pPr>
        <w:ind w:left="2979" w:hanging="360"/>
      </w:pPr>
    </w:lvl>
    <w:lvl w:ilvl="7" w:tplc="04180019" w:tentative="1">
      <w:start w:val="1"/>
      <w:numFmt w:val="lowerLetter"/>
      <w:lvlText w:val="%8."/>
      <w:lvlJc w:val="left"/>
      <w:pPr>
        <w:ind w:left="3699" w:hanging="360"/>
      </w:pPr>
    </w:lvl>
    <w:lvl w:ilvl="8" w:tplc="0418001B" w:tentative="1">
      <w:start w:val="1"/>
      <w:numFmt w:val="lowerRoman"/>
      <w:lvlText w:val="%9."/>
      <w:lvlJc w:val="right"/>
      <w:pPr>
        <w:ind w:left="4419" w:hanging="180"/>
      </w:pPr>
    </w:lvl>
  </w:abstractNum>
  <w:abstractNum w:abstractNumId="16" w15:restartNumberingAfterBreak="0">
    <w:nsid w:val="53261EA5"/>
    <w:multiLevelType w:val="hybridMultilevel"/>
    <w:tmpl w:val="31446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26F7C"/>
    <w:multiLevelType w:val="hybridMultilevel"/>
    <w:tmpl w:val="8D94E794"/>
    <w:lvl w:ilvl="0" w:tplc="822EA662">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C7B3E"/>
    <w:multiLevelType w:val="hybridMultilevel"/>
    <w:tmpl w:val="80E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72305AE"/>
    <w:multiLevelType w:val="hybridMultilevel"/>
    <w:tmpl w:val="4490BD7A"/>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683A58A1"/>
    <w:multiLevelType w:val="hybridMultilevel"/>
    <w:tmpl w:val="FF5275A6"/>
    <w:lvl w:ilvl="0" w:tplc="BAEC7D08">
      <w:start w:val="1"/>
      <w:numFmt w:val="bullet"/>
      <w:lvlText w:val="-"/>
      <w:lvlJc w:val="left"/>
      <w:pPr>
        <w:ind w:left="1145" w:hanging="360"/>
      </w:pPr>
      <w:rPr>
        <w:rFonts w:ascii="Cambria" w:hAnsi="Cambria"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6912236E"/>
    <w:multiLevelType w:val="hybridMultilevel"/>
    <w:tmpl w:val="8DB246FE"/>
    <w:lvl w:ilvl="0" w:tplc="373C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8686E"/>
    <w:multiLevelType w:val="hybridMultilevel"/>
    <w:tmpl w:val="8BFCC73E"/>
    <w:lvl w:ilvl="0" w:tplc="13FCE81A">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5D3A17"/>
    <w:multiLevelType w:val="hybridMultilevel"/>
    <w:tmpl w:val="940E582C"/>
    <w:lvl w:ilvl="0" w:tplc="8E6EA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6280C"/>
    <w:multiLevelType w:val="hybridMultilevel"/>
    <w:tmpl w:val="0DE2F570"/>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FF2C65"/>
    <w:multiLevelType w:val="multilevel"/>
    <w:tmpl w:val="A7A4DE3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627688"/>
    <w:multiLevelType w:val="hybridMultilevel"/>
    <w:tmpl w:val="6F1ADA2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303E1D"/>
    <w:multiLevelType w:val="hybridMultilevel"/>
    <w:tmpl w:val="3B6E734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7F930F9F"/>
    <w:multiLevelType w:val="hybridMultilevel"/>
    <w:tmpl w:val="E7B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7"/>
  </w:num>
  <w:num w:numId="4">
    <w:abstractNumId w:val="23"/>
  </w:num>
  <w:num w:numId="5">
    <w:abstractNumId w:val="11"/>
  </w:num>
  <w:num w:numId="6">
    <w:abstractNumId w:val="9"/>
  </w:num>
  <w:num w:numId="7">
    <w:abstractNumId w:val="21"/>
  </w:num>
  <w:num w:numId="8">
    <w:abstractNumId w:val="28"/>
  </w:num>
  <w:num w:numId="9">
    <w:abstractNumId w:val="20"/>
  </w:num>
  <w:num w:numId="10">
    <w:abstractNumId w:val="4"/>
  </w:num>
  <w:num w:numId="11">
    <w:abstractNumId w:val="3"/>
  </w:num>
  <w:num w:numId="12">
    <w:abstractNumId w:val="14"/>
  </w:num>
  <w:num w:numId="13">
    <w:abstractNumId w:val="5"/>
  </w:num>
  <w:num w:numId="14">
    <w:abstractNumId w:val="1"/>
  </w:num>
  <w:num w:numId="15">
    <w:abstractNumId w:val="8"/>
  </w:num>
  <w:num w:numId="16">
    <w:abstractNumId w:val="25"/>
  </w:num>
  <w:num w:numId="17">
    <w:abstractNumId w:val="13"/>
  </w:num>
  <w:num w:numId="18">
    <w:abstractNumId w:val="15"/>
  </w:num>
  <w:num w:numId="19">
    <w:abstractNumId w:val="27"/>
  </w:num>
  <w:num w:numId="20">
    <w:abstractNumId w:val="6"/>
  </w:num>
  <w:num w:numId="21">
    <w:abstractNumId w:val="24"/>
  </w:num>
  <w:num w:numId="22">
    <w:abstractNumId w:val="10"/>
  </w:num>
  <w:num w:numId="23">
    <w:abstractNumId w:val="2"/>
  </w:num>
  <w:num w:numId="24">
    <w:abstractNumId w:val="22"/>
  </w:num>
  <w:num w:numId="25">
    <w:abstractNumId w:val="29"/>
  </w:num>
  <w:num w:numId="26">
    <w:abstractNumId w:val="18"/>
  </w:num>
  <w:num w:numId="27">
    <w:abstractNumId w:val="17"/>
  </w:num>
  <w:num w:numId="28">
    <w:abstractNumId w:val="26"/>
  </w:num>
  <w:num w:numId="29">
    <w:abstractNumId w:val="12"/>
  </w:num>
  <w:num w:numId="3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fr-FR"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46"/>
    <w:rsid w:val="00000874"/>
    <w:rsid w:val="0000122D"/>
    <w:rsid w:val="00002A61"/>
    <w:rsid w:val="00002D28"/>
    <w:rsid w:val="00003536"/>
    <w:rsid w:val="00003A6E"/>
    <w:rsid w:val="0000569E"/>
    <w:rsid w:val="00005965"/>
    <w:rsid w:val="00006519"/>
    <w:rsid w:val="00007E41"/>
    <w:rsid w:val="00007EA0"/>
    <w:rsid w:val="00007FB9"/>
    <w:rsid w:val="000111E4"/>
    <w:rsid w:val="00011914"/>
    <w:rsid w:val="00011B3F"/>
    <w:rsid w:val="00011ED7"/>
    <w:rsid w:val="00012D99"/>
    <w:rsid w:val="0001416A"/>
    <w:rsid w:val="00015ED7"/>
    <w:rsid w:val="000167CD"/>
    <w:rsid w:val="000177DC"/>
    <w:rsid w:val="00021BE4"/>
    <w:rsid w:val="000229CB"/>
    <w:rsid w:val="00024D27"/>
    <w:rsid w:val="0002509A"/>
    <w:rsid w:val="0002525D"/>
    <w:rsid w:val="00025BC2"/>
    <w:rsid w:val="00025F4A"/>
    <w:rsid w:val="000261AF"/>
    <w:rsid w:val="00026AAB"/>
    <w:rsid w:val="00026D6E"/>
    <w:rsid w:val="0002702C"/>
    <w:rsid w:val="0002777B"/>
    <w:rsid w:val="000305DF"/>
    <w:rsid w:val="00030CC7"/>
    <w:rsid w:val="00030D64"/>
    <w:rsid w:val="00032A55"/>
    <w:rsid w:val="00033D4B"/>
    <w:rsid w:val="0003497E"/>
    <w:rsid w:val="00034D1A"/>
    <w:rsid w:val="000355A0"/>
    <w:rsid w:val="00036256"/>
    <w:rsid w:val="00036CE0"/>
    <w:rsid w:val="00037B10"/>
    <w:rsid w:val="00040146"/>
    <w:rsid w:val="00041314"/>
    <w:rsid w:val="0004225E"/>
    <w:rsid w:val="000422D9"/>
    <w:rsid w:val="00043869"/>
    <w:rsid w:val="00043DBC"/>
    <w:rsid w:val="000445A0"/>
    <w:rsid w:val="000447D1"/>
    <w:rsid w:val="00044B16"/>
    <w:rsid w:val="000458D9"/>
    <w:rsid w:val="00045F19"/>
    <w:rsid w:val="0004693D"/>
    <w:rsid w:val="000469D6"/>
    <w:rsid w:val="000472B0"/>
    <w:rsid w:val="0004742E"/>
    <w:rsid w:val="00047845"/>
    <w:rsid w:val="00047C3F"/>
    <w:rsid w:val="0005025C"/>
    <w:rsid w:val="00050F75"/>
    <w:rsid w:val="000512EE"/>
    <w:rsid w:val="0005173D"/>
    <w:rsid w:val="000518D0"/>
    <w:rsid w:val="00052DBE"/>
    <w:rsid w:val="00052FEA"/>
    <w:rsid w:val="000535D0"/>
    <w:rsid w:val="000536E6"/>
    <w:rsid w:val="000545A7"/>
    <w:rsid w:val="00054B87"/>
    <w:rsid w:val="000555BD"/>
    <w:rsid w:val="00056DBE"/>
    <w:rsid w:val="00056DF9"/>
    <w:rsid w:val="0005761F"/>
    <w:rsid w:val="00060AD2"/>
    <w:rsid w:val="00061F5C"/>
    <w:rsid w:val="00062571"/>
    <w:rsid w:val="00063582"/>
    <w:rsid w:val="00064291"/>
    <w:rsid w:val="00065617"/>
    <w:rsid w:val="000657FA"/>
    <w:rsid w:val="00065CD3"/>
    <w:rsid w:val="00065FE7"/>
    <w:rsid w:val="000663F3"/>
    <w:rsid w:val="0006685B"/>
    <w:rsid w:val="00066936"/>
    <w:rsid w:val="00067106"/>
    <w:rsid w:val="00071C27"/>
    <w:rsid w:val="00071E39"/>
    <w:rsid w:val="00071FD9"/>
    <w:rsid w:val="0007273A"/>
    <w:rsid w:val="00072D1B"/>
    <w:rsid w:val="0007334C"/>
    <w:rsid w:val="000739D1"/>
    <w:rsid w:val="00075981"/>
    <w:rsid w:val="000808BB"/>
    <w:rsid w:val="00080F15"/>
    <w:rsid w:val="000812F2"/>
    <w:rsid w:val="0008242F"/>
    <w:rsid w:val="00083A6D"/>
    <w:rsid w:val="00083B3C"/>
    <w:rsid w:val="00083EFF"/>
    <w:rsid w:val="000844D9"/>
    <w:rsid w:val="000846B2"/>
    <w:rsid w:val="00084B83"/>
    <w:rsid w:val="00084BB8"/>
    <w:rsid w:val="00084E14"/>
    <w:rsid w:val="00085E8C"/>
    <w:rsid w:val="00086238"/>
    <w:rsid w:val="000862B2"/>
    <w:rsid w:val="000877A0"/>
    <w:rsid w:val="0009025C"/>
    <w:rsid w:val="00090766"/>
    <w:rsid w:val="000937FF"/>
    <w:rsid w:val="00093B53"/>
    <w:rsid w:val="00093BD5"/>
    <w:rsid w:val="00093E4B"/>
    <w:rsid w:val="0009419A"/>
    <w:rsid w:val="00094D68"/>
    <w:rsid w:val="00095543"/>
    <w:rsid w:val="0009579F"/>
    <w:rsid w:val="000975D3"/>
    <w:rsid w:val="00097C30"/>
    <w:rsid w:val="000A09BA"/>
    <w:rsid w:val="000A0CF0"/>
    <w:rsid w:val="000A11C0"/>
    <w:rsid w:val="000A15D8"/>
    <w:rsid w:val="000A1680"/>
    <w:rsid w:val="000A2406"/>
    <w:rsid w:val="000A2485"/>
    <w:rsid w:val="000A32F6"/>
    <w:rsid w:val="000A3EE4"/>
    <w:rsid w:val="000A4D7A"/>
    <w:rsid w:val="000A4DD4"/>
    <w:rsid w:val="000A50CF"/>
    <w:rsid w:val="000A5CBF"/>
    <w:rsid w:val="000A5D14"/>
    <w:rsid w:val="000A6D56"/>
    <w:rsid w:val="000A74ED"/>
    <w:rsid w:val="000A7F16"/>
    <w:rsid w:val="000B0ED5"/>
    <w:rsid w:val="000B212E"/>
    <w:rsid w:val="000B21C3"/>
    <w:rsid w:val="000B228F"/>
    <w:rsid w:val="000B273E"/>
    <w:rsid w:val="000B2E49"/>
    <w:rsid w:val="000B35E9"/>
    <w:rsid w:val="000B3A95"/>
    <w:rsid w:val="000B3AE3"/>
    <w:rsid w:val="000B4442"/>
    <w:rsid w:val="000B4ACD"/>
    <w:rsid w:val="000B5DF2"/>
    <w:rsid w:val="000B5EC6"/>
    <w:rsid w:val="000B7194"/>
    <w:rsid w:val="000C0AEC"/>
    <w:rsid w:val="000C1B9E"/>
    <w:rsid w:val="000C3810"/>
    <w:rsid w:val="000C3B15"/>
    <w:rsid w:val="000C3E1E"/>
    <w:rsid w:val="000C3E85"/>
    <w:rsid w:val="000C4B1D"/>
    <w:rsid w:val="000C6640"/>
    <w:rsid w:val="000C696A"/>
    <w:rsid w:val="000C6CA9"/>
    <w:rsid w:val="000C726C"/>
    <w:rsid w:val="000C7774"/>
    <w:rsid w:val="000C7B99"/>
    <w:rsid w:val="000D03BA"/>
    <w:rsid w:val="000D0D26"/>
    <w:rsid w:val="000D1A21"/>
    <w:rsid w:val="000D2125"/>
    <w:rsid w:val="000D310D"/>
    <w:rsid w:val="000D393E"/>
    <w:rsid w:val="000D4906"/>
    <w:rsid w:val="000D4C2F"/>
    <w:rsid w:val="000D5B06"/>
    <w:rsid w:val="000D6840"/>
    <w:rsid w:val="000D7634"/>
    <w:rsid w:val="000D7F66"/>
    <w:rsid w:val="000E05A6"/>
    <w:rsid w:val="000E0D2B"/>
    <w:rsid w:val="000E1272"/>
    <w:rsid w:val="000E25AE"/>
    <w:rsid w:val="000E320D"/>
    <w:rsid w:val="000E3DDF"/>
    <w:rsid w:val="000E3E97"/>
    <w:rsid w:val="000E4E04"/>
    <w:rsid w:val="000E5559"/>
    <w:rsid w:val="000E6764"/>
    <w:rsid w:val="000E6E4A"/>
    <w:rsid w:val="000E7670"/>
    <w:rsid w:val="000E7D61"/>
    <w:rsid w:val="000E7F03"/>
    <w:rsid w:val="000F0087"/>
    <w:rsid w:val="000F08E0"/>
    <w:rsid w:val="000F0EEA"/>
    <w:rsid w:val="000F1AAB"/>
    <w:rsid w:val="000F2439"/>
    <w:rsid w:val="000F29F4"/>
    <w:rsid w:val="000F3691"/>
    <w:rsid w:val="000F3A28"/>
    <w:rsid w:val="000F4C85"/>
    <w:rsid w:val="000F5341"/>
    <w:rsid w:val="000F581A"/>
    <w:rsid w:val="000F5E00"/>
    <w:rsid w:val="000F6142"/>
    <w:rsid w:val="000F7592"/>
    <w:rsid w:val="00100468"/>
    <w:rsid w:val="001009F7"/>
    <w:rsid w:val="00101696"/>
    <w:rsid w:val="00101CBA"/>
    <w:rsid w:val="00101F7A"/>
    <w:rsid w:val="00102413"/>
    <w:rsid w:val="00102B11"/>
    <w:rsid w:val="001039CA"/>
    <w:rsid w:val="00104B1A"/>
    <w:rsid w:val="00106B30"/>
    <w:rsid w:val="0011095E"/>
    <w:rsid w:val="001111C9"/>
    <w:rsid w:val="001115A8"/>
    <w:rsid w:val="00112008"/>
    <w:rsid w:val="0011202B"/>
    <w:rsid w:val="00112FC5"/>
    <w:rsid w:val="001136D0"/>
    <w:rsid w:val="00113878"/>
    <w:rsid w:val="00113BE1"/>
    <w:rsid w:val="001146C8"/>
    <w:rsid w:val="00116F2F"/>
    <w:rsid w:val="00116FBD"/>
    <w:rsid w:val="001177E0"/>
    <w:rsid w:val="00117A9A"/>
    <w:rsid w:val="00120C67"/>
    <w:rsid w:val="00120DFB"/>
    <w:rsid w:val="00120E13"/>
    <w:rsid w:val="00121BB6"/>
    <w:rsid w:val="00121F07"/>
    <w:rsid w:val="00122A0C"/>
    <w:rsid w:val="00123EE8"/>
    <w:rsid w:val="0012746A"/>
    <w:rsid w:val="00127631"/>
    <w:rsid w:val="00130E0A"/>
    <w:rsid w:val="001316A4"/>
    <w:rsid w:val="00131DDD"/>
    <w:rsid w:val="001321D6"/>
    <w:rsid w:val="00132248"/>
    <w:rsid w:val="0013304F"/>
    <w:rsid w:val="00133675"/>
    <w:rsid w:val="001353E8"/>
    <w:rsid w:val="00135D55"/>
    <w:rsid w:val="001407AA"/>
    <w:rsid w:val="001409BF"/>
    <w:rsid w:val="00141115"/>
    <w:rsid w:val="001427F7"/>
    <w:rsid w:val="00142852"/>
    <w:rsid w:val="00142DB5"/>
    <w:rsid w:val="001445E1"/>
    <w:rsid w:val="00144628"/>
    <w:rsid w:val="001447A5"/>
    <w:rsid w:val="00144CFC"/>
    <w:rsid w:val="00146206"/>
    <w:rsid w:val="00146D98"/>
    <w:rsid w:val="00147D71"/>
    <w:rsid w:val="00151F6A"/>
    <w:rsid w:val="00152909"/>
    <w:rsid w:val="001532B1"/>
    <w:rsid w:val="0015359B"/>
    <w:rsid w:val="00154177"/>
    <w:rsid w:val="001549D1"/>
    <w:rsid w:val="00155220"/>
    <w:rsid w:val="00155244"/>
    <w:rsid w:val="00155FBA"/>
    <w:rsid w:val="00156377"/>
    <w:rsid w:val="00157770"/>
    <w:rsid w:val="001579AA"/>
    <w:rsid w:val="001600A8"/>
    <w:rsid w:val="00160276"/>
    <w:rsid w:val="001609EC"/>
    <w:rsid w:val="00160F19"/>
    <w:rsid w:val="001610E3"/>
    <w:rsid w:val="0016123E"/>
    <w:rsid w:val="00161314"/>
    <w:rsid w:val="0016134B"/>
    <w:rsid w:val="00161C70"/>
    <w:rsid w:val="001627BF"/>
    <w:rsid w:val="00162887"/>
    <w:rsid w:val="001630D7"/>
    <w:rsid w:val="001645B9"/>
    <w:rsid w:val="00164F19"/>
    <w:rsid w:val="00164FA9"/>
    <w:rsid w:val="00165380"/>
    <w:rsid w:val="00165681"/>
    <w:rsid w:val="00165D4B"/>
    <w:rsid w:val="001665FC"/>
    <w:rsid w:val="00166785"/>
    <w:rsid w:val="00166CD4"/>
    <w:rsid w:val="00167405"/>
    <w:rsid w:val="00170834"/>
    <w:rsid w:val="00171B7C"/>
    <w:rsid w:val="001736CC"/>
    <w:rsid w:val="00173BC1"/>
    <w:rsid w:val="00176412"/>
    <w:rsid w:val="00176935"/>
    <w:rsid w:val="00180221"/>
    <w:rsid w:val="00180350"/>
    <w:rsid w:val="001807CD"/>
    <w:rsid w:val="00180983"/>
    <w:rsid w:val="00181011"/>
    <w:rsid w:val="0018158F"/>
    <w:rsid w:val="00181E6F"/>
    <w:rsid w:val="001825F5"/>
    <w:rsid w:val="00182F42"/>
    <w:rsid w:val="001839D8"/>
    <w:rsid w:val="00183D19"/>
    <w:rsid w:val="001842FD"/>
    <w:rsid w:val="00184F9F"/>
    <w:rsid w:val="0018512C"/>
    <w:rsid w:val="001853CE"/>
    <w:rsid w:val="001859C6"/>
    <w:rsid w:val="00185D5D"/>
    <w:rsid w:val="001862C5"/>
    <w:rsid w:val="00186BFC"/>
    <w:rsid w:val="00186C09"/>
    <w:rsid w:val="00186CCF"/>
    <w:rsid w:val="00186F26"/>
    <w:rsid w:val="00187579"/>
    <w:rsid w:val="00187C1E"/>
    <w:rsid w:val="00187CEE"/>
    <w:rsid w:val="00190B16"/>
    <w:rsid w:val="00191104"/>
    <w:rsid w:val="00192A25"/>
    <w:rsid w:val="001936DF"/>
    <w:rsid w:val="00194AF4"/>
    <w:rsid w:val="00196367"/>
    <w:rsid w:val="0019730A"/>
    <w:rsid w:val="0019764D"/>
    <w:rsid w:val="001A0562"/>
    <w:rsid w:val="001A08F4"/>
    <w:rsid w:val="001A2669"/>
    <w:rsid w:val="001A31E6"/>
    <w:rsid w:val="001A35C8"/>
    <w:rsid w:val="001A392B"/>
    <w:rsid w:val="001A3BC3"/>
    <w:rsid w:val="001A5354"/>
    <w:rsid w:val="001A5481"/>
    <w:rsid w:val="001A720B"/>
    <w:rsid w:val="001A7949"/>
    <w:rsid w:val="001B0525"/>
    <w:rsid w:val="001B0B0F"/>
    <w:rsid w:val="001B0D79"/>
    <w:rsid w:val="001B0E04"/>
    <w:rsid w:val="001B1B0B"/>
    <w:rsid w:val="001B303F"/>
    <w:rsid w:val="001B38E1"/>
    <w:rsid w:val="001B3AE7"/>
    <w:rsid w:val="001B4264"/>
    <w:rsid w:val="001B440F"/>
    <w:rsid w:val="001B498C"/>
    <w:rsid w:val="001B4B62"/>
    <w:rsid w:val="001B4B8F"/>
    <w:rsid w:val="001B61F4"/>
    <w:rsid w:val="001B6301"/>
    <w:rsid w:val="001B638A"/>
    <w:rsid w:val="001B65E8"/>
    <w:rsid w:val="001B6946"/>
    <w:rsid w:val="001C0D8D"/>
    <w:rsid w:val="001C1498"/>
    <w:rsid w:val="001C1831"/>
    <w:rsid w:val="001C23B2"/>
    <w:rsid w:val="001C32DA"/>
    <w:rsid w:val="001C59C1"/>
    <w:rsid w:val="001C64F0"/>
    <w:rsid w:val="001C6619"/>
    <w:rsid w:val="001C66AC"/>
    <w:rsid w:val="001C67B9"/>
    <w:rsid w:val="001C6940"/>
    <w:rsid w:val="001C6BBD"/>
    <w:rsid w:val="001C6D5E"/>
    <w:rsid w:val="001C7099"/>
    <w:rsid w:val="001C732C"/>
    <w:rsid w:val="001C7A97"/>
    <w:rsid w:val="001D0AEF"/>
    <w:rsid w:val="001D0F55"/>
    <w:rsid w:val="001D27BD"/>
    <w:rsid w:val="001D2939"/>
    <w:rsid w:val="001D318C"/>
    <w:rsid w:val="001D35BD"/>
    <w:rsid w:val="001D3AB9"/>
    <w:rsid w:val="001D3B47"/>
    <w:rsid w:val="001D4A2A"/>
    <w:rsid w:val="001D4C66"/>
    <w:rsid w:val="001D59A3"/>
    <w:rsid w:val="001D6787"/>
    <w:rsid w:val="001D78E9"/>
    <w:rsid w:val="001D79D0"/>
    <w:rsid w:val="001E0522"/>
    <w:rsid w:val="001E075D"/>
    <w:rsid w:val="001E0B9B"/>
    <w:rsid w:val="001E1406"/>
    <w:rsid w:val="001E1EA7"/>
    <w:rsid w:val="001E20BC"/>
    <w:rsid w:val="001E4824"/>
    <w:rsid w:val="001E5B57"/>
    <w:rsid w:val="001E67BB"/>
    <w:rsid w:val="001E6CB1"/>
    <w:rsid w:val="001E6ECD"/>
    <w:rsid w:val="001F0A52"/>
    <w:rsid w:val="001F0B24"/>
    <w:rsid w:val="001F0F3C"/>
    <w:rsid w:val="001F12C9"/>
    <w:rsid w:val="001F1747"/>
    <w:rsid w:val="001F1EAD"/>
    <w:rsid w:val="001F2089"/>
    <w:rsid w:val="001F25FF"/>
    <w:rsid w:val="001F29F7"/>
    <w:rsid w:val="001F301A"/>
    <w:rsid w:val="001F4C76"/>
    <w:rsid w:val="001F4F79"/>
    <w:rsid w:val="001F5D21"/>
    <w:rsid w:val="001F6333"/>
    <w:rsid w:val="001F7394"/>
    <w:rsid w:val="002019ED"/>
    <w:rsid w:val="00202992"/>
    <w:rsid w:val="00202A32"/>
    <w:rsid w:val="00202D8A"/>
    <w:rsid w:val="00202DE8"/>
    <w:rsid w:val="002031B6"/>
    <w:rsid w:val="0020382B"/>
    <w:rsid w:val="00203A0F"/>
    <w:rsid w:val="0020454E"/>
    <w:rsid w:val="00204752"/>
    <w:rsid w:val="0020508D"/>
    <w:rsid w:val="0020513B"/>
    <w:rsid w:val="00205427"/>
    <w:rsid w:val="002079F4"/>
    <w:rsid w:val="00207F35"/>
    <w:rsid w:val="00207F99"/>
    <w:rsid w:val="00210492"/>
    <w:rsid w:val="002104EC"/>
    <w:rsid w:val="00210A12"/>
    <w:rsid w:val="002115E0"/>
    <w:rsid w:val="002126E5"/>
    <w:rsid w:val="00212CB1"/>
    <w:rsid w:val="00212D4C"/>
    <w:rsid w:val="00212E23"/>
    <w:rsid w:val="00212E8C"/>
    <w:rsid w:val="002140F0"/>
    <w:rsid w:val="0021590C"/>
    <w:rsid w:val="00216E64"/>
    <w:rsid w:val="00220250"/>
    <w:rsid w:val="002211EA"/>
    <w:rsid w:val="00221429"/>
    <w:rsid w:val="002220C8"/>
    <w:rsid w:val="00222B84"/>
    <w:rsid w:val="00222BC2"/>
    <w:rsid w:val="00222E77"/>
    <w:rsid w:val="00223573"/>
    <w:rsid w:val="00223775"/>
    <w:rsid w:val="00224CC1"/>
    <w:rsid w:val="00226530"/>
    <w:rsid w:val="0022783B"/>
    <w:rsid w:val="002279CF"/>
    <w:rsid w:val="00227C8D"/>
    <w:rsid w:val="0023001A"/>
    <w:rsid w:val="002301C0"/>
    <w:rsid w:val="00230F94"/>
    <w:rsid w:val="00231D38"/>
    <w:rsid w:val="00232A42"/>
    <w:rsid w:val="00233349"/>
    <w:rsid w:val="00233572"/>
    <w:rsid w:val="00233817"/>
    <w:rsid w:val="00234BAE"/>
    <w:rsid w:val="0023610E"/>
    <w:rsid w:val="0023621E"/>
    <w:rsid w:val="002367B0"/>
    <w:rsid w:val="00237D1E"/>
    <w:rsid w:val="00240114"/>
    <w:rsid w:val="00241418"/>
    <w:rsid w:val="00241B7F"/>
    <w:rsid w:val="00241BAB"/>
    <w:rsid w:val="00242558"/>
    <w:rsid w:val="00242911"/>
    <w:rsid w:val="00242D5F"/>
    <w:rsid w:val="00242D60"/>
    <w:rsid w:val="00243481"/>
    <w:rsid w:val="00243817"/>
    <w:rsid w:val="00243DCD"/>
    <w:rsid w:val="00246958"/>
    <w:rsid w:val="00246DD0"/>
    <w:rsid w:val="00246FD5"/>
    <w:rsid w:val="00247F16"/>
    <w:rsid w:val="0025033F"/>
    <w:rsid w:val="00250700"/>
    <w:rsid w:val="0025078A"/>
    <w:rsid w:val="002507FC"/>
    <w:rsid w:val="00250F2E"/>
    <w:rsid w:val="002512AE"/>
    <w:rsid w:val="00251609"/>
    <w:rsid w:val="002519D2"/>
    <w:rsid w:val="00251ABA"/>
    <w:rsid w:val="00251B74"/>
    <w:rsid w:val="00251C44"/>
    <w:rsid w:val="002522C2"/>
    <w:rsid w:val="00252EB0"/>
    <w:rsid w:val="00253141"/>
    <w:rsid w:val="002537C1"/>
    <w:rsid w:val="00253BA2"/>
    <w:rsid w:val="002542BD"/>
    <w:rsid w:val="0025478C"/>
    <w:rsid w:val="002547D2"/>
    <w:rsid w:val="002549CF"/>
    <w:rsid w:val="00257F35"/>
    <w:rsid w:val="00260281"/>
    <w:rsid w:val="00262563"/>
    <w:rsid w:val="0026278E"/>
    <w:rsid w:val="002628C0"/>
    <w:rsid w:val="00263456"/>
    <w:rsid w:val="00263A3C"/>
    <w:rsid w:val="002643F4"/>
    <w:rsid w:val="002645D7"/>
    <w:rsid w:val="0026510E"/>
    <w:rsid w:val="00265742"/>
    <w:rsid w:val="00266086"/>
    <w:rsid w:val="002678CC"/>
    <w:rsid w:val="00267A9D"/>
    <w:rsid w:val="002701B2"/>
    <w:rsid w:val="0027089F"/>
    <w:rsid w:val="00270F9B"/>
    <w:rsid w:val="002715A0"/>
    <w:rsid w:val="002718AE"/>
    <w:rsid w:val="002718F4"/>
    <w:rsid w:val="00271AAA"/>
    <w:rsid w:val="00271FE5"/>
    <w:rsid w:val="002724EE"/>
    <w:rsid w:val="0027283F"/>
    <w:rsid w:val="00272BE2"/>
    <w:rsid w:val="00273446"/>
    <w:rsid w:val="00273521"/>
    <w:rsid w:val="00274051"/>
    <w:rsid w:val="0027585A"/>
    <w:rsid w:val="00275D09"/>
    <w:rsid w:val="00276022"/>
    <w:rsid w:val="00277AEA"/>
    <w:rsid w:val="00277B8B"/>
    <w:rsid w:val="00277D33"/>
    <w:rsid w:val="00280398"/>
    <w:rsid w:val="00280E99"/>
    <w:rsid w:val="002814A9"/>
    <w:rsid w:val="00282947"/>
    <w:rsid w:val="002833CE"/>
    <w:rsid w:val="002834BB"/>
    <w:rsid w:val="002835DC"/>
    <w:rsid w:val="00283E66"/>
    <w:rsid w:val="00284535"/>
    <w:rsid w:val="002854B5"/>
    <w:rsid w:val="002863D5"/>
    <w:rsid w:val="002864EE"/>
    <w:rsid w:val="00287110"/>
    <w:rsid w:val="002877B0"/>
    <w:rsid w:val="0028793C"/>
    <w:rsid w:val="002900AB"/>
    <w:rsid w:val="00290788"/>
    <w:rsid w:val="00290F06"/>
    <w:rsid w:val="00292818"/>
    <w:rsid w:val="002928C9"/>
    <w:rsid w:val="002928CD"/>
    <w:rsid w:val="00292B9B"/>
    <w:rsid w:val="00292F94"/>
    <w:rsid w:val="0029522B"/>
    <w:rsid w:val="00295DD2"/>
    <w:rsid w:val="00295DFF"/>
    <w:rsid w:val="002975F9"/>
    <w:rsid w:val="0029786E"/>
    <w:rsid w:val="002A1526"/>
    <w:rsid w:val="002A398C"/>
    <w:rsid w:val="002A3A27"/>
    <w:rsid w:val="002A3A44"/>
    <w:rsid w:val="002A575F"/>
    <w:rsid w:val="002A5B0F"/>
    <w:rsid w:val="002A61BC"/>
    <w:rsid w:val="002A62EA"/>
    <w:rsid w:val="002A6D52"/>
    <w:rsid w:val="002A6F87"/>
    <w:rsid w:val="002A71C6"/>
    <w:rsid w:val="002A73D0"/>
    <w:rsid w:val="002A778F"/>
    <w:rsid w:val="002B124D"/>
    <w:rsid w:val="002B15F5"/>
    <w:rsid w:val="002B269B"/>
    <w:rsid w:val="002B29A2"/>
    <w:rsid w:val="002B2AF5"/>
    <w:rsid w:val="002B2BB1"/>
    <w:rsid w:val="002B3C10"/>
    <w:rsid w:val="002B4D30"/>
    <w:rsid w:val="002B5043"/>
    <w:rsid w:val="002B5C0D"/>
    <w:rsid w:val="002B70E9"/>
    <w:rsid w:val="002B73B8"/>
    <w:rsid w:val="002B7A1F"/>
    <w:rsid w:val="002C0FC8"/>
    <w:rsid w:val="002C1530"/>
    <w:rsid w:val="002C1676"/>
    <w:rsid w:val="002C3209"/>
    <w:rsid w:val="002C3343"/>
    <w:rsid w:val="002C4080"/>
    <w:rsid w:val="002C46E1"/>
    <w:rsid w:val="002C4E40"/>
    <w:rsid w:val="002C5689"/>
    <w:rsid w:val="002C5A27"/>
    <w:rsid w:val="002C61AA"/>
    <w:rsid w:val="002C6264"/>
    <w:rsid w:val="002C6EA6"/>
    <w:rsid w:val="002C7CAC"/>
    <w:rsid w:val="002C7FA1"/>
    <w:rsid w:val="002C7FB0"/>
    <w:rsid w:val="002D0227"/>
    <w:rsid w:val="002D0875"/>
    <w:rsid w:val="002D09CB"/>
    <w:rsid w:val="002D0F98"/>
    <w:rsid w:val="002D1BA6"/>
    <w:rsid w:val="002D2DB2"/>
    <w:rsid w:val="002D3659"/>
    <w:rsid w:val="002D383C"/>
    <w:rsid w:val="002D3854"/>
    <w:rsid w:val="002D613D"/>
    <w:rsid w:val="002D62B3"/>
    <w:rsid w:val="002D724F"/>
    <w:rsid w:val="002D725D"/>
    <w:rsid w:val="002D761B"/>
    <w:rsid w:val="002D7B89"/>
    <w:rsid w:val="002E075D"/>
    <w:rsid w:val="002E08CE"/>
    <w:rsid w:val="002E1366"/>
    <w:rsid w:val="002E221F"/>
    <w:rsid w:val="002E24B4"/>
    <w:rsid w:val="002E34C7"/>
    <w:rsid w:val="002E4074"/>
    <w:rsid w:val="002E4154"/>
    <w:rsid w:val="002E74C4"/>
    <w:rsid w:val="002E7F6B"/>
    <w:rsid w:val="002F1137"/>
    <w:rsid w:val="002F14CE"/>
    <w:rsid w:val="002F1786"/>
    <w:rsid w:val="002F2B89"/>
    <w:rsid w:val="002F2D6B"/>
    <w:rsid w:val="002F3E56"/>
    <w:rsid w:val="002F4947"/>
    <w:rsid w:val="002F4965"/>
    <w:rsid w:val="002F54A4"/>
    <w:rsid w:val="002F5E3B"/>
    <w:rsid w:val="002F5EE0"/>
    <w:rsid w:val="002F706D"/>
    <w:rsid w:val="002F7D61"/>
    <w:rsid w:val="00300045"/>
    <w:rsid w:val="00300747"/>
    <w:rsid w:val="003014F8"/>
    <w:rsid w:val="003017C6"/>
    <w:rsid w:val="00301D45"/>
    <w:rsid w:val="0030289D"/>
    <w:rsid w:val="00302A4B"/>
    <w:rsid w:val="00302E88"/>
    <w:rsid w:val="003031E9"/>
    <w:rsid w:val="00303887"/>
    <w:rsid w:val="0030390C"/>
    <w:rsid w:val="003055E9"/>
    <w:rsid w:val="003058F1"/>
    <w:rsid w:val="0030655C"/>
    <w:rsid w:val="003069EF"/>
    <w:rsid w:val="003074F7"/>
    <w:rsid w:val="0030766A"/>
    <w:rsid w:val="003102FF"/>
    <w:rsid w:val="0031066E"/>
    <w:rsid w:val="00311805"/>
    <w:rsid w:val="00312D07"/>
    <w:rsid w:val="00313250"/>
    <w:rsid w:val="003135E1"/>
    <w:rsid w:val="00313752"/>
    <w:rsid w:val="00315C3A"/>
    <w:rsid w:val="00316089"/>
    <w:rsid w:val="003164AF"/>
    <w:rsid w:val="00316984"/>
    <w:rsid w:val="00317B9B"/>
    <w:rsid w:val="00317E3C"/>
    <w:rsid w:val="00320200"/>
    <w:rsid w:val="0032033F"/>
    <w:rsid w:val="003208E1"/>
    <w:rsid w:val="00320CEC"/>
    <w:rsid w:val="00321355"/>
    <w:rsid w:val="00321593"/>
    <w:rsid w:val="003218CC"/>
    <w:rsid w:val="00322A89"/>
    <w:rsid w:val="00322D0C"/>
    <w:rsid w:val="003232CA"/>
    <w:rsid w:val="003244E5"/>
    <w:rsid w:val="003244FB"/>
    <w:rsid w:val="00324AEC"/>
    <w:rsid w:val="00325B0A"/>
    <w:rsid w:val="003273D4"/>
    <w:rsid w:val="00330196"/>
    <w:rsid w:val="0033085C"/>
    <w:rsid w:val="003316CE"/>
    <w:rsid w:val="003319EB"/>
    <w:rsid w:val="003324A9"/>
    <w:rsid w:val="00332DC0"/>
    <w:rsid w:val="00332ECF"/>
    <w:rsid w:val="003337CD"/>
    <w:rsid w:val="00333892"/>
    <w:rsid w:val="00333ACF"/>
    <w:rsid w:val="003340FA"/>
    <w:rsid w:val="00335150"/>
    <w:rsid w:val="00335939"/>
    <w:rsid w:val="00336441"/>
    <w:rsid w:val="00336511"/>
    <w:rsid w:val="00336B1E"/>
    <w:rsid w:val="00337BCD"/>
    <w:rsid w:val="003400F4"/>
    <w:rsid w:val="00341FCF"/>
    <w:rsid w:val="0034203C"/>
    <w:rsid w:val="003423AA"/>
    <w:rsid w:val="00342DC4"/>
    <w:rsid w:val="00342F1B"/>
    <w:rsid w:val="003436E1"/>
    <w:rsid w:val="00343C67"/>
    <w:rsid w:val="00343C7C"/>
    <w:rsid w:val="003453FE"/>
    <w:rsid w:val="00345833"/>
    <w:rsid w:val="00346453"/>
    <w:rsid w:val="00350462"/>
    <w:rsid w:val="00350BF1"/>
    <w:rsid w:val="00350E99"/>
    <w:rsid w:val="00351790"/>
    <w:rsid w:val="00351E1E"/>
    <w:rsid w:val="00351E26"/>
    <w:rsid w:val="00351EBB"/>
    <w:rsid w:val="0035282A"/>
    <w:rsid w:val="00352E9B"/>
    <w:rsid w:val="00354394"/>
    <w:rsid w:val="00356C0A"/>
    <w:rsid w:val="0035780C"/>
    <w:rsid w:val="00357921"/>
    <w:rsid w:val="00357BFB"/>
    <w:rsid w:val="00360260"/>
    <w:rsid w:val="003622FB"/>
    <w:rsid w:val="00362367"/>
    <w:rsid w:val="0036236F"/>
    <w:rsid w:val="00362DA5"/>
    <w:rsid w:val="00362FC5"/>
    <w:rsid w:val="003646F3"/>
    <w:rsid w:val="0036500D"/>
    <w:rsid w:val="003650CF"/>
    <w:rsid w:val="0036524A"/>
    <w:rsid w:val="003668B4"/>
    <w:rsid w:val="00367001"/>
    <w:rsid w:val="00367C00"/>
    <w:rsid w:val="00370A2B"/>
    <w:rsid w:val="0037103C"/>
    <w:rsid w:val="0037289C"/>
    <w:rsid w:val="00372CEF"/>
    <w:rsid w:val="003733E2"/>
    <w:rsid w:val="00373A5C"/>
    <w:rsid w:val="00374266"/>
    <w:rsid w:val="00374852"/>
    <w:rsid w:val="00375793"/>
    <w:rsid w:val="003761D1"/>
    <w:rsid w:val="003761ED"/>
    <w:rsid w:val="0037739B"/>
    <w:rsid w:val="00377779"/>
    <w:rsid w:val="00381460"/>
    <w:rsid w:val="00382038"/>
    <w:rsid w:val="0038289F"/>
    <w:rsid w:val="00382D06"/>
    <w:rsid w:val="00382D0D"/>
    <w:rsid w:val="003830AE"/>
    <w:rsid w:val="003834C5"/>
    <w:rsid w:val="00383B3D"/>
    <w:rsid w:val="00383CAA"/>
    <w:rsid w:val="0038438B"/>
    <w:rsid w:val="00384767"/>
    <w:rsid w:val="00384CA5"/>
    <w:rsid w:val="0038627C"/>
    <w:rsid w:val="00386589"/>
    <w:rsid w:val="003874C8"/>
    <w:rsid w:val="00387641"/>
    <w:rsid w:val="00387A4F"/>
    <w:rsid w:val="00387C32"/>
    <w:rsid w:val="00390F18"/>
    <w:rsid w:val="0039148C"/>
    <w:rsid w:val="00393D5E"/>
    <w:rsid w:val="00395AEA"/>
    <w:rsid w:val="00395B57"/>
    <w:rsid w:val="00396356"/>
    <w:rsid w:val="003966A2"/>
    <w:rsid w:val="003967EC"/>
    <w:rsid w:val="00396B95"/>
    <w:rsid w:val="00396BA1"/>
    <w:rsid w:val="003A08C8"/>
    <w:rsid w:val="003A1641"/>
    <w:rsid w:val="003A1659"/>
    <w:rsid w:val="003A1C14"/>
    <w:rsid w:val="003A21EE"/>
    <w:rsid w:val="003A33C3"/>
    <w:rsid w:val="003A3D8C"/>
    <w:rsid w:val="003A542E"/>
    <w:rsid w:val="003A572B"/>
    <w:rsid w:val="003A58CD"/>
    <w:rsid w:val="003A5AA5"/>
    <w:rsid w:val="003A5C5E"/>
    <w:rsid w:val="003A61A3"/>
    <w:rsid w:val="003A6219"/>
    <w:rsid w:val="003A6958"/>
    <w:rsid w:val="003A726E"/>
    <w:rsid w:val="003B32A0"/>
    <w:rsid w:val="003B3524"/>
    <w:rsid w:val="003B39E2"/>
    <w:rsid w:val="003B3CA1"/>
    <w:rsid w:val="003B3E52"/>
    <w:rsid w:val="003B436B"/>
    <w:rsid w:val="003B4A26"/>
    <w:rsid w:val="003B4CB0"/>
    <w:rsid w:val="003B56A5"/>
    <w:rsid w:val="003B6147"/>
    <w:rsid w:val="003B7479"/>
    <w:rsid w:val="003C05EE"/>
    <w:rsid w:val="003C147C"/>
    <w:rsid w:val="003C1C58"/>
    <w:rsid w:val="003C2576"/>
    <w:rsid w:val="003C373B"/>
    <w:rsid w:val="003C43DD"/>
    <w:rsid w:val="003C54D4"/>
    <w:rsid w:val="003C56EB"/>
    <w:rsid w:val="003C6686"/>
    <w:rsid w:val="003C69DC"/>
    <w:rsid w:val="003C6A06"/>
    <w:rsid w:val="003C73D9"/>
    <w:rsid w:val="003D1036"/>
    <w:rsid w:val="003D14A7"/>
    <w:rsid w:val="003D1C19"/>
    <w:rsid w:val="003D2335"/>
    <w:rsid w:val="003D23E9"/>
    <w:rsid w:val="003D2588"/>
    <w:rsid w:val="003D2954"/>
    <w:rsid w:val="003D32A9"/>
    <w:rsid w:val="003D344F"/>
    <w:rsid w:val="003D42DB"/>
    <w:rsid w:val="003D4C68"/>
    <w:rsid w:val="003D5026"/>
    <w:rsid w:val="003D55F0"/>
    <w:rsid w:val="003D56A6"/>
    <w:rsid w:val="003D58AB"/>
    <w:rsid w:val="003D5F38"/>
    <w:rsid w:val="003D7B22"/>
    <w:rsid w:val="003E168A"/>
    <w:rsid w:val="003E1D6B"/>
    <w:rsid w:val="003E2179"/>
    <w:rsid w:val="003E23E1"/>
    <w:rsid w:val="003E2957"/>
    <w:rsid w:val="003E2A68"/>
    <w:rsid w:val="003E2C01"/>
    <w:rsid w:val="003E437C"/>
    <w:rsid w:val="003E4E4B"/>
    <w:rsid w:val="003E52D6"/>
    <w:rsid w:val="003E611A"/>
    <w:rsid w:val="003E633D"/>
    <w:rsid w:val="003E66A9"/>
    <w:rsid w:val="003E75A3"/>
    <w:rsid w:val="003E791D"/>
    <w:rsid w:val="003F0CAC"/>
    <w:rsid w:val="003F182B"/>
    <w:rsid w:val="003F270A"/>
    <w:rsid w:val="003F3201"/>
    <w:rsid w:val="003F612C"/>
    <w:rsid w:val="003F65AD"/>
    <w:rsid w:val="003F6C93"/>
    <w:rsid w:val="003F6F11"/>
    <w:rsid w:val="004020D1"/>
    <w:rsid w:val="00402DC8"/>
    <w:rsid w:val="00403282"/>
    <w:rsid w:val="00405E7D"/>
    <w:rsid w:val="00406251"/>
    <w:rsid w:val="00406D63"/>
    <w:rsid w:val="00407A4F"/>
    <w:rsid w:val="0041025D"/>
    <w:rsid w:val="004106BB"/>
    <w:rsid w:val="004121AB"/>
    <w:rsid w:val="00412403"/>
    <w:rsid w:val="0041279B"/>
    <w:rsid w:val="00413024"/>
    <w:rsid w:val="0041348D"/>
    <w:rsid w:val="00413D2A"/>
    <w:rsid w:val="0041412E"/>
    <w:rsid w:val="004143CF"/>
    <w:rsid w:val="0041677D"/>
    <w:rsid w:val="004167FB"/>
    <w:rsid w:val="00416B1E"/>
    <w:rsid w:val="00416B44"/>
    <w:rsid w:val="0042016A"/>
    <w:rsid w:val="00421085"/>
    <w:rsid w:val="00421356"/>
    <w:rsid w:val="00421416"/>
    <w:rsid w:val="004225F3"/>
    <w:rsid w:val="00423A39"/>
    <w:rsid w:val="0042404E"/>
    <w:rsid w:val="00424082"/>
    <w:rsid w:val="004248D0"/>
    <w:rsid w:val="00427EC7"/>
    <w:rsid w:val="004303D5"/>
    <w:rsid w:val="00430BC8"/>
    <w:rsid w:val="00430D0F"/>
    <w:rsid w:val="004341C1"/>
    <w:rsid w:val="004343D4"/>
    <w:rsid w:val="004343DE"/>
    <w:rsid w:val="00434650"/>
    <w:rsid w:val="00435D18"/>
    <w:rsid w:val="00436076"/>
    <w:rsid w:val="004364E3"/>
    <w:rsid w:val="0043674F"/>
    <w:rsid w:val="004371C7"/>
    <w:rsid w:val="00437E04"/>
    <w:rsid w:val="0044015D"/>
    <w:rsid w:val="00441001"/>
    <w:rsid w:val="004413D9"/>
    <w:rsid w:val="00441F84"/>
    <w:rsid w:val="004432A0"/>
    <w:rsid w:val="00444680"/>
    <w:rsid w:val="0044689F"/>
    <w:rsid w:val="00446E75"/>
    <w:rsid w:val="00447466"/>
    <w:rsid w:val="004503A8"/>
    <w:rsid w:val="0045092D"/>
    <w:rsid w:val="004510A9"/>
    <w:rsid w:val="0045167D"/>
    <w:rsid w:val="0045173A"/>
    <w:rsid w:val="004521DD"/>
    <w:rsid w:val="00452465"/>
    <w:rsid w:val="00453D75"/>
    <w:rsid w:val="00455283"/>
    <w:rsid w:val="00455390"/>
    <w:rsid w:val="00456C54"/>
    <w:rsid w:val="004576DD"/>
    <w:rsid w:val="004602DA"/>
    <w:rsid w:val="004611EF"/>
    <w:rsid w:val="00461C7A"/>
    <w:rsid w:val="0046221F"/>
    <w:rsid w:val="00462CE7"/>
    <w:rsid w:val="00462E1E"/>
    <w:rsid w:val="00463845"/>
    <w:rsid w:val="004641C7"/>
    <w:rsid w:val="00465500"/>
    <w:rsid w:val="00465E50"/>
    <w:rsid w:val="00466072"/>
    <w:rsid w:val="004661F2"/>
    <w:rsid w:val="00466D8E"/>
    <w:rsid w:val="004676C0"/>
    <w:rsid w:val="00467998"/>
    <w:rsid w:val="004706E6"/>
    <w:rsid w:val="00470F3F"/>
    <w:rsid w:val="0047265C"/>
    <w:rsid w:val="004731A3"/>
    <w:rsid w:val="004748EF"/>
    <w:rsid w:val="004758B3"/>
    <w:rsid w:val="0047680D"/>
    <w:rsid w:val="004768A6"/>
    <w:rsid w:val="00476C39"/>
    <w:rsid w:val="00476F29"/>
    <w:rsid w:val="00477275"/>
    <w:rsid w:val="004806A1"/>
    <w:rsid w:val="00480E8B"/>
    <w:rsid w:val="00481F4F"/>
    <w:rsid w:val="004839E1"/>
    <w:rsid w:val="00483F6F"/>
    <w:rsid w:val="00484049"/>
    <w:rsid w:val="00484F0E"/>
    <w:rsid w:val="004854F7"/>
    <w:rsid w:val="0048578C"/>
    <w:rsid w:val="00486249"/>
    <w:rsid w:val="00486370"/>
    <w:rsid w:val="0048762B"/>
    <w:rsid w:val="004904CC"/>
    <w:rsid w:val="00490B84"/>
    <w:rsid w:val="00490F48"/>
    <w:rsid w:val="004919F1"/>
    <w:rsid w:val="00492234"/>
    <w:rsid w:val="00492ED6"/>
    <w:rsid w:val="00493486"/>
    <w:rsid w:val="004960CD"/>
    <w:rsid w:val="004967D1"/>
    <w:rsid w:val="00496C85"/>
    <w:rsid w:val="00496EF1"/>
    <w:rsid w:val="00497030"/>
    <w:rsid w:val="004976A9"/>
    <w:rsid w:val="004A11BB"/>
    <w:rsid w:val="004A1235"/>
    <w:rsid w:val="004A14DD"/>
    <w:rsid w:val="004A17DD"/>
    <w:rsid w:val="004A3701"/>
    <w:rsid w:val="004A396C"/>
    <w:rsid w:val="004A3FA0"/>
    <w:rsid w:val="004A42A9"/>
    <w:rsid w:val="004A440B"/>
    <w:rsid w:val="004A567C"/>
    <w:rsid w:val="004A65E9"/>
    <w:rsid w:val="004A6E06"/>
    <w:rsid w:val="004A78FA"/>
    <w:rsid w:val="004B0699"/>
    <w:rsid w:val="004B0982"/>
    <w:rsid w:val="004B0FC8"/>
    <w:rsid w:val="004B1231"/>
    <w:rsid w:val="004B165F"/>
    <w:rsid w:val="004B1D20"/>
    <w:rsid w:val="004B2EE9"/>
    <w:rsid w:val="004B3619"/>
    <w:rsid w:val="004B3E5F"/>
    <w:rsid w:val="004B3FC1"/>
    <w:rsid w:val="004B5182"/>
    <w:rsid w:val="004B6593"/>
    <w:rsid w:val="004B6851"/>
    <w:rsid w:val="004B6E58"/>
    <w:rsid w:val="004B72AB"/>
    <w:rsid w:val="004B72E4"/>
    <w:rsid w:val="004B7AF0"/>
    <w:rsid w:val="004B7B4E"/>
    <w:rsid w:val="004C01C5"/>
    <w:rsid w:val="004C0538"/>
    <w:rsid w:val="004C1400"/>
    <w:rsid w:val="004C1570"/>
    <w:rsid w:val="004C1B66"/>
    <w:rsid w:val="004C1D08"/>
    <w:rsid w:val="004C1D53"/>
    <w:rsid w:val="004C3E9A"/>
    <w:rsid w:val="004C40BE"/>
    <w:rsid w:val="004C4813"/>
    <w:rsid w:val="004C4CED"/>
    <w:rsid w:val="004C6A32"/>
    <w:rsid w:val="004C6B15"/>
    <w:rsid w:val="004C7480"/>
    <w:rsid w:val="004C78DF"/>
    <w:rsid w:val="004C7A9B"/>
    <w:rsid w:val="004D0429"/>
    <w:rsid w:val="004D0F61"/>
    <w:rsid w:val="004D2303"/>
    <w:rsid w:val="004D2A5E"/>
    <w:rsid w:val="004D2BFF"/>
    <w:rsid w:val="004D3DCF"/>
    <w:rsid w:val="004D4EC6"/>
    <w:rsid w:val="004D5985"/>
    <w:rsid w:val="004D5AB0"/>
    <w:rsid w:val="004D5BBC"/>
    <w:rsid w:val="004D6873"/>
    <w:rsid w:val="004D6CEC"/>
    <w:rsid w:val="004D7737"/>
    <w:rsid w:val="004D7AFF"/>
    <w:rsid w:val="004E0719"/>
    <w:rsid w:val="004E0C66"/>
    <w:rsid w:val="004E1DA3"/>
    <w:rsid w:val="004E1EF4"/>
    <w:rsid w:val="004E2B13"/>
    <w:rsid w:val="004E2CEB"/>
    <w:rsid w:val="004E31B6"/>
    <w:rsid w:val="004E4228"/>
    <w:rsid w:val="004E4845"/>
    <w:rsid w:val="004E4C89"/>
    <w:rsid w:val="004E5E04"/>
    <w:rsid w:val="004E5FDC"/>
    <w:rsid w:val="004E637A"/>
    <w:rsid w:val="004E7694"/>
    <w:rsid w:val="004E7EA6"/>
    <w:rsid w:val="004F04F5"/>
    <w:rsid w:val="004F0736"/>
    <w:rsid w:val="004F07F4"/>
    <w:rsid w:val="004F1EE6"/>
    <w:rsid w:val="004F1EF7"/>
    <w:rsid w:val="004F205D"/>
    <w:rsid w:val="004F2623"/>
    <w:rsid w:val="004F4B2F"/>
    <w:rsid w:val="004F4BA7"/>
    <w:rsid w:val="004F6F8E"/>
    <w:rsid w:val="004F7326"/>
    <w:rsid w:val="004F7C39"/>
    <w:rsid w:val="004F7DA3"/>
    <w:rsid w:val="005006E7"/>
    <w:rsid w:val="00501E04"/>
    <w:rsid w:val="00502272"/>
    <w:rsid w:val="00504604"/>
    <w:rsid w:val="00505976"/>
    <w:rsid w:val="00505CF5"/>
    <w:rsid w:val="00506294"/>
    <w:rsid w:val="00506953"/>
    <w:rsid w:val="0050752A"/>
    <w:rsid w:val="005077AE"/>
    <w:rsid w:val="00511589"/>
    <w:rsid w:val="0051223E"/>
    <w:rsid w:val="005128FB"/>
    <w:rsid w:val="00512BBA"/>
    <w:rsid w:val="0051308D"/>
    <w:rsid w:val="00513771"/>
    <w:rsid w:val="00513E85"/>
    <w:rsid w:val="005148FB"/>
    <w:rsid w:val="00515166"/>
    <w:rsid w:val="005173B2"/>
    <w:rsid w:val="005176BF"/>
    <w:rsid w:val="005177DE"/>
    <w:rsid w:val="00520A2F"/>
    <w:rsid w:val="00520CC8"/>
    <w:rsid w:val="00521439"/>
    <w:rsid w:val="005220C7"/>
    <w:rsid w:val="00522108"/>
    <w:rsid w:val="005227F2"/>
    <w:rsid w:val="00523FE7"/>
    <w:rsid w:val="005243FE"/>
    <w:rsid w:val="0052547C"/>
    <w:rsid w:val="00525C99"/>
    <w:rsid w:val="005266BB"/>
    <w:rsid w:val="00527308"/>
    <w:rsid w:val="005313C0"/>
    <w:rsid w:val="005332CC"/>
    <w:rsid w:val="005346AF"/>
    <w:rsid w:val="00535697"/>
    <w:rsid w:val="00537503"/>
    <w:rsid w:val="00537A15"/>
    <w:rsid w:val="00537DC9"/>
    <w:rsid w:val="00537F75"/>
    <w:rsid w:val="005403BA"/>
    <w:rsid w:val="0054062B"/>
    <w:rsid w:val="00540845"/>
    <w:rsid w:val="00541642"/>
    <w:rsid w:val="00541B7C"/>
    <w:rsid w:val="005429C1"/>
    <w:rsid w:val="00542F15"/>
    <w:rsid w:val="00544320"/>
    <w:rsid w:val="00545095"/>
    <w:rsid w:val="0054526C"/>
    <w:rsid w:val="005455FC"/>
    <w:rsid w:val="0054620B"/>
    <w:rsid w:val="005467C5"/>
    <w:rsid w:val="00547CAE"/>
    <w:rsid w:val="0055022F"/>
    <w:rsid w:val="00550644"/>
    <w:rsid w:val="005513D4"/>
    <w:rsid w:val="005526ED"/>
    <w:rsid w:val="00552883"/>
    <w:rsid w:val="00552C97"/>
    <w:rsid w:val="00553B1A"/>
    <w:rsid w:val="00555DBF"/>
    <w:rsid w:val="005563DC"/>
    <w:rsid w:val="005563FD"/>
    <w:rsid w:val="00556B7E"/>
    <w:rsid w:val="00556D2E"/>
    <w:rsid w:val="005576BA"/>
    <w:rsid w:val="005577FF"/>
    <w:rsid w:val="00557B8B"/>
    <w:rsid w:val="00557EF0"/>
    <w:rsid w:val="00561773"/>
    <w:rsid w:val="00561997"/>
    <w:rsid w:val="00561AD1"/>
    <w:rsid w:val="00561E16"/>
    <w:rsid w:val="005620CA"/>
    <w:rsid w:val="00562637"/>
    <w:rsid w:val="0056283A"/>
    <w:rsid w:val="0056492D"/>
    <w:rsid w:val="00565033"/>
    <w:rsid w:val="0056573B"/>
    <w:rsid w:val="00565E46"/>
    <w:rsid w:val="005710EE"/>
    <w:rsid w:val="0057194C"/>
    <w:rsid w:val="005721EF"/>
    <w:rsid w:val="00573C03"/>
    <w:rsid w:val="00574E0F"/>
    <w:rsid w:val="005756EC"/>
    <w:rsid w:val="0057590B"/>
    <w:rsid w:val="0057615A"/>
    <w:rsid w:val="00577748"/>
    <w:rsid w:val="005810D2"/>
    <w:rsid w:val="0058140A"/>
    <w:rsid w:val="00582395"/>
    <w:rsid w:val="005824CC"/>
    <w:rsid w:val="0058292A"/>
    <w:rsid w:val="00584B2F"/>
    <w:rsid w:val="00584E0D"/>
    <w:rsid w:val="0058565B"/>
    <w:rsid w:val="00585681"/>
    <w:rsid w:val="005856F9"/>
    <w:rsid w:val="00585956"/>
    <w:rsid w:val="005865AB"/>
    <w:rsid w:val="00587065"/>
    <w:rsid w:val="00587102"/>
    <w:rsid w:val="005900AC"/>
    <w:rsid w:val="005918F7"/>
    <w:rsid w:val="00593369"/>
    <w:rsid w:val="00593786"/>
    <w:rsid w:val="00593D96"/>
    <w:rsid w:val="00594C16"/>
    <w:rsid w:val="00594FFD"/>
    <w:rsid w:val="00595CD2"/>
    <w:rsid w:val="005960B3"/>
    <w:rsid w:val="0059762B"/>
    <w:rsid w:val="00597969"/>
    <w:rsid w:val="00597CA3"/>
    <w:rsid w:val="005A12EE"/>
    <w:rsid w:val="005A3B0A"/>
    <w:rsid w:val="005A49C5"/>
    <w:rsid w:val="005A4F8C"/>
    <w:rsid w:val="005A50E9"/>
    <w:rsid w:val="005A5574"/>
    <w:rsid w:val="005A7A8C"/>
    <w:rsid w:val="005B00F7"/>
    <w:rsid w:val="005B04E5"/>
    <w:rsid w:val="005B0940"/>
    <w:rsid w:val="005B0979"/>
    <w:rsid w:val="005B0ACA"/>
    <w:rsid w:val="005B1297"/>
    <w:rsid w:val="005B165D"/>
    <w:rsid w:val="005B1C04"/>
    <w:rsid w:val="005B2053"/>
    <w:rsid w:val="005B2905"/>
    <w:rsid w:val="005B2CFC"/>
    <w:rsid w:val="005B37EE"/>
    <w:rsid w:val="005B3EFB"/>
    <w:rsid w:val="005B4F1A"/>
    <w:rsid w:val="005B50BB"/>
    <w:rsid w:val="005B6035"/>
    <w:rsid w:val="005B6533"/>
    <w:rsid w:val="005B65E6"/>
    <w:rsid w:val="005B6B7D"/>
    <w:rsid w:val="005C00D4"/>
    <w:rsid w:val="005C094E"/>
    <w:rsid w:val="005C16E9"/>
    <w:rsid w:val="005C1896"/>
    <w:rsid w:val="005C1AE6"/>
    <w:rsid w:val="005C27D3"/>
    <w:rsid w:val="005C3092"/>
    <w:rsid w:val="005C3B48"/>
    <w:rsid w:val="005C4436"/>
    <w:rsid w:val="005C44B2"/>
    <w:rsid w:val="005C494A"/>
    <w:rsid w:val="005C5948"/>
    <w:rsid w:val="005C5F95"/>
    <w:rsid w:val="005C785A"/>
    <w:rsid w:val="005D02D4"/>
    <w:rsid w:val="005D0DEC"/>
    <w:rsid w:val="005D21EC"/>
    <w:rsid w:val="005D29D0"/>
    <w:rsid w:val="005D3104"/>
    <w:rsid w:val="005D3D73"/>
    <w:rsid w:val="005D3E20"/>
    <w:rsid w:val="005D4016"/>
    <w:rsid w:val="005D4693"/>
    <w:rsid w:val="005D4715"/>
    <w:rsid w:val="005D4E8A"/>
    <w:rsid w:val="005D61AF"/>
    <w:rsid w:val="005D6624"/>
    <w:rsid w:val="005D6657"/>
    <w:rsid w:val="005E01ED"/>
    <w:rsid w:val="005E0B39"/>
    <w:rsid w:val="005E165D"/>
    <w:rsid w:val="005E1EF6"/>
    <w:rsid w:val="005E1F1F"/>
    <w:rsid w:val="005E2048"/>
    <w:rsid w:val="005E2BE8"/>
    <w:rsid w:val="005E42BE"/>
    <w:rsid w:val="005E4815"/>
    <w:rsid w:val="005E5041"/>
    <w:rsid w:val="005E6411"/>
    <w:rsid w:val="005E6A76"/>
    <w:rsid w:val="005E7A35"/>
    <w:rsid w:val="005F08B3"/>
    <w:rsid w:val="005F25AA"/>
    <w:rsid w:val="005F39A5"/>
    <w:rsid w:val="005F44AC"/>
    <w:rsid w:val="005F46EF"/>
    <w:rsid w:val="005F4A6E"/>
    <w:rsid w:val="005F4B8A"/>
    <w:rsid w:val="005F4E24"/>
    <w:rsid w:val="005F5039"/>
    <w:rsid w:val="005F6084"/>
    <w:rsid w:val="005F6657"/>
    <w:rsid w:val="00600090"/>
    <w:rsid w:val="006005B5"/>
    <w:rsid w:val="00601684"/>
    <w:rsid w:val="0060179F"/>
    <w:rsid w:val="00601E85"/>
    <w:rsid w:val="006024E2"/>
    <w:rsid w:val="00602CA5"/>
    <w:rsid w:val="0060468B"/>
    <w:rsid w:val="00604EA0"/>
    <w:rsid w:val="006052FE"/>
    <w:rsid w:val="00605910"/>
    <w:rsid w:val="00606824"/>
    <w:rsid w:val="00606A23"/>
    <w:rsid w:val="0060784E"/>
    <w:rsid w:val="00607D99"/>
    <w:rsid w:val="00610E4D"/>
    <w:rsid w:val="006124B4"/>
    <w:rsid w:val="00613CC4"/>
    <w:rsid w:val="00614540"/>
    <w:rsid w:val="00614DD3"/>
    <w:rsid w:val="00615BF8"/>
    <w:rsid w:val="00616FB1"/>
    <w:rsid w:val="00617448"/>
    <w:rsid w:val="006179AC"/>
    <w:rsid w:val="00617E87"/>
    <w:rsid w:val="00620632"/>
    <w:rsid w:val="00620DA3"/>
    <w:rsid w:val="00620F75"/>
    <w:rsid w:val="0062103A"/>
    <w:rsid w:val="00621A10"/>
    <w:rsid w:val="00621CEF"/>
    <w:rsid w:val="006223CC"/>
    <w:rsid w:val="00623A37"/>
    <w:rsid w:val="00623B9B"/>
    <w:rsid w:val="00624389"/>
    <w:rsid w:val="006243F9"/>
    <w:rsid w:val="00624BDB"/>
    <w:rsid w:val="00624F00"/>
    <w:rsid w:val="0062574F"/>
    <w:rsid w:val="00625E95"/>
    <w:rsid w:val="006260EF"/>
    <w:rsid w:val="006266E3"/>
    <w:rsid w:val="00626DCA"/>
    <w:rsid w:val="006270DC"/>
    <w:rsid w:val="00627DF5"/>
    <w:rsid w:val="006301A0"/>
    <w:rsid w:val="006302AE"/>
    <w:rsid w:val="00630648"/>
    <w:rsid w:val="00630AF8"/>
    <w:rsid w:val="00631D93"/>
    <w:rsid w:val="00632911"/>
    <w:rsid w:val="00632AC1"/>
    <w:rsid w:val="00633008"/>
    <w:rsid w:val="00633ACA"/>
    <w:rsid w:val="00633C19"/>
    <w:rsid w:val="00633EDF"/>
    <w:rsid w:val="00633FD7"/>
    <w:rsid w:val="006341B0"/>
    <w:rsid w:val="00634660"/>
    <w:rsid w:val="00634804"/>
    <w:rsid w:val="00634CAA"/>
    <w:rsid w:val="00635573"/>
    <w:rsid w:val="00636AA8"/>
    <w:rsid w:val="00637115"/>
    <w:rsid w:val="006372D1"/>
    <w:rsid w:val="00637D15"/>
    <w:rsid w:val="0064007D"/>
    <w:rsid w:val="00640775"/>
    <w:rsid w:val="00640937"/>
    <w:rsid w:val="00640C66"/>
    <w:rsid w:val="00640DF8"/>
    <w:rsid w:val="00641AA7"/>
    <w:rsid w:val="00642BD2"/>
    <w:rsid w:val="00643C99"/>
    <w:rsid w:val="006441A9"/>
    <w:rsid w:val="006446DC"/>
    <w:rsid w:val="0064557D"/>
    <w:rsid w:val="00645E39"/>
    <w:rsid w:val="0064654E"/>
    <w:rsid w:val="00646D31"/>
    <w:rsid w:val="00647111"/>
    <w:rsid w:val="006475E8"/>
    <w:rsid w:val="0065009E"/>
    <w:rsid w:val="00650127"/>
    <w:rsid w:val="006505EA"/>
    <w:rsid w:val="00651262"/>
    <w:rsid w:val="00651542"/>
    <w:rsid w:val="00651795"/>
    <w:rsid w:val="00652AA1"/>
    <w:rsid w:val="0065307E"/>
    <w:rsid w:val="006533BE"/>
    <w:rsid w:val="00653726"/>
    <w:rsid w:val="00653D91"/>
    <w:rsid w:val="00654911"/>
    <w:rsid w:val="00655177"/>
    <w:rsid w:val="00655FBF"/>
    <w:rsid w:val="00656E18"/>
    <w:rsid w:val="0065726E"/>
    <w:rsid w:val="00657277"/>
    <w:rsid w:val="00657F19"/>
    <w:rsid w:val="00661D65"/>
    <w:rsid w:val="006630ED"/>
    <w:rsid w:val="006639B6"/>
    <w:rsid w:val="00664D4F"/>
    <w:rsid w:val="00664FE3"/>
    <w:rsid w:val="0066550F"/>
    <w:rsid w:val="00665E1A"/>
    <w:rsid w:val="00666318"/>
    <w:rsid w:val="00667E28"/>
    <w:rsid w:val="00670598"/>
    <w:rsid w:val="006708E7"/>
    <w:rsid w:val="006709D8"/>
    <w:rsid w:val="00670B6D"/>
    <w:rsid w:val="006712BB"/>
    <w:rsid w:val="006717CD"/>
    <w:rsid w:val="00671ABC"/>
    <w:rsid w:val="00672A68"/>
    <w:rsid w:val="00672C6D"/>
    <w:rsid w:val="00674B00"/>
    <w:rsid w:val="00675C9B"/>
    <w:rsid w:val="00676722"/>
    <w:rsid w:val="00676D99"/>
    <w:rsid w:val="0067740D"/>
    <w:rsid w:val="00677A9C"/>
    <w:rsid w:val="00680029"/>
    <w:rsid w:val="00680612"/>
    <w:rsid w:val="00680C8A"/>
    <w:rsid w:val="00680DB2"/>
    <w:rsid w:val="00681319"/>
    <w:rsid w:val="006814F4"/>
    <w:rsid w:val="00681BA3"/>
    <w:rsid w:val="006825A1"/>
    <w:rsid w:val="0068281E"/>
    <w:rsid w:val="00683D96"/>
    <w:rsid w:val="00684C80"/>
    <w:rsid w:val="00685585"/>
    <w:rsid w:val="00686587"/>
    <w:rsid w:val="00690F69"/>
    <w:rsid w:val="006914DD"/>
    <w:rsid w:val="0069150C"/>
    <w:rsid w:val="00692906"/>
    <w:rsid w:val="006932E8"/>
    <w:rsid w:val="006936DD"/>
    <w:rsid w:val="00693EA2"/>
    <w:rsid w:val="00696612"/>
    <w:rsid w:val="00697995"/>
    <w:rsid w:val="006979F8"/>
    <w:rsid w:val="006A063C"/>
    <w:rsid w:val="006A1938"/>
    <w:rsid w:val="006A1B10"/>
    <w:rsid w:val="006A1CCC"/>
    <w:rsid w:val="006A1D0A"/>
    <w:rsid w:val="006A268D"/>
    <w:rsid w:val="006A2C71"/>
    <w:rsid w:val="006A3E49"/>
    <w:rsid w:val="006A40C4"/>
    <w:rsid w:val="006A53FD"/>
    <w:rsid w:val="006A550B"/>
    <w:rsid w:val="006A5976"/>
    <w:rsid w:val="006A5BEE"/>
    <w:rsid w:val="006A5C5D"/>
    <w:rsid w:val="006A5CFB"/>
    <w:rsid w:val="006A6C10"/>
    <w:rsid w:val="006B075D"/>
    <w:rsid w:val="006B0945"/>
    <w:rsid w:val="006B18B1"/>
    <w:rsid w:val="006B1FEE"/>
    <w:rsid w:val="006B2F86"/>
    <w:rsid w:val="006B416B"/>
    <w:rsid w:val="006B437D"/>
    <w:rsid w:val="006B4688"/>
    <w:rsid w:val="006B4D10"/>
    <w:rsid w:val="006B5CEC"/>
    <w:rsid w:val="006B60C1"/>
    <w:rsid w:val="006B6525"/>
    <w:rsid w:val="006B6AA8"/>
    <w:rsid w:val="006B6B59"/>
    <w:rsid w:val="006B6BAE"/>
    <w:rsid w:val="006B71B5"/>
    <w:rsid w:val="006B7329"/>
    <w:rsid w:val="006B7AC9"/>
    <w:rsid w:val="006B7E5D"/>
    <w:rsid w:val="006C0461"/>
    <w:rsid w:val="006C0581"/>
    <w:rsid w:val="006C182E"/>
    <w:rsid w:val="006C26CA"/>
    <w:rsid w:val="006C2B22"/>
    <w:rsid w:val="006C3054"/>
    <w:rsid w:val="006C37C7"/>
    <w:rsid w:val="006C3E26"/>
    <w:rsid w:val="006C4B42"/>
    <w:rsid w:val="006C52C7"/>
    <w:rsid w:val="006C555A"/>
    <w:rsid w:val="006C5660"/>
    <w:rsid w:val="006C5F53"/>
    <w:rsid w:val="006C606B"/>
    <w:rsid w:val="006D0699"/>
    <w:rsid w:val="006D06F0"/>
    <w:rsid w:val="006D07B0"/>
    <w:rsid w:val="006D1006"/>
    <w:rsid w:val="006D19EF"/>
    <w:rsid w:val="006D2791"/>
    <w:rsid w:val="006D2A7D"/>
    <w:rsid w:val="006D338D"/>
    <w:rsid w:val="006D3513"/>
    <w:rsid w:val="006D3DC8"/>
    <w:rsid w:val="006D3DCE"/>
    <w:rsid w:val="006D65D1"/>
    <w:rsid w:val="006D6B1C"/>
    <w:rsid w:val="006D7561"/>
    <w:rsid w:val="006D7CB1"/>
    <w:rsid w:val="006E0437"/>
    <w:rsid w:val="006E09E5"/>
    <w:rsid w:val="006E151B"/>
    <w:rsid w:val="006E2428"/>
    <w:rsid w:val="006E2557"/>
    <w:rsid w:val="006E3306"/>
    <w:rsid w:val="006E35CB"/>
    <w:rsid w:val="006E45C4"/>
    <w:rsid w:val="006E4681"/>
    <w:rsid w:val="006E473F"/>
    <w:rsid w:val="006E4AE3"/>
    <w:rsid w:val="006E59C2"/>
    <w:rsid w:val="006E63AD"/>
    <w:rsid w:val="006E65EE"/>
    <w:rsid w:val="006F00C2"/>
    <w:rsid w:val="006F12C0"/>
    <w:rsid w:val="006F16F7"/>
    <w:rsid w:val="006F1B43"/>
    <w:rsid w:val="006F245C"/>
    <w:rsid w:val="006F3A85"/>
    <w:rsid w:val="006F41CF"/>
    <w:rsid w:val="006F5A29"/>
    <w:rsid w:val="006F5B4F"/>
    <w:rsid w:val="006F66B4"/>
    <w:rsid w:val="006F6789"/>
    <w:rsid w:val="006F6965"/>
    <w:rsid w:val="006F71C1"/>
    <w:rsid w:val="006F75B4"/>
    <w:rsid w:val="00700D6E"/>
    <w:rsid w:val="007011EE"/>
    <w:rsid w:val="00701301"/>
    <w:rsid w:val="00701DF3"/>
    <w:rsid w:val="00701EAA"/>
    <w:rsid w:val="00702C6D"/>
    <w:rsid w:val="00702F88"/>
    <w:rsid w:val="00703987"/>
    <w:rsid w:val="00704812"/>
    <w:rsid w:val="00705C00"/>
    <w:rsid w:val="00710DD6"/>
    <w:rsid w:val="00711865"/>
    <w:rsid w:val="00714187"/>
    <w:rsid w:val="007167AD"/>
    <w:rsid w:val="00717E70"/>
    <w:rsid w:val="00720DC5"/>
    <w:rsid w:val="00720DFC"/>
    <w:rsid w:val="0072115D"/>
    <w:rsid w:val="0072175E"/>
    <w:rsid w:val="007217FA"/>
    <w:rsid w:val="00721F40"/>
    <w:rsid w:val="007226DB"/>
    <w:rsid w:val="00722BE7"/>
    <w:rsid w:val="0072328D"/>
    <w:rsid w:val="0072497B"/>
    <w:rsid w:val="00724FD6"/>
    <w:rsid w:val="00725203"/>
    <w:rsid w:val="00725B83"/>
    <w:rsid w:val="00726CAF"/>
    <w:rsid w:val="00726F65"/>
    <w:rsid w:val="00727D8C"/>
    <w:rsid w:val="0073006A"/>
    <w:rsid w:val="0073126C"/>
    <w:rsid w:val="00731371"/>
    <w:rsid w:val="00732385"/>
    <w:rsid w:val="00733929"/>
    <w:rsid w:val="0073393D"/>
    <w:rsid w:val="0073400F"/>
    <w:rsid w:val="007342BD"/>
    <w:rsid w:val="007353F2"/>
    <w:rsid w:val="00735FAE"/>
    <w:rsid w:val="007361A7"/>
    <w:rsid w:val="007368C6"/>
    <w:rsid w:val="00736AEF"/>
    <w:rsid w:val="00740A93"/>
    <w:rsid w:val="00740CDF"/>
    <w:rsid w:val="007411B1"/>
    <w:rsid w:val="00742FF5"/>
    <w:rsid w:val="00743C1A"/>
    <w:rsid w:val="00743DB5"/>
    <w:rsid w:val="00743DF3"/>
    <w:rsid w:val="0074457B"/>
    <w:rsid w:val="007452F6"/>
    <w:rsid w:val="00745491"/>
    <w:rsid w:val="00746866"/>
    <w:rsid w:val="00746BFB"/>
    <w:rsid w:val="00747468"/>
    <w:rsid w:val="00747470"/>
    <w:rsid w:val="007475DC"/>
    <w:rsid w:val="007502DB"/>
    <w:rsid w:val="007525E6"/>
    <w:rsid w:val="007533DE"/>
    <w:rsid w:val="00753BAC"/>
    <w:rsid w:val="00753E1B"/>
    <w:rsid w:val="007574EE"/>
    <w:rsid w:val="0076087C"/>
    <w:rsid w:val="00760F12"/>
    <w:rsid w:val="00761A27"/>
    <w:rsid w:val="00761E80"/>
    <w:rsid w:val="0076244D"/>
    <w:rsid w:val="00762B39"/>
    <w:rsid w:val="00762E3B"/>
    <w:rsid w:val="0076306A"/>
    <w:rsid w:val="007630A0"/>
    <w:rsid w:val="00763243"/>
    <w:rsid w:val="00763B9C"/>
    <w:rsid w:val="00764551"/>
    <w:rsid w:val="00764E20"/>
    <w:rsid w:val="00764E38"/>
    <w:rsid w:val="00764EBD"/>
    <w:rsid w:val="0076500D"/>
    <w:rsid w:val="0076597E"/>
    <w:rsid w:val="007666B7"/>
    <w:rsid w:val="007669F3"/>
    <w:rsid w:val="007670A7"/>
    <w:rsid w:val="007674B0"/>
    <w:rsid w:val="0076772B"/>
    <w:rsid w:val="00767C02"/>
    <w:rsid w:val="00767F05"/>
    <w:rsid w:val="00767F72"/>
    <w:rsid w:val="007717EE"/>
    <w:rsid w:val="007722CC"/>
    <w:rsid w:val="007722F4"/>
    <w:rsid w:val="00772B9F"/>
    <w:rsid w:val="007735DE"/>
    <w:rsid w:val="00774157"/>
    <w:rsid w:val="00774A8E"/>
    <w:rsid w:val="0077696F"/>
    <w:rsid w:val="00776F49"/>
    <w:rsid w:val="007773B9"/>
    <w:rsid w:val="00777CE9"/>
    <w:rsid w:val="00780051"/>
    <w:rsid w:val="00780E0F"/>
    <w:rsid w:val="00781969"/>
    <w:rsid w:val="00782188"/>
    <w:rsid w:val="007826FD"/>
    <w:rsid w:val="007829E2"/>
    <w:rsid w:val="00782DE3"/>
    <w:rsid w:val="00783668"/>
    <w:rsid w:val="00783B13"/>
    <w:rsid w:val="00783ED9"/>
    <w:rsid w:val="0078420F"/>
    <w:rsid w:val="00784535"/>
    <w:rsid w:val="00784C23"/>
    <w:rsid w:val="007853BC"/>
    <w:rsid w:val="0078581F"/>
    <w:rsid w:val="0078585F"/>
    <w:rsid w:val="00786164"/>
    <w:rsid w:val="00786F98"/>
    <w:rsid w:val="0078723B"/>
    <w:rsid w:val="0079066D"/>
    <w:rsid w:val="00790839"/>
    <w:rsid w:val="00793716"/>
    <w:rsid w:val="00793D6F"/>
    <w:rsid w:val="007944F9"/>
    <w:rsid w:val="007948DB"/>
    <w:rsid w:val="00795D1C"/>
    <w:rsid w:val="00796A55"/>
    <w:rsid w:val="00796FC7"/>
    <w:rsid w:val="007975EA"/>
    <w:rsid w:val="00797BD5"/>
    <w:rsid w:val="00797C4B"/>
    <w:rsid w:val="007A04AB"/>
    <w:rsid w:val="007A0785"/>
    <w:rsid w:val="007A13CA"/>
    <w:rsid w:val="007A1CA1"/>
    <w:rsid w:val="007A22D0"/>
    <w:rsid w:val="007A239F"/>
    <w:rsid w:val="007A3C64"/>
    <w:rsid w:val="007A4387"/>
    <w:rsid w:val="007A634A"/>
    <w:rsid w:val="007A6D64"/>
    <w:rsid w:val="007A7AF7"/>
    <w:rsid w:val="007B092A"/>
    <w:rsid w:val="007B1326"/>
    <w:rsid w:val="007B23F7"/>
    <w:rsid w:val="007B3934"/>
    <w:rsid w:val="007B4568"/>
    <w:rsid w:val="007B49A5"/>
    <w:rsid w:val="007B4C88"/>
    <w:rsid w:val="007B586F"/>
    <w:rsid w:val="007B648D"/>
    <w:rsid w:val="007B68C5"/>
    <w:rsid w:val="007C15D9"/>
    <w:rsid w:val="007C180B"/>
    <w:rsid w:val="007C1A5A"/>
    <w:rsid w:val="007C271C"/>
    <w:rsid w:val="007C348F"/>
    <w:rsid w:val="007C46E7"/>
    <w:rsid w:val="007C48FF"/>
    <w:rsid w:val="007C61D3"/>
    <w:rsid w:val="007C626F"/>
    <w:rsid w:val="007C72BF"/>
    <w:rsid w:val="007D087D"/>
    <w:rsid w:val="007D0B73"/>
    <w:rsid w:val="007D11F7"/>
    <w:rsid w:val="007D1C2B"/>
    <w:rsid w:val="007D2156"/>
    <w:rsid w:val="007D21B9"/>
    <w:rsid w:val="007D2350"/>
    <w:rsid w:val="007D2501"/>
    <w:rsid w:val="007D2F02"/>
    <w:rsid w:val="007D37E2"/>
    <w:rsid w:val="007D3D83"/>
    <w:rsid w:val="007D60B8"/>
    <w:rsid w:val="007D6399"/>
    <w:rsid w:val="007D6632"/>
    <w:rsid w:val="007D69C0"/>
    <w:rsid w:val="007D758D"/>
    <w:rsid w:val="007D7BBD"/>
    <w:rsid w:val="007E101A"/>
    <w:rsid w:val="007E11F4"/>
    <w:rsid w:val="007E1AEA"/>
    <w:rsid w:val="007E28B9"/>
    <w:rsid w:val="007E2D0D"/>
    <w:rsid w:val="007E34DE"/>
    <w:rsid w:val="007E3698"/>
    <w:rsid w:val="007E3D9E"/>
    <w:rsid w:val="007E449E"/>
    <w:rsid w:val="007E4665"/>
    <w:rsid w:val="007E4D58"/>
    <w:rsid w:val="007E6037"/>
    <w:rsid w:val="007E7875"/>
    <w:rsid w:val="007E7F11"/>
    <w:rsid w:val="007E7F8D"/>
    <w:rsid w:val="007F0532"/>
    <w:rsid w:val="007F09FA"/>
    <w:rsid w:val="007F0C8E"/>
    <w:rsid w:val="007F1BA4"/>
    <w:rsid w:val="007F1ECB"/>
    <w:rsid w:val="007F26B9"/>
    <w:rsid w:val="007F327E"/>
    <w:rsid w:val="007F5017"/>
    <w:rsid w:val="007F5FBC"/>
    <w:rsid w:val="007F6995"/>
    <w:rsid w:val="007F69E2"/>
    <w:rsid w:val="007F770C"/>
    <w:rsid w:val="0080002F"/>
    <w:rsid w:val="008002C6"/>
    <w:rsid w:val="00801230"/>
    <w:rsid w:val="008021E4"/>
    <w:rsid w:val="00802685"/>
    <w:rsid w:val="00802D88"/>
    <w:rsid w:val="00802FC3"/>
    <w:rsid w:val="00803001"/>
    <w:rsid w:val="00803874"/>
    <w:rsid w:val="0080402B"/>
    <w:rsid w:val="00804479"/>
    <w:rsid w:val="00805066"/>
    <w:rsid w:val="0080538C"/>
    <w:rsid w:val="00806279"/>
    <w:rsid w:val="00806D07"/>
    <w:rsid w:val="00806DA8"/>
    <w:rsid w:val="00807826"/>
    <w:rsid w:val="008078F5"/>
    <w:rsid w:val="00810683"/>
    <w:rsid w:val="00810B57"/>
    <w:rsid w:val="0081160D"/>
    <w:rsid w:val="00812375"/>
    <w:rsid w:val="00812B5D"/>
    <w:rsid w:val="00812CEA"/>
    <w:rsid w:val="008149FC"/>
    <w:rsid w:val="00815865"/>
    <w:rsid w:val="008158D0"/>
    <w:rsid w:val="00815F45"/>
    <w:rsid w:val="00816267"/>
    <w:rsid w:val="00816C33"/>
    <w:rsid w:val="00820475"/>
    <w:rsid w:val="008214D8"/>
    <w:rsid w:val="00822A0B"/>
    <w:rsid w:val="00822BA8"/>
    <w:rsid w:val="008239C8"/>
    <w:rsid w:val="00825596"/>
    <w:rsid w:val="008261A8"/>
    <w:rsid w:val="008261BD"/>
    <w:rsid w:val="00826ED0"/>
    <w:rsid w:val="008309B4"/>
    <w:rsid w:val="00831535"/>
    <w:rsid w:val="00832167"/>
    <w:rsid w:val="0083279A"/>
    <w:rsid w:val="00832A87"/>
    <w:rsid w:val="008334DF"/>
    <w:rsid w:val="00833FF1"/>
    <w:rsid w:val="00834EF4"/>
    <w:rsid w:val="0083586C"/>
    <w:rsid w:val="008358A9"/>
    <w:rsid w:val="0083777F"/>
    <w:rsid w:val="00837E46"/>
    <w:rsid w:val="008406B2"/>
    <w:rsid w:val="00841694"/>
    <w:rsid w:val="00842189"/>
    <w:rsid w:val="00842967"/>
    <w:rsid w:val="00842A0D"/>
    <w:rsid w:val="008438BF"/>
    <w:rsid w:val="00843D33"/>
    <w:rsid w:val="00843E50"/>
    <w:rsid w:val="008464C8"/>
    <w:rsid w:val="00846B4E"/>
    <w:rsid w:val="00846D21"/>
    <w:rsid w:val="00846EC7"/>
    <w:rsid w:val="00847123"/>
    <w:rsid w:val="00847359"/>
    <w:rsid w:val="00847385"/>
    <w:rsid w:val="00847709"/>
    <w:rsid w:val="00847CCC"/>
    <w:rsid w:val="00852D05"/>
    <w:rsid w:val="00852E6C"/>
    <w:rsid w:val="00853DCB"/>
    <w:rsid w:val="00854753"/>
    <w:rsid w:val="00855243"/>
    <w:rsid w:val="0085615A"/>
    <w:rsid w:val="00856BCD"/>
    <w:rsid w:val="00856F54"/>
    <w:rsid w:val="00857D68"/>
    <w:rsid w:val="0086041D"/>
    <w:rsid w:val="00860ACD"/>
    <w:rsid w:val="00860D4B"/>
    <w:rsid w:val="00860D5C"/>
    <w:rsid w:val="00861A5B"/>
    <w:rsid w:val="00861C10"/>
    <w:rsid w:val="0086235D"/>
    <w:rsid w:val="00862545"/>
    <w:rsid w:val="008629CC"/>
    <w:rsid w:val="00862BEE"/>
    <w:rsid w:val="00863215"/>
    <w:rsid w:val="00864315"/>
    <w:rsid w:val="008645BB"/>
    <w:rsid w:val="00864899"/>
    <w:rsid w:val="00865363"/>
    <w:rsid w:val="008656E0"/>
    <w:rsid w:val="00865BDD"/>
    <w:rsid w:val="00866F46"/>
    <w:rsid w:val="008673E3"/>
    <w:rsid w:val="0086767A"/>
    <w:rsid w:val="0087029B"/>
    <w:rsid w:val="0087075A"/>
    <w:rsid w:val="00870CCD"/>
    <w:rsid w:val="00870EB6"/>
    <w:rsid w:val="008711FD"/>
    <w:rsid w:val="00871AC0"/>
    <w:rsid w:val="00872183"/>
    <w:rsid w:val="00872307"/>
    <w:rsid w:val="008728C3"/>
    <w:rsid w:val="008729B2"/>
    <w:rsid w:val="00872E77"/>
    <w:rsid w:val="00874174"/>
    <w:rsid w:val="00875258"/>
    <w:rsid w:val="0087581A"/>
    <w:rsid w:val="00875837"/>
    <w:rsid w:val="00875D6E"/>
    <w:rsid w:val="008760C3"/>
    <w:rsid w:val="0088176C"/>
    <w:rsid w:val="0088226A"/>
    <w:rsid w:val="00882A11"/>
    <w:rsid w:val="0088330C"/>
    <w:rsid w:val="0088331E"/>
    <w:rsid w:val="008854AD"/>
    <w:rsid w:val="00886F65"/>
    <w:rsid w:val="0088715D"/>
    <w:rsid w:val="00890380"/>
    <w:rsid w:val="00890EED"/>
    <w:rsid w:val="00890FED"/>
    <w:rsid w:val="0089122B"/>
    <w:rsid w:val="008918E5"/>
    <w:rsid w:val="00892730"/>
    <w:rsid w:val="00894444"/>
    <w:rsid w:val="00894C9D"/>
    <w:rsid w:val="0089512D"/>
    <w:rsid w:val="00895404"/>
    <w:rsid w:val="00895A45"/>
    <w:rsid w:val="008960BB"/>
    <w:rsid w:val="00896882"/>
    <w:rsid w:val="00896AFE"/>
    <w:rsid w:val="008974CA"/>
    <w:rsid w:val="00897511"/>
    <w:rsid w:val="008977AD"/>
    <w:rsid w:val="008A042B"/>
    <w:rsid w:val="008A1469"/>
    <w:rsid w:val="008A2947"/>
    <w:rsid w:val="008A2A7D"/>
    <w:rsid w:val="008A2F7A"/>
    <w:rsid w:val="008A305C"/>
    <w:rsid w:val="008A3B71"/>
    <w:rsid w:val="008A42EA"/>
    <w:rsid w:val="008A59A3"/>
    <w:rsid w:val="008A5B1B"/>
    <w:rsid w:val="008A5E66"/>
    <w:rsid w:val="008A654C"/>
    <w:rsid w:val="008A7FD3"/>
    <w:rsid w:val="008B0025"/>
    <w:rsid w:val="008B0BDF"/>
    <w:rsid w:val="008B18C5"/>
    <w:rsid w:val="008B250D"/>
    <w:rsid w:val="008B3CF3"/>
    <w:rsid w:val="008B3FD4"/>
    <w:rsid w:val="008B568D"/>
    <w:rsid w:val="008B6673"/>
    <w:rsid w:val="008B6F05"/>
    <w:rsid w:val="008B71E0"/>
    <w:rsid w:val="008B78FF"/>
    <w:rsid w:val="008B7CE9"/>
    <w:rsid w:val="008C0471"/>
    <w:rsid w:val="008C097A"/>
    <w:rsid w:val="008C0A54"/>
    <w:rsid w:val="008C1720"/>
    <w:rsid w:val="008C212D"/>
    <w:rsid w:val="008C48C0"/>
    <w:rsid w:val="008C5002"/>
    <w:rsid w:val="008C63E2"/>
    <w:rsid w:val="008C6BD4"/>
    <w:rsid w:val="008C74D3"/>
    <w:rsid w:val="008C7EB7"/>
    <w:rsid w:val="008C7FB1"/>
    <w:rsid w:val="008D04C8"/>
    <w:rsid w:val="008D10B8"/>
    <w:rsid w:val="008D1951"/>
    <w:rsid w:val="008D1C31"/>
    <w:rsid w:val="008D1EC6"/>
    <w:rsid w:val="008D24B7"/>
    <w:rsid w:val="008D24F4"/>
    <w:rsid w:val="008D352A"/>
    <w:rsid w:val="008D3D09"/>
    <w:rsid w:val="008D4E2D"/>
    <w:rsid w:val="008D57B1"/>
    <w:rsid w:val="008D6314"/>
    <w:rsid w:val="008E0742"/>
    <w:rsid w:val="008E0A17"/>
    <w:rsid w:val="008E0DBF"/>
    <w:rsid w:val="008E1489"/>
    <w:rsid w:val="008E14C2"/>
    <w:rsid w:val="008E164C"/>
    <w:rsid w:val="008E32D8"/>
    <w:rsid w:val="008E4685"/>
    <w:rsid w:val="008E4C9E"/>
    <w:rsid w:val="008E53BD"/>
    <w:rsid w:val="008E54F4"/>
    <w:rsid w:val="008E73BD"/>
    <w:rsid w:val="008E7402"/>
    <w:rsid w:val="008E75C3"/>
    <w:rsid w:val="008E7AB3"/>
    <w:rsid w:val="008E7B2B"/>
    <w:rsid w:val="008F1662"/>
    <w:rsid w:val="008F1BD5"/>
    <w:rsid w:val="008F2205"/>
    <w:rsid w:val="008F383D"/>
    <w:rsid w:val="008F403A"/>
    <w:rsid w:val="008F75DB"/>
    <w:rsid w:val="00900B3F"/>
    <w:rsid w:val="00900FD7"/>
    <w:rsid w:val="0090199C"/>
    <w:rsid w:val="00901CFA"/>
    <w:rsid w:val="00901D44"/>
    <w:rsid w:val="00901F20"/>
    <w:rsid w:val="00902771"/>
    <w:rsid w:val="0090326C"/>
    <w:rsid w:val="00903496"/>
    <w:rsid w:val="009038A5"/>
    <w:rsid w:val="009040A8"/>
    <w:rsid w:val="009042F0"/>
    <w:rsid w:val="00905E10"/>
    <w:rsid w:val="0090621B"/>
    <w:rsid w:val="0090644C"/>
    <w:rsid w:val="009066D0"/>
    <w:rsid w:val="00906E78"/>
    <w:rsid w:val="00907332"/>
    <w:rsid w:val="0090797C"/>
    <w:rsid w:val="00907E8F"/>
    <w:rsid w:val="009101E7"/>
    <w:rsid w:val="009112E8"/>
    <w:rsid w:val="00911993"/>
    <w:rsid w:val="009121D1"/>
    <w:rsid w:val="00912DE3"/>
    <w:rsid w:val="009131B1"/>
    <w:rsid w:val="009133D6"/>
    <w:rsid w:val="00914A77"/>
    <w:rsid w:val="009155F1"/>
    <w:rsid w:val="009159E7"/>
    <w:rsid w:val="00916186"/>
    <w:rsid w:val="00916668"/>
    <w:rsid w:val="009166B3"/>
    <w:rsid w:val="00916FC8"/>
    <w:rsid w:val="009178AB"/>
    <w:rsid w:val="00917E0B"/>
    <w:rsid w:val="00920363"/>
    <w:rsid w:val="009206A4"/>
    <w:rsid w:val="0092084D"/>
    <w:rsid w:val="00921F30"/>
    <w:rsid w:val="00922696"/>
    <w:rsid w:val="00922719"/>
    <w:rsid w:val="00922817"/>
    <w:rsid w:val="0092303F"/>
    <w:rsid w:val="00923A9F"/>
    <w:rsid w:val="00923AD2"/>
    <w:rsid w:val="00923B66"/>
    <w:rsid w:val="00923C21"/>
    <w:rsid w:val="00924DD3"/>
    <w:rsid w:val="0092683F"/>
    <w:rsid w:val="00926B73"/>
    <w:rsid w:val="009272FF"/>
    <w:rsid w:val="00927E7A"/>
    <w:rsid w:val="00930004"/>
    <w:rsid w:val="00930110"/>
    <w:rsid w:val="00930559"/>
    <w:rsid w:val="00931741"/>
    <w:rsid w:val="00931EA5"/>
    <w:rsid w:val="00931F95"/>
    <w:rsid w:val="009323D9"/>
    <w:rsid w:val="00934AD3"/>
    <w:rsid w:val="00935519"/>
    <w:rsid w:val="009358D5"/>
    <w:rsid w:val="00935D1B"/>
    <w:rsid w:val="0093768C"/>
    <w:rsid w:val="00937A44"/>
    <w:rsid w:val="0094008C"/>
    <w:rsid w:val="00941AC0"/>
    <w:rsid w:val="00941BAB"/>
    <w:rsid w:val="009426B0"/>
    <w:rsid w:val="0094342B"/>
    <w:rsid w:val="0094498F"/>
    <w:rsid w:val="00945560"/>
    <w:rsid w:val="009459B6"/>
    <w:rsid w:val="00946120"/>
    <w:rsid w:val="00946450"/>
    <w:rsid w:val="00946801"/>
    <w:rsid w:val="00947375"/>
    <w:rsid w:val="00947E9A"/>
    <w:rsid w:val="009500D1"/>
    <w:rsid w:val="00951E74"/>
    <w:rsid w:val="00952438"/>
    <w:rsid w:val="0095277F"/>
    <w:rsid w:val="00953575"/>
    <w:rsid w:val="00954251"/>
    <w:rsid w:val="00954F4C"/>
    <w:rsid w:val="00955623"/>
    <w:rsid w:val="00955900"/>
    <w:rsid w:val="00955BA7"/>
    <w:rsid w:val="00955D48"/>
    <w:rsid w:val="009562EF"/>
    <w:rsid w:val="00956720"/>
    <w:rsid w:val="00956BF3"/>
    <w:rsid w:val="00957015"/>
    <w:rsid w:val="00957D4B"/>
    <w:rsid w:val="00960F25"/>
    <w:rsid w:val="0096164E"/>
    <w:rsid w:val="00961E49"/>
    <w:rsid w:val="0096354F"/>
    <w:rsid w:val="009639F8"/>
    <w:rsid w:val="00963AB4"/>
    <w:rsid w:val="009662DD"/>
    <w:rsid w:val="009666EB"/>
    <w:rsid w:val="009675E5"/>
    <w:rsid w:val="00967D89"/>
    <w:rsid w:val="009707AE"/>
    <w:rsid w:val="0097169F"/>
    <w:rsid w:val="00972061"/>
    <w:rsid w:val="00973E94"/>
    <w:rsid w:val="00974D00"/>
    <w:rsid w:val="00975F26"/>
    <w:rsid w:val="0097672B"/>
    <w:rsid w:val="00977C7C"/>
    <w:rsid w:val="00977F65"/>
    <w:rsid w:val="009806E8"/>
    <w:rsid w:val="00980A36"/>
    <w:rsid w:val="00980E2B"/>
    <w:rsid w:val="009817E0"/>
    <w:rsid w:val="00982629"/>
    <w:rsid w:val="00983292"/>
    <w:rsid w:val="00983341"/>
    <w:rsid w:val="00983497"/>
    <w:rsid w:val="00983558"/>
    <w:rsid w:val="00983631"/>
    <w:rsid w:val="00983B38"/>
    <w:rsid w:val="00983BC7"/>
    <w:rsid w:val="00984550"/>
    <w:rsid w:val="00984571"/>
    <w:rsid w:val="009857A8"/>
    <w:rsid w:val="00986058"/>
    <w:rsid w:val="009861C4"/>
    <w:rsid w:val="00986773"/>
    <w:rsid w:val="00986984"/>
    <w:rsid w:val="00986B9C"/>
    <w:rsid w:val="00986C17"/>
    <w:rsid w:val="00986FAB"/>
    <w:rsid w:val="0099042E"/>
    <w:rsid w:val="00991166"/>
    <w:rsid w:val="009912F9"/>
    <w:rsid w:val="00992012"/>
    <w:rsid w:val="00992202"/>
    <w:rsid w:val="00992DF3"/>
    <w:rsid w:val="00993373"/>
    <w:rsid w:val="009934DA"/>
    <w:rsid w:val="00993748"/>
    <w:rsid w:val="009940ED"/>
    <w:rsid w:val="009945BA"/>
    <w:rsid w:val="00994AA8"/>
    <w:rsid w:val="00994F6B"/>
    <w:rsid w:val="0099662F"/>
    <w:rsid w:val="009968BC"/>
    <w:rsid w:val="0099695F"/>
    <w:rsid w:val="00996A6D"/>
    <w:rsid w:val="00996DC5"/>
    <w:rsid w:val="0099721D"/>
    <w:rsid w:val="009A0184"/>
    <w:rsid w:val="009A0ADB"/>
    <w:rsid w:val="009A0D0A"/>
    <w:rsid w:val="009A1EEC"/>
    <w:rsid w:val="009A2E8F"/>
    <w:rsid w:val="009A4268"/>
    <w:rsid w:val="009A6643"/>
    <w:rsid w:val="009A75AB"/>
    <w:rsid w:val="009A77FE"/>
    <w:rsid w:val="009B0185"/>
    <w:rsid w:val="009B0EC1"/>
    <w:rsid w:val="009B179C"/>
    <w:rsid w:val="009B1C91"/>
    <w:rsid w:val="009B206F"/>
    <w:rsid w:val="009B2B1B"/>
    <w:rsid w:val="009B397C"/>
    <w:rsid w:val="009B3E48"/>
    <w:rsid w:val="009B4332"/>
    <w:rsid w:val="009B479D"/>
    <w:rsid w:val="009B4CD3"/>
    <w:rsid w:val="009B5200"/>
    <w:rsid w:val="009B5B1B"/>
    <w:rsid w:val="009B75D3"/>
    <w:rsid w:val="009B7CA6"/>
    <w:rsid w:val="009C0091"/>
    <w:rsid w:val="009C0431"/>
    <w:rsid w:val="009C1536"/>
    <w:rsid w:val="009C1CD7"/>
    <w:rsid w:val="009C2504"/>
    <w:rsid w:val="009C2743"/>
    <w:rsid w:val="009C2A13"/>
    <w:rsid w:val="009C4CCE"/>
    <w:rsid w:val="009C548C"/>
    <w:rsid w:val="009C65BF"/>
    <w:rsid w:val="009C6789"/>
    <w:rsid w:val="009C7489"/>
    <w:rsid w:val="009C75F4"/>
    <w:rsid w:val="009C7AA0"/>
    <w:rsid w:val="009C7FC9"/>
    <w:rsid w:val="009D0FF3"/>
    <w:rsid w:val="009D1041"/>
    <w:rsid w:val="009D134D"/>
    <w:rsid w:val="009D19A8"/>
    <w:rsid w:val="009D2162"/>
    <w:rsid w:val="009D3205"/>
    <w:rsid w:val="009D35DF"/>
    <w:rsid w:val="009D36BC"/>
    <w:rsid w:val="009D433F"/>
    <w:rsid w:val="009D4FD0"/>
    <w:rsid w:val="009D59C5"/>
    <w:rsid w:val="009D79BE"/>
    <w:rsid w:val="009E1CB9"/>
    <w:rsid w:val="009E2686"/>
    <w:rsid w:val="009E2714"/>
    <w:rsid w:val="009E44BA"/>
    <w:rsid w:val="009E4F6B"/>
    <w:rsid w:val="009E550B"/>
    <w:rsid w:val="009E5FB3"/>
    <w:rsid w:val="009E6484"/>
    <w:rsid w:val="009E7139"/>
    <w:rsid w:val="009E759B"/>
    <w:rsid w:val="009E7A51"/>
    <w:rsid w:val="009E7B62"/>
    <w:rsid w:val="009E7C76"/>
    <w:rsid w:val="009F00B2"/>
    <w:rsid w:val="009F03E9"/>
    <w:rsid w:val="009F051E"/>
    <w:rsid w:val="009F0D3E"/>
    <w:rsid w:val="009F1F6E"/>
    <w:rsid w:val="009F250D"/>
    <w:rsid w:val="009F255B"/>
    <w:rsid w:val="009F2D6F"/>
    <w:rsid w:val="009F3525"/>
    <w:rsid w:val="009F3C70"/>
    <w:rsid w:val="009F471B"/>
    <w:rsid w:val="009F4B96"/>
    <w:rsid w:val="009F4E3C"/>
    <w:rsid w:val="009F5B01"/>
    <w:rsid w:val="009F6D70"/>
    <w:rsid w:val="009F6F20"/>
    <w:rsid w:val="009F74AB"/>
    <w:rsid w:val="009F76EE"/>
    <w:rsid w:val="00A00088"/>
    <w:rsid w:val="00A0078F"/>
    <w:rsid w:val="00A009C0"/>
    <w:rsid w:val="00A01460"/>
    <w:rsid w:val="00A01551"/>
    <w:rsid w:val="00A01E08"/>
    <w:rsid w:val="00A022F3"/>
    <w:rsid w:val="00A02B45"/>
    <w:rsid w:val="00A030E8"/>
    <w:rsid w:val="00A05102"/>
    <w:rsid w:val="00A0646D"/>
    <w:rsid w:val="00A06851"/>
    <w:rsid w:val="00A06A36"/>
    <w:rsid w:val="00A06A78"/>
    <w:rsid w:val="00A07C63"/>
    <w:rsid w:val="00A126FC"/>
    <w:rsid w:val="00A12827"/>
    <w:rsid w:val="00A1360A"/>
    <w:rsid w:val="00A140E6"/>
    <w:rsid w:val="00A1416E"/>
    <w:rsid w:val="00A15102"/>
    <w:rsid w:val="00A15417"/>
    <w:rsid w:val="00A15572"/>
    <w:rsid w:val="00A164E8"/>
    <w:rsid w:val="00A16ADE"/>
    <w:rsid w:val="00A16D12"/>
    <w:rsid w:val="00A16F24"/>
    <w:rsid w:val="00A2183B"/>
    <w:rsid w:val="00A22F89"/>
    <w:rsid w:val="00A236D7"/>
    <w:rsid w:val="00A23E4D"/>
    <w:rsid w:val="00A23FAA"/>
    <w:rsid w:val="00A24C35"/>
    <w:rsid w:val="00A252F5"/>
    <w:rsid w:val="00A253AA"/>
    <w:rsid w:val="00A256D7"/>
    <w:rsid w:val="00A25CAE"/>
    <w:rsid w:val="00A260F7"/>
    <w:rsid w:val="00A26FE7"/>
    <w:rsid w:val="00A27C52"/>
    <w:rsid w:val="00A30D15"/>
    <w:rsid w:val="00A30FA2"/>
    <w:rsid w:val="00A316E2"/>
    <w:rsid w:val="00A31A38"/>
    <w:rsid w:val="00A324F8"/>
    <w:rsid w:val="00A364D9"/>
    <w:rsid w:val="00A36D83"/>
    <w:rsid w:val="00A36E7A"/>
    <w:rsid w:val="00A37119"/>
    <w:rsid w:val="00A3723E"/>
    <w:rsid w:val="00A37DDC"/>
    <w:rsid w:val="00A40842"/>
    <w:rsid w:val="00A4099B"/>
    <w:rsid w:val="00A409F9"/>
    <w:rsid w:val="00A40D21"/>
    <w:rsid w:val="00A4160A"/>
    <w:rsid w:val="00A41C16"/>
    <w:rsid w:val="00A42C00"/>
    <w:rsid w:val="00A42E82"/>
    <w:rsid w:val="00A4332E"/>
    <w:rsid w:val="00A45CE9"/>
    <w:rsid w:val="00A46413"/>
    <w:rsid w:val="00A47B14"/>
    <w:rsid w:val="00A47D33"/>
    <w:rsid w:val="00A47D8A"/>
    <w:rsid w:val="00A515B5"/>
    <w:rsid w:val="00A515C9"/>
    <w:rsid w:val="00A51E76"/>
    <w:rsid w:val="00A51F4F"/>
    <w:rsid w:val="00A52A46"/>
    <w:rsid w:val="00A52A84"/>
    <w:rsid w:val="00A52E90"/>
    <w:rsid w:val="00A53789"/>
    <w:rsid w:val="00A53C59"/>
    <w:rsid w:val="00A54A40"/>
    <w:rsid w:val="00A55CEA"/>
    <w:rsid w:val="00A56011"/>
    <w:rsid w:val="00A5734A"/>
    <w:rsid w:val="00A6067E"/>
    <w:rsid w:val="00A6093D"/>
    <w:rsid w:val="00A610B0"/>
    <w:rsid w:val="00A61F86"/>
    <w:rsid w:val="00A63451"/>
    <w:rsid w:val="00A63465"/>
    <w:rsid w:val="00A63C53"/>
    <w:rsid w:val="00A64BD4"/>
    <w:rsid w:val="00A64E86"/>
    <w:rsid w:val="00A650A5"/>
    <w:rsid w:val="00A65596"/>
    <w:rsid w:val="00A65AD9"/>
    <w:rsid w:val="00A66A0D"/>
    <w:rsid w:val="00A7012B"/>
    <w:rsid w:val="00A7035A"/>
    <w:rsid w:val="00A70AFE"/>
    <w:rsid w:val="00A7191E"/>
    <w:rsid w:val="00A723A3"/>
    <w:rsid w:val="00A7279E"/>
    <w:rsid w:val="00A739CA"/>
    <w:rsid w:val="00A73BE4"/>
    <w:rsid w:val="00A73CC2"/>
    <w:rsid w:val="00A74593"/>
    <w:rsid w:val="00A746B4"/>
    <w:rsid w:val="00A75170"/>
    <w:rsid w:val="00A755A1"/>
    <w:rsid w:val="00A75612"/>
    <w:rsid w:val="00A7629E"/>
    <w:rsid w:val="00A764E1"/>
    <w:rsid w:val="00A76B13"/>
    <w:rsid w:val="00A771DE"/>
    <w:rsid w:val="00A7727D"/>
    <w:rsid w:val="00A80377"/>
    <w:rsid w:val="00A831AA"/>
    <w:rsid w:val="00A834CA"/>
    <w:rsid w:val="00A84916"/>
    <w:rsid w:val="00A851F1"/>
    <w:rsid w:val="00A87BA3"/>
    <w:rsid w:val="00A902EF"/>
    <w:rsid w:val="00A90946"/>
    <w:rsid w:val="00A90994"/>
    <w:rsid w:val="00A90B80"/>
    <w:rsid w:val="00A90D51"/>
    <w:rsid w:val="00A90F11"/>
    <w:rsid w:val="00A911BE"/>
    <w:rsid w:val="00A91A45"/>
    <w:rsid w:val="00A92935"/>
    <w:rsid w:val="00A9293F"/>
    <w:rsid w:val="00A93FD9"/>
    <w:rsid w:val="00A942BB"/>
    <w:rsid w:val="00A94C61"/>
    <w:rsid w:val="00A95318"/>
    <w:rsid w:val="00A95B63"/>
    <w:rsid w:val="00A96123"/>
    <w:rsid w:val="00A9678C"/>
    <w:rsid w:val="00A96BCE"/>
    <w:rsid w:val="00A96C0B"/>
    <w:rsid w:val="00AA0887"/>
    <w:rsid w:val="00AA3890"/>
    <w:rsid w:val="00AA5197"/>
    <w:rsid w:val="00AA57C0"/>
    <w:rsid w:val="00AA7067"/>
    <w:rsid w:val="00AA75C0"/>
    <w:rsid w:val="00AB185B"/>
    <w:rsid w:val="00AB1EE7"/>
    <w:rsid w:val="00AB2974"/>
    <w:rsid w:val="00AB4764"/>
    <w:rsid w:val="00AB4CE0"/>
    <w:rsid w:val="00AB6663"/>
    <w:rsid w:val="00AB68F2"/>
    <w:rsid w:val="00AB70DE"/>
    <w:rsid w:val="00AB73CF"/>
    <w:rsid w:val="00AB756B"/>
    <w:rsid w:val="00AC04A9"/>
    <w:rsid w:val="00AC0AD7"/>
    <w:rsid w:val="00AC0B3E"/>
    <w:rsid w:val="00AC0C7C"/>
    <w:rsid w:val="00AC123B"/>
    <w:rsid w:val="00AC24E3"/>
    <w:rsid w:val="00AC30E5"/>
    <w:rsid w:val="00AC4B27"/>
    <w:rsid w:val="00AC4BE1"/>
    <w:rsid w:val="00AC5EB9"/>
    <w:rsid w:val="00AC5FCF"/>
    <w:rsid w:val="00AC6297"/>
    <w:rsid w:val="00AC73E9"/>
    <w:rsid w:val="00AC7CB1"/>
    <w:rsid w:val="00AD0DA2"/>
    <w:rsid w:val="00AD0E00"/>
    <w:rsid w:val="00AD1A52"/>
    <w:rsid w:val="00AD203C"/>
    <w:rsid w:val="00AD3E9C"/>
    <w:rsid w:val="00AD4F7F"/>
    <w:rsid w:val="00AD54F4"/>
    <w:rsid w:val="00AD5BAB"/>
    <w:rsid w:val="00AD6C4A"/>
    <w:rsid w:val="00AE0359"/>
    <w:rsid w:val="00AE0DCA"/>
    <w:rsid w:val="00AE203A"/>
    <w:rsid w:val="00AE21FF"/>
    <w:rsid w:val="00AE29C9"/>
    <w:rsid w:val="00AE3071"/>
    <w:rsid w:val="00AE31CF"/>
    <w:rsid w:val="00AE3A84"/>
    <w:rsid w:val="00AE3C6D"/>
    <w:rsid w:val="00AE3F1B"/>
    <w:rsid w:val="00AE4066"/>
    <w:rsid w:val="00AE4445"/>
    <w:rsid w:val="00AE44C5"/>
    <w:rsid w:val="00AE52D2"/>
    <w:rsid w:val="00AE6D5A"/>
    <w:rsid w:val="00AE7727"/>
    <w:rsid w:val="00AE7794"/>
    <w:rsid w:val="00AF19A5"/>
    <w:rsid w:val="00AF24D4"/>
    <w:rsid w:val="00AF2870"/>
    <w:rsid w:val="00AF35F0"/>
    <w:rsid w:val="00AF42B5"/>
    <w:rsid w:val="00AF42EB"/>
    <w:rsid w:val="00AF4FE6"/>
    <w:rsid w:val="00AF6276"/>
    <w:rsid w:val="00AF6BA8"/>
    <w:rsid w:val="00AF6F1A"/>
    <w:rsid w:val="00AF7F5C"/>
    <w:rsid w:val="00B00C95"/>
    <w:rsid w:val="00B0121F"/>
    <w:rsid w:val="00B02345"/>
    <w:rsid w:val="00B02F9C"/>
    <w:rsid w:val="00B030D2"/>
    <w:rsid w:val="00B030EF"/>
    <w:rsid w:val="00B04BCC"/>
    <w:rsid w:val="00B04FCB"/>
    <w:rsid w:val="00B051F4"/>
    <w:rsid w:val="00B0591A"/>
    <w:rsid w:val="00B05981"/>
    <w:rsid w:val="00B06198"/>
    <w:rsid w:val="00B107AC"/>
    <w:rsid w:val="00B12303"/>
    <w:rsid w:val="00B12EE8"/>
    <w:rsid w:val="00B132B6"/>
    <w:rsid w:val="00B146E9"/>
    <w:rsid w:val="00B14934"/>
    <w:rsid w:val="00B14B99"/>
    <w:rsid w:val="00B14F5D"/>
    <w:rsid w:val="00B1533A"/>
    <w:rsid w:val="00B15637"/>
    <w:rsid w:val="00B15B52"/>
    <w:rsid w:val="00B15E2F"/>
    <w:rsid w:val="00B16025"/>
    <w:rsid w:val="00B17393"/>
    <w:rsid w:val="00B20B91"/>
    <w:rsid w:val="00B21A19"/>
    <w:rsid w:val="00B21AEF"/>
    <w:rsid w:val="00B21B36"/>
    <w:rsid w:val="00B21BFB"/>
    <w:rsid w:val="00B21ECA"/>
    <w:rsid w:val="00B235DC"/>
    <w:rsid w:val="00B23EA9"/>
    <w:rsid w:val="00B24290"/>
    <w:rsid w:val="00B2469F"/>
    <w:rsid w:val="00B246AA"/>
    <w:rsid w:val="00B2478C"/>
    <w:rsid w:val="00B2497D"/>
    <w:rsid w:val="00B24EBD"/>
    <w:rsid w:val="00B2525E"/>
    <w:rsid w:val="00B25AE0"/>
    <w:rsid w:val="00B25C80"/>
    <w:rsid w:val="00B26D05"/>
    <w:rsid w:val="00B26D10"/>
    <w:rsid w:val="00B27C59"/>
    <w:rsid w:val="00B30ED7"/>
    <w:rsid w:val="00B310B2"/>
    <w:rsid w:val="00B314BA"/>
    <w:rsid w:val="00B32DB6"/>
    <w:rsid w:val="00B34403"/>
    <w:rsid w:val="00B408D0"/>
    <w:rsid w:val="00B4237E"/>
    <w:rsid w:val="00B42968"/>
    <w:rsid w:val="00B42BB3"/>
    <w:rsid w:val="00B43C6D"/>
    <w:rsid w:val="00B44267"/>
    <w:rsid w:val="00B44384"/>
    <w:rsid w:val="00B44CBB"/>
    <w:rsid w:val="00B45651"/>
    <w:rsid w:val="00B462D0"/>
    <w:rsid w:val="00B4639F"/>
    <w:rsid w:val="00B468B6"/>
    <w:rsid w:val="00B46A4C"/>
    <w:rsid w:val="00B475FE"/>
    <w:rsid w:val="00B47C52"/>
    <w:rsid w:val="00B50042"/>
    <w:rsid w:val="00B5112E"/>
    <w:rsid w:val="00B51967"/>
    <w:rsid w:val="00B51A0B"/>
    <w:rsid w:val="00B524F8"/>
    <w:rsid w:val="00B54500"/>
    <w:rsid w:val="00B5472B"/>
    <w:rsid w:val="00B54B0C"/>
    <w:rsid w:val="00B557E4"/>
    <w:rsid w:val="00B55ABE"/>
    <w:rsid w:val="00B55AD5"/>
    <w:rsid w:val="00B567A0"/>
    <w:rsid w:val="00B567AA"/>
    <w:rsid w:val="00B5728B"/>
    <w:rsid w:val="00B57321"/>
    <w:rsid w:val="00B57AAA"/>
    <w:rsid w:val="00B57D59"/>
    <w:rsid w:val="00B61835"/>
    <w:rsid w:val="00B61EA8"/>
    <w:rsid w:val="00B62DEC"/>
    <w:rsid w:val="00B62E6D"/>
    <w:rsid w:val="00B64F85"/>
    <w:rsid w:val="00B650B0"/>
    <w:rsid w:val="00B663C6"/>
    <w:rsid w:val="00B663D4"/>
    <w:rsid w:val="00B6698F"/>
    <w:rsid w:val="00B70950"/>
    <w:rsid w:val="00B70BEB"/>
    <w:rsid w:val="00B71894"/>
    <w:rsid w:val="00B7268D"/>
    <w:rsid w:val="00B72744"/>
    <w:rsid w:val="00B72E53"/>
    <w:rsid w:val="00B72ED7"/>
    <w:rsid w:val="00B7408D"/>
    <w:rsid w:val="00B741D0"/>
    <w:rsid w:val="00B75083"/>
    <w:rsid w:val="00B76327"/>
    <w:rsid w:val="00B76927"/>
    <w:rsid w:val="00B76CED"/>
    <w:rsid w:val="00B76F6A"/>
    <w:rsid w:val="00B77511"/>
    <w:rsid w:val="00B77FA7"/>
    <w:rsid w:val="00B8034C"/>
    <w:rsid w:val="00B80526"/>
    <w:rsid w:val="00B81040"/>
    <w:rsid w:val="00B81303"/>
    <w:rsid w:val="00B81CDA"/>
    <w:rsid w:val="00B8270F"/>
    <w:rsid w:val="00B832EB"/>
    <w:rsid w:val="00B840F8"/>
    <w:rsid w:val="00B84933"/>
    <w:rsid w:val="00B85996"/>
    <w:rsid w:val="00B87395"/>
    <w:rsid w:val="00B87FED"/>
    <w:rsid w:val="00B910D6"/>
    <w:rsid w:val="00B923A6"/>
    <w:rsid w:val="00B93139"/>
    <w:rsid w:val="00B94520"/>
    <w:rsid w:val="00B94B56"/>
    <w:rsid w:val="00B95047"/>
    <w:rsid w:val="00B965D2"/>
    <w:rsid w:val="00B966AA"/>
    <w:rsid w:val="00B969BA"/>
    <w:rsid w:val="00B96D23"/>
    <w:rsid w:val="00B96F7B"/>
    <w:rsid w:val="00B97230"/>
    <w:rsid w:val="00B97EE5"/>
    <w:rsid w:val="00BA2183"/>
    <w:rsid w:val="00BA322F"/>
    <w:rsid w:val="00BA32B5"/>
    <w:rsid w:val="00BA544A"/>
    <w:rsid w:val="00BA56DA"/>
    <w:rsid w:val="00BA65DD"/>
    <w:rsid w:val="00BA6C3F"/>
    <w:rsid w:val="00BA70E0"/>
    <w:rsid w:val="00BB0051"/>
    <w:rsid w:val="00BB0068"/>
    <w:rsid w:val="00BB0A84"/>
    <w:rsid w:val="00BB123A"/>
    <w:rsid w:val="00BB14D5"/>
    <w:rsid w:val="00BB1E74"/>
    <w:rsid w:val="00BB228A"/>
    <w:rsid w:val="00BB3112"/>
    <w:rsid w:val="00BB349E"/>
    <w:rsid w:val="00BB370B"/>
    <w:rsid w:val="00BB382C"/>
    <w:rsid w:val="00BB398D"/>
    <w:rsid w:val="00BB45EA"/>
    <w:rsid w:val="00BB512D"/>
    <w:rsid w:val="00BB5335"/>
    <w:rsid w:val="00BB6CE7"/>
    <w:rsid w:val="00BB6FF8"/>
    <w:rsid w:val="00BB7126"/>
    <w:rsid w:val="00BB7396"/>
    <w:rsid w:val="00BB75D7"/>
    <w:rsid w:val="00BC04D4"/>
    <w:rsid w:val="00BC0991"/>
    <w:rsid w:val="00BC15F5"/>
    <w:rsid w:val="00BC2F60"/>
    <w:rsid w:val="00BC3D62"/>
    <w:rsid w:val="00BC413D"/>
    <w:rsid w:val="00BC55E7"/>
    <w:rsid w:val="00BC5A7A"/>
    <w:rsid w:val="00BC651E"/>
    <w:rsid w:val="00BC661A"/>
    <w:rsid w:val="00BC674D"/>
    <w:rsid w:val="00BC693D"/>
    <w:rsid w:val="00BC6B0D"/>
    <w:rsid w:val="00BC7025"/>
    <w:rsid w:val="00BC73CD"/>
    <w:rsid w:val="00BD0A0F"/>
    <w:rsid w:val="00BD0E8A"/>
    <w:rsid w:val="00BD23D0"/>
    <w:rsid w:val="00BD2E29"/>
    <w:rsid w:val="00BD377B"/>
    <w:rsid w:val="00BD443A"/>
    <w:rsid w:val="00BD544E"/>
    <w:rsid w:val="00BD5C8A"/>
    <w:rsid w:val="00BD5D65"/>
    <w:rsid w:val="00BD623E"/>
    <w:rsid w:val="00BD7A68"/>
    <w:rsid w:val="00BD7D46"/>
    <w:rsid w:val="00BD7D90"/>
    <w:rsid w:val="00BE0AE8"/>
    <w:rsid w:val="00BE1141"/>
    <w:rsid w:val="00BE1ECE"/>
    <w:rsid w:val="00BE26C3"/>
    <w:rsid w:val="00BE4520"/>
    <w:rsid w:val="00BE45BB"/>
    <w:rsid w:val="00BE4C33"/>
    <w:rsid w:val="00BE5775"/>
    <w:rsid w:val="00BE6280"/>
    <w:rsid w:val="00BE7493"/>
    <w:rsid w:val="00BE7E72"/>
    <w:rsid w:val="00BF0E80"/>
    <w:rsid w:val="00BF0FA8"/>
    <w:rsid w:val="00BF224B"/>
    <w:rsid w:val="00BF3356"/>
    <w:rsid w:val="00BF3663"/>
    <w:rsid w:val="00BF3860"/>
    <w:rsid w:val="00BF4B29"/>
    <w:rsid w:val="00BF52E1"/>
    <w:rsid w:val="00BF57B7"/>
    <w:rsid w:val="00BF640E"/>
    <w:rsid w:val="00BF641F"/>
    <w:rsid w:val="00BF675D"/>
    <w:rsid w:val="00BF6971"/>
    <w:rsid w:val="00BF6BEF"/>
    <w:rsid w:val="00BF6F87"/>
    <w:rsid w:val="00BF7BDB"/>
    <w:rsid w:val="00C00261"/>
    <w:rsid w:val="00C01707"/>
    <w:rsid w:val="00C021BB"/>
    <w:rsid w:val="00C023C3"/>
    <w:rsid w:val="00C02470"/>
    <w:rsid w:val="00C030F8"/>
    <w:rsid w:val="00C03C28"/>
    <w:rsid w:val="00C04529"/>
    <w:rsid w:val="00C04A28"/>
    <w:rsid w:val="00C04EEE"/>
    <w:rsid w:val="00C05B83"/>
    <w:rsid w:val="00C0603A"/>
    <w:rsid w:val="00C061B6"/>
    <w:rsid w:val="00C07046"/>
    <w:rsid w:val="00C079AA"/>
    <w:rsid w:val="00C07FDD"/>
    <w:rsid w:val="00C10562"/>
    <w:rsid w:val="00C10842"/>
    <w:rsid w:val="00C10873"/>
    <w:rsid w:val="00C11EE8"/>
    <w:rsid w:val="00C12263"/>
    <w:rsid w:val="00C135B3"/>
    <w:rsid w:val="00C13C0C"/>
    <w:rsid w:val="00C14906"/>
    <w:rsid w:val="00C150D6"/>
    <w:rsid w:val="00C15504"/>
    <w:rsid w:val="00C202BE"/>
    <w:rsid w:val="00C2108E"/>
    <w:rsid w:val="00C21DCB"/>
    <w:rsid w:val="00C21E19"/>
    <w:rsid w:val="00C21E89"/>
    <w:rsid w:val="00C21FD7"/>
    <w:rsid w:val="00C226C4"/>
    <w:rsid w:val="00C23979"/>
    <w:rsid w:val="00C26996"/>
    <w:rsid w:val="00C2727F"/>
    <w:rsid w:val="00C30389"/>
    <w:rsid w:val="00C308C1"/>
    <w:rsid w:val="00C30CB9"/>
    <w:rsid w:val="00C30D00"/>
    <w:rsid w:val="00C310B8"/>
    <w:rsid w:val="00C31697"/>
    <w:rsid w:val="00C31CAF"/>
    <w:rsid w:val="00C3456A"/>
    <w:rsid w:val="00C347F8"/>
    <w:rsid w:val="00C34B5A"/>
    <w:rsid w:val="00C34C10"/>
    <w:rsid w:val="00C351F8"/>
    <w:rsid w:val="00C35695"/>
    <w:rsid w:val="00C3696C"/>
    <w:rsid w:val="00C37164"/>
    <w:rsid w:val="00C37917"/>
    <w:rsid w:val="00C37951"/>
    <w:rsid w:val="00C37D64"/>
    <w:rsid w:val="00C37DAD"/>
    <w:rsid w:val="00C417A5"/>
    <w:rsid w:val="00C421C4"/>
    <w:rsid w:val="00C429D6"/>
    <w:rsid w:val="00C444B3"/>
    <w:rsid w:val="00C44A37"/>
    <w:rsid w:val="00C44A94"/>
    <w:rsid w:val="00C44AAC"/>
    <w:rsid w:val="00C44F0F"/>
    <w:rsid w:val="00C45302"/>
    <w:rsid w:val="00C46F68"/>
    <w:rsid w:val="00C476A4"/>
    <w:rsid w:val="00C477AC"/>
    <w:rsid w:val="00C479C4"/>
    <w:rsid w:val="00C47E0F"/>
    <w:rsid w:val="00C519BD"/>
    <w:rsid w:val="00C519C8"/>
    <w:rsid w:val="00C522C2"/>
    <w:rsid w:val="00C534F0"/>
    <w:rsid w:val="00C5388D"/>
    <w:rsid w:val="00C541A8"/>
    <w:rsid w:val="00C56A0C"/>
    <w:rsid w:val="00C626F5"/>
    <w:rsid w:val="00C627EA"/>
    <w:rsid w:val="00C628FD"/>
    <w:rsid w:val="00C62CE6"/>
    <w:rsid w:val="00C62E45"/>
    <w:rsid w:val="00C62F78"/>
    <w:rsid w:val="00C63A93"/>
    <w:rsid w:val="00C642A8"/>
    <w:rsid w:val="00C6431E"/>
    <w:rsid w:val="00C64DFB"/>
    <w:rsid w:val="00C6576B"/>
    <w:rsid w:val="00C66110"/>
    <w:rsid w:val="00C701E2"/>
    <w:rsid w:val="00C707E6"/>
    <w:rsid w:val="00C70EB1"/>
    <w:rsid w:val="00C72B7C"/>
    <w:rsid w:val="00C73372"/>
    <w:rsid w:val="00C7351F"/>
    <w:rsid w:val="00C738DE"/>
    <w:rsid w:val="00C73AD3"/>
    <w:rsid w:val="00C73D08"/>
    <w:rsid w:val="00C74430"/>
    <w:rsid w:val="00C74662"/>
    <w:rsid w:val="00C751DD"/>
    <w:rsid w:val="00C75C40"/>
    <w:rsid w:val="00C75C61"/>
    <w:rsid w:val="00C75FA0"/>
    <w:rsid w:val="00C76480"/>
    <w:rsid w:val="00C76732"/>
    <w:rsid w:val="00C77B64"/>
    <w:rsid w:val="00C80AED"/>
    <w:rsid w:val="00C813A7"/>
    <w:rsid w:val="00C82183"/>
    <w:rsid w:val="00C822E4"/>
    <w:rsid w:val="00C8318A"/>
    <w:rsid w:val="00C83B2B"/>
    <w:rsid w:val="00C846C4"/>
    <w:rsid w:val="00C878A3"/>
    <w:rsid w:val="00C879EE"/>
    <w:rsid w:val="00C90557"/>
    <w:rsid w:val="00C91FD1"/>
    <w:rsid w:val="00C925B3"/>
    <w:rsid w:val="00C92BC8"/>
    <w:rsid w:val="00C94BE5"/>
    <w:rsid w:val="00C9518E"/>
    <w:rsid w:val="00C957CB"/>
    <w:rsid w:val="00C960CA"/>
    <w:rsid w:val="00C9694E"/>
    <w:rsid w:val="00C96F48"/>
    <w:rsid w:val="00C97546"/>
    <w:rsid w:val="00C978BC"/>
    <w:rsid w:val="00C97CE8"/>
    <w:rsid w:val="00C97E26"/>
    <w:rsid w:val="00CA03F4"/>
    <w:rsid w:val="00CA05F2"/>
    <w:rsid w:val="00CA0999"/>
    <w:rsid w:val="00CA1270"/>
    <w:rsid w:val="00CA1A5D"/>
    <w:rsid w:val="00CA2B77"/>
    <w:rsid w:val="00CA2F6E"/>
    <w:rsid w:val="00CA3AB2"/>
    <w:rsid w:val="00CA3F44"/>
    <w:rsid w:val="00CA4151"/>
    <w:rsid w:val="00CA590C"/>
    <w:rsid w:val="00CA7C68"/>
    <w:rsid w:val="00CB0414"/>
    <w:rsid w:val="00CB1249"/>
    <w:rsid w:val="00CB1B09"/>
    <w:rsid w:val="00CB1DAA"/>
    <w:rsid w:val="00CB2496"/>
    <w:rsid w:val="00CB2CC3"/>
    <w:rsid w:val="00CB32EB"/>
    <w:rsid w:val="00CB3318"/>
    <w:rsid w:val="00CB35C7"/>
    <w:rsid w:val="00CB3A6A"/>
    <w:rsid w:val="00CB4EA0"/>
    <w:rsid w:val="00CB4F09"/>
    <w:rsid w:val="00CB59E0"/>
    <w:rsid w:val="00CB61F5"/>
    <w:rsid w:val="00CB710A"/>
    <w:rsid w:val="00CB76D1"/>
    <w:rsid w:val="00CB795C"/>
    <w:rsid w:val="00CB7EBF"/>
    <w:rsid w:val="00CC0A90"/>
    <w:rsid w:val="00CC0C1B"/>
    <w:rsid w:val="00CC19E6"/>
    <w:rsid w:val="00CC2517"/>
    <w:rsid w:val="00CC2605"/>
    <w:rsid w:val="00CC27D1"/>
    <w:rsid w:val="00CC3442"/>
    <w:rsid w:val="00CC3828"/>
    <w:rsid w:val="00CC4970"/>
    <w:rsid w:val="00CC56F5"/>
    <w:rsid w:val="00CC5EAF"/>
    <w:rsid w:val="00CC6763"/>
    <w:rsid w:val="00CD0A86"/>
    <w:rsid w:val="00CD114B"/>
    <w:rsid w:val="00CD2852"/>
    <w:rsid w:val="00CD34E9"/>
    <w:rsid w:val="00CD3684"/>
    <w:rsid w:val="00CE0C3C"/>
    <w:rsid w:val="00CE0E52"/>
    <w:rsid w:val="00CE12DD"/>
    <w:rsid w:val="00CE16EE"/>
    <w:rsid w:val="00CE274B"/>
    <w:rsid w:val="00CE39A0"/>
    <w:rsid w:val="00CE400E"/>
    <w:rsid w:val="00CE474F"/>
    <w:rsid w:val="00CE4EC3"/>
    <w:rsid w:val="00CE532A"/>
    <w:rsid w:val="00CE5872"/>
    <w:rsid w:val="00CE673B"/>
    <w:rsid w:val="00CE7FEB"/>
    <w:rsid w:val="00CF0B05"/>
    <w:rsid w:val="00CF0B0F"/>
    <w:rsid w:val="00CF1113"/>
    <w:rsid w:val="00CF13B1"/>
    <w:rsid w:val="00CF1716"/>
    <w:rsid w:val="00CF237D"/>
    <w:rsid w:val="00CF2D47"/>
    <w:rsid w:val="00CF2E63"/>
    <w:rsid w:val="00CF2E76"/>
    <w:rsid w:val="00CF3293"/>
    <w:rsid w:val="00CF3BF7"/>
    <w:rsid w:val="00CF3D51"/>
    <w:rsid w:val="00CF4D6A"/>
    <w:rsid w:val="00CF5072"/>
    <w:rsid w:val="00CF5768"/>
    <w:rsid w:val="00CF59AC"/>
    <w:rsid w:val="00CF68DC"/>
    <w:rsid w:val="00D0174C"/>
    <w:rsid w:val="00D0230F"/>
    <w:rsid w:val="00D02C10"/>
    <w:rsid w:val="00D03381"/>
    <w:rsid w:val="00D036E6"/>
    <w:rsid w:val="00D03863"/>
    <w:rsid w:val="00D04FCB"/>
    <w:rsid w:val="00D06E10"/>
    <w:rsid w:val="00D07D9B"/>
    <w:rsid w:val="00D10ABE"/>
    <w:rsid w:val="00D12A5F"/>
    <w:rsid w:val="00D14871"/>
    <w:rsid w:val="00D149E8"/>
    <w:rsid w:val="00D152DC"/>
    <w:rsid w:val="00D153FD"/>
    <w:rsid w:val="00D1571B"/>
    <w:rsid w:val="00D15CD5"/>
    <w:rsid w:val="00D162A4"/>
    <w:rsid w:val="00D172C5"/>
    <w:rsid w:val="00D17815"/>
    <w:rsid w:val="00D21B10"/>
    <w:rsid w:val="00D22238"/>
    <w:rsid w:val="00D225AE"/>
    <w:rsid w:val="00D22DD3"/>
    <w:rsid w:val="00D2459A"/>
    <w:rsid w:val="00D25522"/>
    <w:rsid w:val="00D258C9"/>
    <w:rsid w:val="00D25D1C"/>
    <w:rsid w:val="00D2604E"/>
    <w:rsid w:val="00D268DD"/>
    <w:rsid w:val="00D2725C"/>
    <w:rsid w:val="00D27489"/>
    <w:rsid w:val="00D27799"/>
    <w:rsid w:val="00D318EC"/>
    <w:rsid w:val="00D3190C"/>
    <w:rsid w:val="00D33079"/>
    <w:rsid w:val="00D33AEC"/>
    <w:rsid w:val="00D34CF7"/>
    <w:rsid w:val="00D34F4C"/>
    <w:rsid w:val="00D3580F"/>
    <w:rsid w:val="00D35F71"/>
    <w:rsid w:val="00D36F4F"/>
    <w:rsid w:val="00D374F1"/>
    <w:rsid w:val="00D37612"/>
    <w:rsid w:val="00D37EBE"/>
    <w:rsid w:val="00D416AB"/>
    <w:rsid w:val="00D4176D"/>
    <w:rsid w:val="00D427AC"/>
    <w:rsid w:val="00D42F43"/>
    <w:rsid w:val="00D43792"/>
    <w:rsid w:val="00D43BCB"/>
    <w:rsid w:val="00D45552"/>
    <w:rsid w:val="00D47DA1"/>
    <w:rsid w:val="00D5066B"/>
    <w:rsid w:val="00D50F70"/>
    <w:rsid w:val="00D511FE"/>
    <w:rsid w:val="00D51260"/>
    <w:rsid w:val="00D51584"/>
    <w:rsid w:val="00D51D0C"/>
    <w:rsid w:val="00D527CE"/>
    <w:rsid w:val="00D531BE"/>
    <w:rsid w:val="00D53F84"/>
    <w:rsid w:val="00D5420E"/>
    <w:rsid w:val="00D545BE"/>
    <w:rsid w:val="00D55277"/>
    <w:rsid w:val="00D55520"/>
    <w:rsid w:val="00D5564B"/>
    <w:rsid w:val="00D55907"/>
    <w:rsid w:val="00D55EC6"/>
    <w:rsid w:val="00D57700"/>
    <w:rsid w:val="00D60B6F"/>
    <w:rsid w:val="00D60D7C"/>
    <w:rsid w:val="00D61197"/>
    <w:rsid w:val="00D61A4D"/>
    <w:rsid w:val="00D61E7B"/>
    <w:rsid w:val="00D62452"/>
    <w:rsid w:val="00D63653"/>
    <w:rsid w:val="00D63C25"/>
    <w:rsid w:val="00D64014"/>
    <w:rsid w:val="00D6433A"/>
    <w:rsid w:val="00D64B45"/>
    <w:rsid w:val="00D64E8A"/>
    <w:rsid w:val="00D654FE"/>
    <w:rsid w:val="00D70027"/>
    <w:rsid w:val="00D704D2"/>
    <w:rsid w:val="00D70A7F"/>
    <w:rsid w:val="00D71D57"/>
    <w:rsid w:val="00D720C9"/>
    <w:rsid w:val="00D7226C"/>
    <w:rsid w:val="00D7292C"/>
    <w:rsid w:val="00D72E18"/>
    <w:rsid w:val="00D7376E"/>
    <w:rsid w:val="00D73AFC"/>
    <w:rsid w:val="00D73BD8"/>
    <w:rsid w:val="00D73F20"/>
    <w:rsid w:val="00D747A8"/>
    <w:rsid w:val="00D764A1"/>
    <w:rsid w:val="00D769E5"/>
    <w:rsid w:val="00D76B96"/>
    <w:rsid w:val="00D80BED"/>
    <w:rsid w:val="00D80D01"/>
    <w:rsid w:val="00D80DDB"/>
    <w:rsid w:val="00D80FB9"/>
    <w:rsid w:val="00D811BD"/>
    <w:rsid w:val="00D81275"/>
    <w:rsid w:val="00D818C3"/>
    <w:rsid w:val="00D81BD9"/>
    <w:rsid w:val="00D83E6E"/>
    <w:rsid w:val="00D84B11"/>
    <w:rsid w:val="00D85DE8"/>
    <w:rsid w:val="00D866D9"/>
    <w:rsid w:val="00D86F02"/>
    <w:rsid w:val="00D8720A"/>
    <w:rsid w:val="00D8778B"/>
    <w:rsid w:val="00D87B1B"/>
    <w:rsid w:val="00D87D50"/>
    <w:rsid w:val="00D90C5E"/>
    <w:rsid w:val="00D91A35"/>
    <w:rsid w:val="00D92FB2"/>
    <w:rsid w:val="00D94EE6"/>
    <w:rsid w:val="00D970D1"/>
    <w:rsid w:val="00D97C16"/>
    <w:rsid w:val="00DA02F5"/>
    <w:rsid w:val="00DA0C56"/>
    <w:rsid w:val="00DA0DB6"/>
    <w:rsid w:val="00DA0DFE"/>
    <w:rsid w:val="00DA0ED0"/>
    <w:rsid w:val="00DA1887"/>
    <w:rsid w:val="00DA2CFB"/>
    <w:rsid w:val="00DA3043"/>
    <w:rsid w:val="00DA3A96"/>
    <w:rsid w:val="00DA3B8E"/>
    <w:rsid w:val="00DA4757"/>
    <w:rsid w:val="00DA4C1D"/>
    <w:rsid w:val="00DA57E4"/>
    <w:rsid w:val="00DA5A09"/>
    <w:rsid w:val="00DA5F81"/>
    <w:rsid w:val="00DA684E"/>
    <w:rsid w:val="00DB0BF5"/>
    <w:rsid w:val="00DB0D6D"/>
    <w:rsid w:val="00DB10F6"/>
    <w:rsid w:val="00DB17AB"/>
    <w:rsid w:val="00DB24EE"/>
    <w:rsid w:val="00DB2962"/>
    <w:rsid w:val="00DB2EB9"/>
    <w:rsid w:val="00DB3280"/>
    <w:rsid w:val="00DB3845"/>
    <w:rsid w:val="00DB3E43"/>
    <w:rsid w:val="00DB5F24"/>
    <w:rsid w:val="00DB6A8D"/>
    <w:rsid w:val="00DB71E8"/>
    <w:rsid w:val="00DB75F1"/>
    <w:rsid w:val="00DC0058"/>
    <w:rsid w:val="00DC06B9"/>
    <w:rsid w:val="00DC084F"/>
    <w:rsid w:val="00DC0B33"/>
    <w:rsid w:val="00DC14AB"/>
    <w:rsid w:val="00DC371E"/>
    <w:rsid w:val="00DC38F0"/>
    <w:rsid w:val="00DC5491"/>
    <w:rsid w:val="00DD0140"/>
    <w:rsid w:val="00DD0578"/>
    <w:rsid w:val="00DD0BF7"/>
    <w:rsid w:val="00DD1CFC"/>
    <w:rsid w:val="00DD1E3D"/>
    <w:rsid w:val="00DD2738"/>
    <w:rsid w:val="00DD343D"/>
    <w:rsid w:val="00DD5F6C"/>
    <w:rsid w:val="00DD60F0"/>
    <w:rsid w:val="00DD6243"/>
    <w:rsid w:val="00DD6982"/>
    <w:rsid w:val="00DD6D96"/>
    <w:rsid w:val="00DD6DB5"/>
    <w:rsid w:val="00DE003C"/>
    <w:rsid w:val="00DE072D"/>
    <w:rsid w:val="00DE3096"/>
    <w:rsid w:val="00DE345D"/>
    <w:rsid w:val="00DE3C28"/>
    <w:rsid w:val="00DE45F0"/>
    <w:rsid w:val="00DE4DAF"/>
    <w:rsid w:val="00DE5790"/>
    <w:rsid w:val="00DE5D1A"/>
    <w:rsid w:val="00DE5EFA"/>
    <w:rsid w:val="00DE665D"/>
    <w:rsid w:val="00DE6B91"/>
    <w:rsid w:val="00DE6C44"/>
    <w:rsid w:val="00DE7BF6"/>
    <w:rsid w:val="00DF0AB4"/>
    <w:rsid w:val="00DF0DD4"/>
    <w:rsid w:val="00DF1D73"/>
    <w:rsid w:val="00DF1F07"/>
    <w:rsid w:val="00DF2200"/>
    <w:rsid w:val="00DF3AE4"/>
    <w:rsid w:val="00DF3EE4"/>
    <w:rsid w:val="00DF4519"/>
    <w:rsid w:val="00DF53CF"/>
    <w:rsid w:val="00DF5A1F"/>
    <w:rsid w:val="00DF5BF8"/>
    <w:rsid w:val="00DF69CC"/>
    <w:rsid w:val="00DF72B3"/>
    <w:rsid w:val="00DF7D46"/>
    <w:rsid w:val="00DF7DC0"/>
    <w:rsid w:val="00E00D66"/>
    <w:rsid w:val="00E01151"/>
    <w:rsid w:val="00E020AC"/>
    <w:rsid w:val="00E02BFD"/>
    <w:rsid w:val="00E03330"/>
    <w:rsid w:val="00E03854"/>
    <w:rsid w:val="00E05B9B"/>
    <w:rsid w:val="00E066A2"/>
    <w:rsid w:val="00E06902"/>
    <w:rsid w:val="00E07BBF"/>
    <w:rsid w:val="00E10DD0"/>
    <w:rsid w:val="00E11F7C"/>
    <w:rsid w:val="00E12378"/>
    <w:rsid w:val="00E1280A"/>
    <w:rsid w:val="00E12EA2"/>
    <w:rsid w:val="00E14125"/>
    <w:rsid w:val="00E151A0"/>
    <w:rsid w:val="00E158EB"/>
    <w:rsid w:val="00E15EC4"/>
    <w:rsid w:val="00E16F73"/>
    <w:rsid w:val="00E1733D"/>
    <w:rsid w:val="00E1744F"/>
    <w:rsid w:val="00E2028C"/>
    <w:rsid w:val="00E207E5"/>
    <w:rsid w:val="00E210B4"/>
    <w:rsid w:val="00E212F5"/>
    <w:rsid w:val="00E21F4E"/>
    <w:rsid w:val="00E21F8E"/>
    <w:rsid w:val="00E232D9"/>
    <w:rsid w:val="00E23A4A"/>
    <w:rsid w:val="00E246A1"/>
    <w:rsid w:val="00E2477E"/>
    <w:rsid w:val="00E24F5A"/>
    <w:rsid w:val="00E255FE"/>
    <w:rsid w:val="00E26D05"/>
    <w:rsid w:val="00E26ECF"/>
    <w:rsid w:val="00E274A4"/>
    <w:rsid w:val="00E275C3"/>
    <w:rsid w:val="00E2768D"/>
    <w:rsid w:val="00E27C9C"/>
    <w:rsid w:val="00E304CB"/>
    <w:rsid w:val="00E30C05"/>
    <w:rsid w:val="00E30E76"/>
    <w:rsid w:val="00E31130"/>
    <w:rsid w:val="00E31933"/>
    <w:rsid w:val="00E31CC7"/>
    <w:rsid w:val="00E320AD"/>
    <w:rsid w:val="00E326AD"/>
    <w:rsid w:val="00E339E5"/>
    <w:rsid w:val="00E34455"/>
    <w:rsid w:val="00E345E5"/>
    <w:rsid w:val="00E35AA2"/>
    <w:rsid w:val="00E367AF"/>
    <w:rsid w:val="00E36E86"/>
    <w:rsid w:val="00E37E8B"/>
    <w:rsid w:val="00E40208"/>
    <w:rsid w:val="00E40C7D"/>
    <w:rsid w:val="00E41516"/>
    <w:rsid w:val="00E43489"/>
    <w:rsid w:val="00E446EA"/>
    <w:rsid w:val="00E4485A"/>
    <w:rsid w:val="00E452E4"/>
    <w:rsid w:val="00E45313"/>
    <w:rsid w:val="00E462DE"/>
    <w:rsid w:val="00E47028"/>
    <w:rsid w:val="00E471C3"/>
    <w:rsid w:val="00E47323"/>
    <w:rsid w:val="00E50420"/>
    <w:rsid w:val="00E51769"/>
    <w:rsid w:val="00E522FB"/>
    <w:rsid w:val="00E5237C"/>
    <w:rsid w:val="00E5285E"/>
    <w:rsid w:val="00E52A3F"/>
    <w:rsid w:val="00E52B42"/>
    <w:rsid w:val="00E52EE5"/>
    <w:rsid w:val="00E52FA2"/>
    <w:rsid w:val="00E535D1"/>
    <w:rsid w:val="00E53AEF"/>
    <w:rsid w:val="00E53E9F"/>
    <w:rsid w:val="00E551A9"/>
    <w:rsid w:val="00E5530B"/>
    <w:rsid w:val="00E558E7"/>
    <w:rsid w:val="00E55A94"/>
    <w:rsid w:val="00E560CF"/>
    <w:rsid w:val="00E56AFC"/>
    <w:rsid w:val="00E570E7"/>
    <w:rsid w:val="00E57527"/>
    <w:rsid w:val="00E57555"/>
    <w:rsid w:val="00E60019"/>
    <w:rsid w:val="00E613A7"/>
    <w:rsid w:val="00E634E5"/>
    <w:rsid w:val="00E655C5"/>
    <w:rsid w:val="00E65E19"/>
    <w:rsid w:val="00E65FEA"/>
    <w:rsid w:val="00E673D5"/>
    <w:rsid w:val="00E6789B"/>
    <w:rsid w:val="00E67A9D"/>
    <w:rsid w:val="00E67F3F"/>
    <w:rsid w:val="00E706FC"/>
    <w:rsid w:val="00E71CDF"/>
    <w:rsid w:val="00E71FA0"/>
    <w:rsid w:val="00E72433"/>
    <w:rsid w:val="00E73544"/>
    <w:rsid w:val="00E74E40"/>
    <w:rsid w:val="00E757C4"/>
    <w:rsid w:val="00E760F6"/>
    <w:rsid w:val="00E76B62"/>
    <w:rsid w:val="00E76FB2"/>
    <w:rsid w:val="00E77413"/>
    <w:rsid w:val="00E775BD"/>
    <w:rsid w:val="00E778AC"/>
    <w:rsid w:val="00E77A6A"/>
    <w:rsid w:val="00E8148D"/>
    <w:rsid w:val="00E83A83"/>
    <w:rsid w:val="00E84151"/>
    <w:rsid w:val="00E84167"/>
    <w:rsid w:val="00E8422F"/>
    <w:rsid w:val="00E8452F"/>
    <w:rsid w:val="00E84FD6"/>
    <w:rsid w:val="00E85FA4"/>
    <w:rsid w:val="00E85FF1"/>
    <w:rsid w:val="00E866A8"/>
    <w:rsid w:val="00E86C3F"/>
    <w:rsid w:val="00E87929"/>
    <w:rsid w:val="00E87DDE"/>
    <w:rsid w:val="00E913D5"/>
    <w:rsid w:val="00E91545"/>
    <w:rsid w:val="00E91765"/>
    <w:rsid w:val="00E92678"/>
    <w:rsid w:val="00E9317A"/>
    <w:rsid w:val="00E93F80"/>
    <w:rsid w:val="00E95451"/>
    <w:rsid w:val="00E969C4"/>
    <w:rsid w:val="00E96FE8"/>
    <w:rsid w:val="00E9744E"/>
    <w:rsid w:val="00E9774E"/>
    <w:rsid w:val="00EA0B89"/>
    <w:rsid w:val="00EA0D3A"/>
    <w:rsid w:val="00EA0D3C"/>
    <w:rsid w:val="00EA1772"/>
    <w:rsid w:val="00EA1FB7"/>
    <w:rsid w:val="00EA2529"/>
    <w:rsid w:val="00EA2B1F"/>
    <w:rsid w:val="00EA30BC"/>
    <w:rsid w:val="00EA3C01"/>
    <w:rsid w:val="00EA3D06"/>
    <w:rsid w:val="00EA40C8"/>
    <w:rsid w:val="00EA4D29"/>
    <w:rsid w:val="00EA4DA0"/>
    <w:rsid w:val="00EA5768"/>
    <w:rsid w:val="00EA59F1"/>
    <w:rsid w:val="00EA7061"/>
    <w:rsid w:val="00EB0927"/>
    <w:rsid w:val="00EB1C0D"/>
    <w:rsid w:val="00EB1FBA"/>
    <w:rsid w:val="00EB2240"/>
    <w:rsid w:val="00EB26D5"/>
    <w:rsid w:val="00EB2955"/>
    <w:rsid w:val="00EB2B6A"/>
    <w:rsid w:val="00EB38B5"/>
    <w:rsid w:val="00EB3A05"/>
    <w:rsid w:val="00EB465D"/>
    <w:rsid w:val="00EB48FB"/>
    <w:rsid w:val="00EB50E2"/>
    <w:rsid w:val="00EB546A"/>
    <w:rsid w:val="00EB54A0"/>
    <w:rsid w:val="00EB6273"/>
    <w:rsid w:val="00EB697E"/>
    <w:rsid w:val="00EB6FE8"/>
    <w:rsid w:val="00EB7264"/>
    <w:rsid w:val="00EB755F"/>
    <w:rsid w:val="00EC204D"/>
    <w:rsid w:val="00EC248D"/>
    <w:rsid w:val="00EC26E5"/>
    <w:rsid w:val="00EC3D13"/>
    <w:rsid w:val="00EC4195"/>
    <w:rsid w:val="00EC4730"/>
    <w:rsid w:val="00EC4A6C"/>
    <w:rsid w:val="00EC521D"/>
    <w:rsid w:val="00EC57AA"/>
    <w:rsid w:val="00EC5F99"/>
    <w:rsid w:val="00EC602A"/>
    <w:rsid w:val="00EC6F5D"/>
    <w:rsid w:val="00EC7242"/>
    <w:rsid w:val="00EC7FB6"/>
    <w:rsid w:val="00ED0CC2"/>
    <w:rsid w:val="00ED0D6D"/>
    <w:rsid w:val="00ED0F23"/>
    <w:rsid w:val="00ED1385"/>
    <w:rsid w:val="00ED183E"/>
    <w:rsid w:val="00ED1C11"/>
    <w:rsid w:val="00ED1D50"/>
    <w:rsid w:val="00ED322B"/>
    <w:rsid w:val="00ED323F"/>
    <w:rsid w:val="00ED3382"/>
    <w:rsid w:val="00ED397C"/>
    <w:rsid w:val="00ED4906"/>
    <w:rsid w:val="00ED52B8"/>
    <w:rsid w:val="00ED586F"/>
    <w:rsid w:val="00ED5B05"/>
    <w:rsid w:val="00ED60BC"/>
    <w:rsid w:val="00ED69CE"/>
    <w:rsid w:val="00ED727D"/>
    <w:rsid w:val="00EE04B2"/>
    <w:rsid w:val="00EE08AE"/>
    <w:rsid w:val="00EE1BB7"/>
    <w:rsid w:val="00EE2608"/>
    <w:rsid w:val="00EE28B7"/>
    <w:rsid w:val="00EE6142"/>
    <w:rsid w:val="00EE625E"/>
    <w:rsid w:val="00EE7E65"/>
    <w:rsid w:val="00EF0476"/>
    <w:rsid w:val="00EF0700"/>
    <w:rsid w:val="00EF0CF8"/>
    <w:rsid w:val="00EF0E00"/>
    <w:rsid w:val="00EF149A"/>
    <w:rsid w:val="00EF1AF0"/>
    <w:rsid w:val="00EF5AF7"/>
    <w:rsid w:val="00EF657C"/>
    <w:rsid w:val="00EF6BDE"/>
    <w:rsid w:val="00EF7018"/>
    <w:rsid w:val="00EF79A3"/>
    <w:rsid w:val="00EF7DD2"/>
    <w:rsid w:val="00F0118B"/>
    <w:rsid w:val="00F02116"/>
    <w:rsid w:val="00F03CEF"/>
    <w:rsid w:val="00F044B3"/>
    <w:rsid w:val="00F045A3"/>
    <w:rsid w:val="00F04865"/>
    <w:rsid w:val="00F050F4"/>
    <w:rsid w:val="00F06B17"/>
    <w:rsid w:val="00F071EC"/>
    <w:rsid w:val="00F079D8"/>
    <w:rsid w:val="00F07E46"/>
    <w:rsid w:val="00F07EB5"/>
    <w:rsid w:val="00F103E7"/>
    <w:rsid w:val="00F107BC"/>
    <w:rsid w:val="00F1096A"/>
    <w:rsid w:val="00F1111C"/>
    <w:rsid w:val="00F11344"/>
    <w:rsid w:val="00F12575"/>
    <w:rsid w:val="00F1297D"/>
    <w:rsid w:val="00F13057"/>
    <w:rsid w:val="00F14735"/>
    <w:rsid w:val="00F15F2E"/>
    <w:rsid w:val="00F1606E"/>
    <w:rsid w:val="00F165C5"/>
    <w:rsid w:val="00F16A4B"/>
    <w:rsid w:val="00F210C3"/>
    <w:rsid w:val="00F212BB"/>
    <w:rsid w:val="00F223A6"/>
    <w:rsid w:val="00F23093"/>
    <w:rsid w:val="00F235AD"/>
    <w:rsid w:val="00F24022"/>
    <w:rsid w:val="00F24577"/>
    <w:rsid w:val="00F24D6B"/>
    <w:rsid w:val="00F2522E"/>
    <w:rsid w:val="00F25D3B"/>
    <w:rsid w:val="00F26FB8"/>
    <w:rsid w:val="00F2702B"/>
    <w:rsid w:val="00F27085"/>
    <w:rsid w:val="00F317C5"/>
    <w:rsid w:val="00F31E4D"/>
    <w:rsid w:val="00F3255F"/>
    <w:rsid w:val="00F33444"/>
    <w:rsid w:val="00F33AD3"/>
    <w:rsid w:val="00F34116"/>
    <w:rsid w:val="00F3558E"/>
    <w:rsid w:val="00F3592F"/>
    <w:rsid w:val="00F37544"/>
    <w:rsid w:val="00F402B6"/>
    <w:rsid w:val="00F40350"/>
    <w:rsid w:val="00F40FA6"/>
    <w:rsid w:val="00F411A5"/>
    <w:rsid w:val="00F42413"/>
    <w:rsid w:val="00F42D9F"/>
    <w:rsid w:val="00F43145"/>
    <w:rsid w:val="00F43D01"/>
    <w:rsid w:val="00F44619"/>
    <w:rsid w:val="00F44A2C"/>
    <w:rsid w:val="00F44E52"/>
    <w:rsid w:val="00F44E7F"/>
    <w:rsid w:val="00F45F02"/>
    <w:rsid w:val="00F46186"/>
    <w:rsid w:val="00F46363"/>
    <w:rsid w:val="00F51AC0"/>
    <w:rsid w:val="00F525EF"/>
    <w:rsid w:val="00F5266D"/>
    <w:rsid w:val="00F53306"/>
    <w:rsid w:val="00F53E2D"/>
    <w:rsid w:val="00F54319"/>
    <w:rsid w:val="00F54586"/>
    <w:rsid w:val="00F54E41"/>
    <w:rsid w:val="00F54FD7"/>
    <w:rsid w:val="00F5555F"/>
    <w:rsid w:val="00F55992"/>
    <w:rsid w:val="00F55FF6"/>
    <w:rsid w:val="00F5609E"/>
    <w:rsid w:val="00F562DB"/>
    <w:rsid w:val="00F56795"/>
    <w:rsid w:val="00F5737D"/>
    <w:rsid w:val="00F57859"/>
    <w:rsid w:val="00F61B7B"/>
    <w:rsid w:val="00F638A3"/>
    <w:rsid w:val="00F63A6C"/>
    <w:rsid w:val="00F63C90"/>
    <w:rsid w:val="00F64A3C"/>
    <w:rsid w:val="00F652BE"/>
    <w:rsid w:val="00F66E89"/>
    <w:rsid w:val="00F67678"/>
    <w:rsid w:val="00F67C34"/>
    <w:rsid w:val="00F67E6A"/>
    <w:rsid w:val="00F708DC"/>
    <w:rsid w:val="00F70DFC"/>
    <w:rsid w:val="00F7122C"/>
    <w:rsid w:val="00F71405"/>
    <w:rsid w:val="00F71712"/>
    <w:rsid w:val="00F71C9F"/>
    <w:rsid w:val="00F72078"/>
    <w:rsid w:val="00F72863"/>
    <w:rsid w:val="00F72B04"/>
    <w:rsid w:val="00F739EC"/>
    <w:rsid w:val="00F73ED4"/>
    <w:rsid w:val="00F7517A"/>
    <w:rsid w:val="00F76BFF"/>
    <w:rsid w:val="00F77289"/>
    <w:rsid w:val="00F779A3"/>
    <w:rsid w:val="00F80858"/>
    <w:rsid w:val="00F818FE"/>
    <w:rsid w:val="00F81D0B"/>
    <w:rsid w:val="00F8387A"/>
    <w:rsid w:val="00F843E1"/>
    <w:rsid w:val="00F84B4E"/>
    <w:rsid w:val="00F857BC"/>
    <w:rsid w:val="00F85AF6"/>
    <w:rsid w:val="00F86360"/>
    <w:rsid w:val="00F872AD"/>
    <w:rsid w:val="00F87CAE"/>
    <w:rsid w:val="00F908FD"/>
    <w:rsid w:val="00F91322"/>
    <w:rsid w:val="00F913A9"/>
    <w:rsid w:val="00F9533A"/>
    <w:rsid w:val="00F96185"/>
    <w:rsid w:val="00F96BAD"/>
    <w:rsid w:val="00F9784A"/>
    <w:rsid w:val="00F97A34"/>
    <w:rsid w:val="00F97F7A"/>
    <w:rsid w:val="00FA1BB5"/>
    <w:rsid w:val="00FA2EEF"/>
    <w:rsid w:val="00FA33CB"/>
    <w:rsid w:val="00FA3415"/>
    <w:rsid w:val="00FA37C6"/>
    <w:rsid w:val="00FA478F"/>
    <w:rsid w:val="00FA4B8B"/>
    <w:rsid w:val="00FA6383"/>
    <w:rsid w:val="00FA708A"/>
    <w:rsid w:val="00FA723C"/>
    <w:rsid w:val="00FA7566"/>
    <w:rsid w:val="00FB0316"/>
    <w:rsid w:val="00FB07B3"/>
    <w:rsid w:val="00FB1D2A"/>
    <w:rsid w:val="00FB1F94"/>
    <w:rsid w:val="00FB204E"/>
    <w:rsid w:val="00FB2394"/>
    <w:rsid w:val="00FB2BE1"/>
    <w:rsid w:val="00FB34DB"/>
    <w:rsid w:val="00FB3B4A"/>
    <w:rsid w:val="00FB3F60"/>
    <w:rsid w:val="00FB4165"/>
    <w:rsid w:val="00FB4195"/>
    <w:rsid w:val="00FB55A8"/>
    <w:rsid w:val="00FB55FD"/>
    <w:rsid w:val="00FB5FB7"/>
    <w:rsid w:val="00FB6C57"/>
    <w:rsid w:val="00FB6FEE"/>
    <w:rsid w:val="00FB762D"/>
    <w:rsid w:val="00FB7EEA"/>
    <w:rsid w:val="00FC02AC"/>
    <w:rsid w:val="00FC07ED"/>
    <w:rsid w:val="00FC0A2F"/>
    <w:rsid w:val="00FC0CBE"/>
    <w:rsid w:val="00FC3836"/>
    <w:rsid w:val="00FC3E90"/>
    <w:rsid w:val="00FC42C7"/>
    <w:rsid w:val="00FC43E3"/>
    <w:rsid w:val="00FC4944"/>
    <w:rsid w:val="00FC5271"/>
    <w:rsid w:val="00FC5390"/>
    <w:rsid w:val="00FC6705"/>
    <w:rsid w:val="00FC716A"/>
    <w:rsid w:val="00FC7793"/>
    <w:rsid w:val="00FD0226"/>
    <w:rsid w:val="00FD06A9"/>
    <w:rsid w:val="00FD169A"/>
    <w:rsid w:val="00FD2034"/>
    <w:rsid w:val="00FD3495"/>
    <w:rsid w:val="00FD36AA"/>
    <w:rsid w:val="00FD3B2D"/>
    <w:rsid w:val="00FD3BD3"/>
    <w:rsid w:val="00FD62D3"/>
    <w:rsid w:val="00FD6A05"/>
    <w:rsid w:val="00FD6B1D"/>
    <w:rsid w:val="00FD73EC"/>
    <w:rsid w:val="00FD7829"/>
    <w:rsid w:val="00FD7F81"/>
    <w:rsid w:val="00FE081F"/>
    <w:rsid w:val="00FE0BF3"/>
    <w:rsid w:val="00FE0CE3"/>
    <w:rsid w:val="00FE17C7"/>
    <w:rsid w:val="00FE1A9F"/>
    <w:rsid w:val="00FE27C1"/>
    <w:rsid w:val="00FE2AC0"/>
    <w:rsid w:val="00FE3963"/>
    <w:rsid w:val="00FE3B37"/>
    <w:rsid w:val="00FE3C38"/>
    <w:rsid w:val="00FE458A"/>
    <w:rsid w:val="00FE4FBC"/>
    <w:rsid w:val="00FE58CD"/>
    <w:rsid w:val="00FE5C11"/>
    <w:rsid w:val="00FE6629"/>
    <w:rsid w:val="00FE6AA8"/>
    <w:rsid w:val="00FE6CB4"/>
    <w:rsid w:val="00FE712B"/>
    <w:rsid w:val="00FF012F"/>
    <w:rsid w:val="00FF1534"/>
    <w:rsid w:val="00FF1FB5"/>
    <w:rsid w:val="00FF46E0"/>
    <w:rsid w:val="00FF75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88A4"/>
  <w15:docId w15:val="{D927273E-CEAF-4412-854E-B7409EA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8D352A"/>
    <w:pPr>
      <w:spacing w:after="0" w:line="240" w:lineRule="auto"/>
      <w:jc w:val="center"/>
    </w:pPr>
    <w:rPr>
      <w:rFonts w:ascii="Times New Roman" w:eastAsia="Times New Roman" w:hAnsi="Times New Roman" w:cs="Times New Roman"/>
      <w:b/>
      <w:bCs/>
      <w:sz w:val="24"/>
      <w:szCs w:val="24"/>
      <w:lang w:val="en-US"/>
    </w:rPr>
  </w:style>
  <w:style w:type="paragraph" w:customStyle="1" w:styleId="Normal1">
    <w:name w:val="Normal1"/>
    <w:basedOn w:val="Normal"/>
    <w:rsid w:val="000D76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f">
    <w:name w:val="lf"/>
    <w:basedOn w:val="Normal"/>
    <w:uiPriority w:val="99"/>
    <w:rsid w:val="00EC26E5"/>
    <w:pPr>
      <w:spacing w:after="0" w:line="240" w:lineRule="auto"/>
    </w:pPr>
    <w:rPr>
      <w:rFonts w:ascii="Times New Roman" w:eastAsia="Times New Roman" w:hAnsi="Times New Roman" w:cs="Times New Roman"/>
      <w:sz w:val="24"/>
      <w:szCs w:val="24"/>
      <w:lang w:eastAsia="ru-RU"/>
    </w:rPr>
  </w:style>
  <w:style w:type="character" w:customStyle="1" w:styleId="MeniuneNerezolvat1">
    <w:name w:val="Mențiune Nerezolvat1"/>
    <w:basedOn w:val="DefaultParagraphFont"/>
    <w:uiPriority w:val="99"/>
    <w:semiHidden/>
    <w:unhideWhenUsed/>
    <w:rsid w:val="00F34116"/>
    <w:rPr>
      <w:color w:val="605E5C"/>
      <w:shd w:val="clear" w:color="auto" w:fill="E1DFDD"/>
    </w:rPr>
  </w:style>
  <w:style w:type="character" w:customStyle="1" w:styleId="UnresolvedMention">
    <w:name w:val="Unresolved Mention"/>
    <w:basedOn w:val="DefaultParagraphFont"/>
    <w:uiPriority w:val="99"/>
    <w:semiHidden/>
    <w:unhideWhenUsed/>
    <w:rsid w:val="000B3A95"/>
    <w:rPr>
      <w:color w:val="605E5C"/>
      <w:shd w:val="clear" w:color="auto" w:fill="E1DFDD"/>
    </w:rPr>
  </w:style>
  <w:style w:type="character" w:styleId="Strong">
    <w:name w:val="Strong"/>
    <w:basedOn w:val="DefaultParagraphFont"/>
    <w:uiPriority w:val="22"/>
    <w:qFormat/>
    <w:rsid w:val="003C4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274">
      <w:bodyDiv w:val="1"/>
      <w:marLeft w:val="0"/>
      <w:marRight w:val="0"/>
      <w:marTop w:val="0"/>
      <w:marBottom w:val="0"/>
      <w:divBdr>
        <w:top w:val="none" w:sz="0" w:space="0" w:color="auto"/>
        <w:left w:val="none" w:sz="0" w:space="0" w:color="auto"/>
        <w:bottom w:val="none" w:sz="0" w:space="0" w:color="auto"/>
        <w:right w:val="none" w:sz="0" w:space="0" w:color="auto"/>
      </w:divBdr>
    </w:div>
    <w:div w:id="53743555">
      <w:bodyDiv w:val="1"/>
      <w:marLeft w:val="0"/>
      <w:marRight w:val="0"/>
      <w:marTop w:val="0"/>
      <w:marBottom w:val="0"/>
      <w:divBdr>
        <w:top w:val="none" w:sz="0" w:space="0" w:color="auto"/>
        <w:left w:val="none" w:sz="0" w:space="0" w:color="auto"/>
        <w:bottom w:val="none" w:sz="0" w:space="0" w:color="auto"/>
        <w:right w:val="none" w:sz="0" w:space="0" w:color="auto"/>
      </w:divBdr>
    </w:div>
    <w:div w:id="55514497">
      <w:bodyDiv w:val="1"/>
      <w:marLeft w:val="0"/>
      <w:marRight w:val="0"/>
      <w:marTop w:val="0"/>
      <w:marBottom w:val="0"/>
      <w:divBdr>
        <w:top w:val="none" w:sz="0" w:space="0" w:color="auto"/>
        <w:left w:val="none" w:sz="0" w:space="0" w:color="auto"/>
        <w:bottom w:val="none" w:sz="0" w:space="0" w:color="auto"/>
        <w:right w:val="none" w:sz="0" w:space="0" w:color="auto"/>
      </w:divBdr>
    </w:div>
    <w:div w:id="112864128">
      <w:bodyDiv w:val="1"/>
      <w:marLeft w:val="0"/>
      <w:marRight w:val="0"/>
      <w:marTop w:val="0"/>
      <w:marBottom w:val="0"/>
      <w:divBdr>
        <w:top w:val="none" w:sz="0" w:space="0" w:color="auto"/>
        <w:left w:val="none" w:sz="0" w:space="0" w:color="auto"/>
        <w:bottom w:val="none" w:sz="0" w:space="0" w:color="auto"/>
        <w:right w:val="none" w:sz="0" w:space="0" w:color="auto"/>
      </w:divBdr>
    </w:div>
    <w:div w:id="261840615">
      <w:bodyDiv w:val="1"/>
      <w:marLeft w:val="0"/>
      <w:marRight w:val="0"/>
      <w:marTop w:val="0"/>
      <w:marBottom w:val="0"/>
      <w:divBdr>
        <w:top w:val="none" w:sz="0" w:space="0" w:color="auto"/>
        <w:left w:val="none" w:sz="0" w:space="0" w:color="auto"/>
        <w:bottom w:val="none" w:sz="0" w:space="0" w:color="auto"/>
        <w:right w:val="none" w:sz="0" w:space="0" w:color="auto"/>
      </w:divBdr>
    </w:div>
    <w:div w:id="295796680">
      <w:bodyDiv w:val="1"/>
      <w:marLeft w:val="0"/>
      <w:marRight w:val="0"/>
      <w:marTop w:val="0"/>
      <w:marBottom w:val="0"/>
      <w:divBdr>
        <w:top w:val="none" w:sz="0" w:space="0" w:color="auto"/>
        <w:left w:val="none" w:sz="0" w:space="0" w:color="auto"/>
        <w:bottom w:val="none" w:sz="0" w:space="0" w:color="auto"/>
        <w:right w:val="none" w:sz="0" w:space="0" w:color="auto"/>
      </w:divBdr>
    </w:div>
    <w:div w:id="348458189">
      <w:bodyDiv w:val="1"/>
      <w:marLeft w:val="0"/>
      <w:marRight w:val="0"/>
      <w:marTop w:val="0"/>
      <w:marBottom w:val="0"/>
      <w:divBdr>
        <w:top w:val="none" w:sz="0" w:space="0" w:color="auto"/>
        <w:left w:val="none" w:sz="0" w:space="0" w:color="auto"/>
        <w:bottom w:val="none" w:sz="0" w:space="0" w:color="auto"/>
        <w:right w:val="none" w:sz="0" w:space="0" w:color="auto"/>
      </w:divBdr>
    </w:div>
    <w:div w:id="351691513">
      <w:bodyDiv w:val="1"/>
      <w:marLeft w:val="0"/>
      <w:marRight w:val="0"/>
      <w:marTop w:val="0"/>
      <w:marBottom w:val="0"/>
      <w:divBdr>
        <w:top w:val="none" w:sz="0" w:space="0" w:color="auto"/>
        <w:left w:val="none" w:sz="0" w:space="0" w:color="auto"/>
        <w:bottom w:val="none" w:sz="0" w:space="0" w:color="auto"/>
        <w:right w:val="none" w:sz="0" w:space="0" w:color="auto"/>
      </w:divBdr>
    </w:div>
    <w:div w:id="366830142">
      <w:bodyDiv w:val="1"/>
      <w:marLeft w:val="0"/>
      <w:marRight w:val="0"/>
      <w:marTop w:val="0"/>
      <w:marBottom w:val="0"/>
      <w:divBdr>
        <w:top w:val="none" w:sz="0" w:space="0" w:color="auto"/>
        <w:left w:val="none" w:sz="0" w:space="0" w:color="auto"/>
        <w:bottom w:val="none" w:sz="0" w:space="0" w:color="auto"/>
        <w:right w:val="none" w:sz="0" w:space="0" w:color="auto"/>
      </w:divBdr>
    </w:div>
    <w:div w:id="415708492">
      <w:bodyDiv w:val="1"/>
      <w:marLeft w:val="0"/>
      <w:marRight w:val="0"/>
      <w:marTop w:val="0"/>
      <w:marBottom w:val="0"/>
      <w:divBdr>
        <w:top w:val="none" w:sz="0" w:space="0" w:color="auto"/>
        <w:left w:val="none" w:sz="0" w:space="0" w:color="auto"/>
        <w:bottom w:val="none" w:sz="0" w:space="0" w:color="auto"/>
        <w:right w:val="none" w:sz="0" w:space="0" w:color="auto"/>
      </w:divBdr>
    </w:div>
    <w:div w:id="473762223">
      <w:bodyDiv w:val="1"/>
      <w:marLeft w:val="0"/>
      <w:marRight w:val="0"/>
      <w:marTop w:val="0"/>
      <w:marBottom w:val="0"/>
      <w:divBdr>
        <w:top w:val="none" w:sz="0" w:space="0" w:color="auto"/>
        <w:left w:val="none" w:sz="0" w:space="0" w:color="auto"/>
        <w:bottom w:val="none" w:sz="0" w:space="0" w:color="auto"/>
        <w:right w:val="none" w:sz="0" w:space="0" w:color="auto"/>
      </w:divBdr>
    </w:div>
    <w:div w:id="559175642">
      <w:bodyDiv w:val="1"/>
      <w:marLeft w:val="0"/>
      <w:marRight w:val="0"/>
      <w:marTop w:val="0"/>
      <w:marBottom w:val="0"/>
      <w:divBdr>
        <w:top w:val="none" w:sz="0" w:space="0" w:color="auto"/>
        <w:left w:val="none" w:sz="0" w:space="0" w:color="auto"/>
        <w:bottom w:val="none" w:sz="0" w:space="0" w:color="auto"/>
        <w:right w:val="none" w:sz="0" w:space="0" w:color="auto"/>
      </w:divBdr>
    </w:div>
    <w:div w:id="655888525">
      <w:bodyDiv w:val="1"/>
      <w:marLeft w:val="0"/>
      <w:marRight w:val="0"/>
      <w:marTop w:val="0"/>
      <w:marBottom w:val="0"/>
      <w:divBdr>
        <w:top w:val="none" w:sz="0" w:space="0" w:color="auto"/>
        <w:left w:val="none" w:sz="0" w:space="0" w:color="auto"/>
        <w:bottom w:val="none" w:sz="0" w:space="0" w:color="auto"/>
        <w:right w:val="none" w:sz="0" w:space="0" w:color="auto"/>
      </w:divBdr>
    </w:div>
    <w:div w:id="669018931">
      <w:bodyDiv w:val="1"/>
      <w:marLeft w:val="0"/>
      <w:marRight w:val="0"/>
      <w:marTop w:val="0"/>
      <w:marBottom w:val="0"/>
      <w:divBdr>
        <w:top w:val="none" w:sz="0" w:space="0" w:color="auto"/>
        <w:left w:val="none" w:sz="0" w:space="0" w:color="auto"/>
        <w:bottom w:val="none" w:sz="0" w:space="0" w:color="auto"/>
        <w:right w:val="none" w:sz="0" w:space="0" w:color="auto"/>
      </w:divBdr>
    </w:div>
    <w:div w:id="722410103">
      <w:bodyDiv w:val="1"/>
      <w:marLeft w:val="0"/>
      <w:marRight w:val="0"/>
      <w:marTop w:val="0"/>
      <w:marBottom w:val="0"/>
      <w:divBdr>
        <w:top w:val="none" w:sz="0" w:space="0" w:color="auto"/>
        <w:left w:val="none" w:sz="0" w:space="0" w:color="auto"/>
        <w:bottom w:val="none" w:sz="0" w:space="0" w:color="auto"/>
        <w:right w:val="none" w:sz="0" w:space="0" w:color="auto"/>
      </w:divBdr>
    </w:div>
    <w:div w:id="756446039">
      <w:bodyDiv w:val="1"/>
      <w:marLeft w:val="0"/>
      <w:marRight w:val="0"/>
      <w:marTop w:val="0"/>
      <w:marBottom w:val="0"/>
      <w:divBdr>
        <w:top w:val="none" w:sz="0" w:space="0" w:color="auto"/>
        <w:left w:val="none" w:sz="0" w:space="0" w:color="auto"/>
        <w:bottom w:val="none" w:sz="0" w:space="0" w:color="auto"/>
        <w:right w:val="none" w:sz="0" w:space="0" w:color="auto"/>
      </w:divBdr>
    </w:div>
    <w:div w:id="1008556523">
      <w:bodyDiv w:val="1"/>
      <w:marLeft w:val="0"/>
      <w:marRight w:val="0"/>
      <w:marTop w:val="0"/>
      <w:marBottom w:val="0"/>
      <w:divBdr>
        <w:top w:val="none" w:sz="0" w:space="0" w:color="auto"/>
        <w:left w:val="none" w:sz="0" w:space="0" w:color="auto"/>
        <w:bottom w:val="none" w:sz="0" w:space="0" w:color="auto"/>
        <w:right w:val="none" w:sz="0" w:space="0" w:color="auto"/>
      </w:divBdr>
    </w:div>
    <w:div w:id="1057824868">
      <w:bodyDiv w:val="1"/>
      <w:marLeft w:val="0"/>
      <w:marRight w:val="0"/>
      <w:marTop w:val="0"/>
      <w:marBottom w:val="0"/>
      <w:divBdr>
        <w:top w:val="none" w:sz="0" w:space="0" w:color="auto"/>
        <w:left w:val="none" w:sz="0" w:space="0" w:color="auto"/>
        <w:bottom w:val="none" w:sz="0" w:space="0" w:color="auto"/>
        <w:right w:val="none" w:sz="0" w:space="0" w:color="auto"/>
      </w:divBdr>
    </w:div>
    <w:div w:id="1131678914">
      <w:bodyDiv w:val="1"/>
      <w:marLeft w:val="0"/>
      <w:marRight w:val="0"/>
      <w:marTop w:val="0"/>
      <w:marBottom w:val="0"/>
      <w:divBdr>
        <w:top w:val="none" w:sz="0" w:space="0" w:color="auto"/>
        <w:left w:val="none" w:sz="0" w:space="0" w:color="auto"/>
        <w:bottom w:val="none" w:sz="0" w:space="0" w:color="auto"/>
        <w:right w:val="none" w:sz="0" w:space="0" w:color="auto"/>
      </w:divBdr>
    </w:div>
    <w:div w:id="1218129593">
      <w:bodyDiv w:val="1"/>
      <w:marLeft w:val="0"/>
      <w:marRight w:val="0"/>
      <w:marTop w:val="0"/>
      <w:marBottom w:val="0"/>
      <w:divBdr>
        <w:top w:val="none" w:sz="0" w:space="0" w:color="auto"/>
        <w:left w:val="none" w:sz="0" w:space="0" w:color="auto"/>
        <w:bottom w:val="none" w:sz="0" w:space="0" w:color="auto"/>
        <w:right w:val="none" w:sz="0" w:space="0" w:color="auto"/>
      </w:divBdr>
    </w:div>
    <w:div w:id="1258518763">
      <w:bodyDiv w:val="1"/>
      <w:marLeft w:val="0"/>
      <w:marRight w:val="0"/>
      <w:marTop w:val="0"/>
      <w:marBottom w:val="0"/>
      <w:divBdr>
        <w:top w:val="none" w:sz="0" w:space="0" w:color="auto"/>
        <w:left w:val="none" w:sz="0" w:space="0" w:color="auto"/>
        <w:bottom w:val="none" w:sz="0" w:space="0" w:color="auto"/>
        <w:right w:val="none" w:sz="0" w:space="0" w:color="auto"/>
      </w:divBdr>
    </w:div>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1304041992">
      <w:bodyDiv w:val="1"/>
      <w:marLeft w:val="0"/>
      <w:marRight w:val="0"/>
      <w:marTop w:val="0"/>
      <w:marBottom w:val="0"/>
      <w:divBdr>
        <w:top w:val="none" w:sz="0" w:space="0" w:color="auto"/>
        <w:left w:val="none" w:sz="0" w:space="0" w:color="auto"/>
        <w:bottom w:val="none" w:sz="0" w:space="0" w:color="auto"/>
        <w:right w:val="none" w:sz="0" w:space="0" w:color="auto"/>
      </w:divBdr>
    </w:div>
    <w:div w:id="1347756518">
      <w:bodyDiv w:val="1"/>
      <w:marLeft w:val="0"/>
      <w:marRight w:val="0"/>
      <w:marTop w:val="0"/>
      <w:marBottom w:val="0"/>
      <w:divBdr>
        <w:top w:val="none" w:sz="0" w:space="0" w:color="auto"/>
        <w:left w:val="none" w:sz="0" w:space="0" w:color="auto"/>
        <w:bottom w:val="none" w:sz="0" w:space="0" w:color="auto"/>
        <w:right w:val="none" w:sz="0" w:space="0" w:color="auto"/>
      </w:divBdr>
    </w:div>
    <w:div w:id="1353993566">
      <w:bodyDiv w:val="1"/>
      <w:marLeft w:val="0"/>
      <w:marRight w:val="0"/>
      <w:marTop w:val="0"/>
      <w:marBottom w:val="0"/>
      <w:divBdr>
        <w:top w:val="none" w:sz="0" w:space="0" w:color="auto"/>
        <w:left w:val="none" w:sz="0" w:space="0" w:color="auto"/>
        <w:bottom w:val="none" w:sz="0" w:space="0" w:color="auto"/>
        <w:right w:val="none" w:sz="0" w:space="0" w:color="auto"/>
      </w:divBdr>
    </w:div>
    <w:div w:id="1463038277">
      <w:bodyDiv w:val="1"/>
      <w:marLeft w:val="0"/>
      <w:marRight w:val="0"/>
      <w:marTop w:val="0"/>
      <w:marBottom w:val="0"/>
      <w:divBdr>
        <w:top w:val="none" w:sz="0" w:space="0" w:color="auto"/>
        <w:left w:val="none" w:sz="0" w:space="0" w:color="auto"/>
        <w:bottom w:val="none" w:sz="0" w:space="0" w:color="auto"/>
        <w:right w:val="none" w:sz="0" w:space="0" w:color="auto"/>
      </w:divBdr>
    </w:div>
    <w:div w:id="1505197910">
      <w:bodyDiv w:val="1"/>
      <w:marLeft w:val="0"/>
      <w:marRight w:val="0"/>
      <w:marTop w:val="0"/>
      <w:marBottom w:val="0"/>
      <w:divBdr>
        <w:top w:val="none" w:sz="0" w:space="0" w:color="auto"/>
        <w:left w:val="none" w:sz="0" w:space="0" w:color="auto"/>
        <w:bottom w:val="none" w:sz="0" w:space="0" w:color="auto"/>
        <w:right w:val="none" w:sz="0" w:space="0" w:color="auto"/>
      </w:divBdr>
    </w:div>
    <w:div w:id="1599756669">
      <w:bodyDiv w:val="1"/>
      <w:marLeft w:val="0"/>
      <w:marRight w:val="0"/>
      <w:marTop w:val="0"/>
      <w:marBottom w:val="0"/>
      <w:divBdr>
        <w:top w:val="none" w:sz="0" w:space="0" w:color="auto"/>
        <w:left w:val="none" w:sz="0" w:space="0" w:color="auto"/>
        <w:bottom w:val="none" w:sz="0" w:space="0" w:color="auto"/>
        <w:right w:val="none" w:sz="0" w:space="0" w:color="auto"/>
      </w:divBdr>
    </w:div>
    <w:div w:id="1661233323">
      <w:bodyDiv w:val="1"/>
      <w:marLeft w:val="0"/>
      <w:marRight w:val="0"/>
      <w:marTop w:val="0"/>
      <w:marBottom w:val="0"/>
      <w:divBdr>
        <w:top w:val="none" w:sz="0" w:space="0" w:color="auto"/>
        <w:left w:val="none" w:sz="0" w:space="0" w:color="auto"/>
        <w:bottom w:val="none" w:sz="0" w:space="0" w:color="auto"/>
        <w:right w:val="none" w:sz="0" w:space="0" w:color="auto"/>
      </w:divBdr>
    </w:div>
    <w:div w:id="1666202498">
      <w:bodyDiv w:val="1"/>
      <w:marLeft w:val="0"/>
      <w:marRight w:val="0"/>
      <w:marTop w:val="0"/>
      <w:marBottom w:val="0"/>
      <w:divBdr>
        <w:top w:val="none" w:sz="0" w:space="0" w:color="auto"/>
        <w:left w:val="none" w:sz="0" w:space="0" w:color="auto"/>
        <w:bottom w:val="none" w:sz="0" w:space="0" w:color="auto"/>
        <w:right w:val="none" w:sz="0" w:space="0" w:color="auto"/>
      </w:divBdr>
    </w:div>
    <w:div w:id="1696803676">
      <w:bodyDiv w:val="1"/>
      <w:marLeft w:val="0"/>
      <w:marRight w:val="0"/>
      <w:marTop w:val="0"/>
      <w:marBottom w:val="0"/>
      <w:divBdr>
        <w:top w:val="none" w:sz="0" w:space="0" w:color="auto"/>
        <w:left w:val="none" w:sz="0" w:space="0" w:color="auto"/>
        <w:bottom w:val="none" w:sz="0" w:space="0" w:color="auto"/>
        <w:right w:val="none" w:sz="0" w:space="0" w:color="auto"/>
      </w:divBdr>
    </w:div>
    <w:div w:id="1696884659">
      <w:bodyDiv w:val="1"/>
      <w:marLeft w:val="0"/>
      <w:marRight w:val="0"/>
      <w:marTop w:val="0"/>
      <w:marBottom w:val="0"/>
      <w:divBdr>
        <w:top w:val="none" w:sz="0" w:space="0" w:color="auto"/>
        <w:left w:val="none" w:sz="0" w:space="0" w:color="auto"/>
        <w:bottom w:val="none" w:sz="0" w:space="0" w:color="auto"/>
        <w:right w:val="none" w:sz="0" w:space="0" w:color="auto"/>
      </w:divBdr>
    </w:div>
    <w:div w:id="1716003509">
      <w:bodyDiv w:val="1"/>
      <w:marLeft w:val="0"/>
      <w:marRight w:val="0"/>
      <w:marTop w:val="0"/>
      <w:marBottom w:val="0"/>
      <w:divBdr>
        <w:top w:val="none" w:sz="0" w:space="0" w:color="auto"/>
        <w:left w:val="none" w:sz="0" w:space="0" w:color="auto"/>
        <w:bottom w:val="none" w:sz="0" w:space="0" w:color="auto"/>
        <w:right w:val="none" w:sz="0" w:space="0" w:color="auto"/>
      </w:divBdr>
    </w:div>
    <w:div w:id="1724213607">
      <w:bodyDiv w:val="1"/>
      <w:marLeft w:val="0"/>
      <w:marRight w:val="0"/>
      <w:marTop w:val="0"/>
      <w:marBottom w:val="0"/>
      <w:divBdr>
        <w:top w:val="none" w:sz="0" w:space="0" w:color="auto"/>
        <w:left w:val="none" w:sz="0" w:space="0" w:color="auto"/>
        <w:bottom w:val="none" w:sz="0" w:space="0" w:color="auto"/>
        <w:right w:val="none" w:sz="0" w:space="0" w:color="auto"/>
      </w:divBdr>
    </w:div>
    <w:div w:id="1759330563">
      <w:bodyDiv w:val="1"/>
      <w:marLeft w:val="0"/>
      <w:marRight w:val="0"/>
      <w:marTop w:val="0"/>
      <w:marBottom w:val="0"/>
      <w:divBdr>
        <w:top w:val="none" w:sz="0" w:space="0" w:color="auto"/>
        <w:left w:val="none" w:sz="0" w:space="0" w:color="auto"/>
        <w:bottom w:val="none" w:sz="0" w:space="0" w:color="auto"/>
        <w:right w:val="none" w:sz="0" w:space="0" w:color="auto"/>
      </w:divBdr>
    </w:div>
    <w:div w:id="1830825901">
      <w:bodyDiv w:val="1"/>
      <w:marLeft w:val="0"/>
      <w:marRight w:val="0"/>
      <w:marTop w:val="0"/>
      <w:marBottom w:val="0"/>
      <w:divBdr>
        <w:top w:val="none" w:sz="0" w:space="0" w:color="auto"/>
        <w:left w:val="none" w:sz="0" w:space="0" w:color="auto"/>
        <w:bottom w:val="none" w:sz="0" w:space="0" w:color="auto"/>
        <w:right w:val="none" w:sz="0" w:space="0" w:color="auto"/>
      </w:divBdr>
    </w:div>
    <w:div w:id="1841002651">
      <w:bodyDiv w:val="1"/>
      <w:marLeft w:val="0"/>
      <w:marRight w:val="0"/>
      <w:marTop w:val="0"/>
      <w:marBottom w:val="0"/>
      <w:divBdr>
        <w:top w:val="none" w:sz="0" w:space="0" w:color="auto"/>
        <w:left w:val="none" w:sz="0" w:space="0" w:color="auto"/>
        <w:bottom w:val="none" w:sz="0" w:space="0" w:color="auto"/>
        <w:right w:val="none" w:sz="0" w:space="0" w:color="auto"/>
      </w:divBdr>
    </w:div>
    <w:div w:id="2000034692">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013487701">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 w:id="21335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orina\Downloads\ext010800_20210324-1505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orina\Downloads\niv020100_20210324-1703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ltUpDiag">
              <a:fgClr>
                <a:schemeClr val="accent1"/>
              </a:fgClr>
              <a:bgClr>
                <a:schemeClr val="lt1"/>
              </a:bgClr>
            </a:pattFill>
            <a:ln>
              <a:noFill/>
            </a:ln>
            <a:effectLst/>
          </c:spPr>
          <c:invertIfNegative val="0"/>
          <c:dLbls>
            <c:spPr>
              <a:solidFill>
                <a:srgbClr val="4F81BD">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multiLvlStrRef>
              <c:f>'[ext010800_20210324-150503.xlsx]ext010800'!$E$8:$F$23</c:f>
              <c:multiLvlStrCache>
                <c:ptCount val="16"/>
                <c:lvl>
                  <c:pt idx="0">
                    <c:v>Austria</c:v>
                  </c:pt>
                  <c:pt idx="1">
                    <c:v>Franta</c:v>
                  </c:pt>
                  <c:pt idx="2">
                    <c:v>Germania</c:v>
                  </c:pt>
                  <c:pt idx="3">
                    <c:v>Italia</c:v>
                  </c:pt>
                  <c:pt idx="4">
                    <c:v>Polonia</c:v>
                  </c:pt>
                  <c:pt idx="5">
                    <c:v>Regatul Unit al Marii Britanii si Irlandei de Nord</c:v>
                  </c:pt>
                  <c:pt idx="6">
                    <c:v>Republica Ceha</c:v>
                  </c:pt>
                  <c:pt idx="7">
                    <c:v>Romania</c:v>
                  </c:pt>
                  <c:pt idx="8">
                    <c:v>Ungaria</c:v>
                  </c:pt>
                  <c:pt idx="9">
                    <c:v>Belarus</c:v>
                  </c:pt>
                  <c:pt idx="10">
                    <c:v>Federatia Rusa</c:v>
                  </c:pt>
                  <c:pt idx="11">
                    <c:v>Ucraina</c:v>
                  </c:pt>
                  <c:pt idx="12">
                    <c:v>China</c:v>
                  </c:pt>
                  <c:pt idx="13">
                    <c:v>Turcia</c:v>
                  </c:pt>
                  <c:pt idx="14">
                    <c:v>Statele Unite ale Americii</c:v>
                  </c:pt>
                  <c:pt idx="15">
                    <c:v>Japonia</c:v>
                  </c:pt>
                </c:lvl>
                <c:lvl>
                  <c:pt idx="0">
                    <c:v>Țări UE</c:v>
                  </c:pt>
                  <c:pt idx="9">
                    <c:v>Țări CSI</c:v>
                  </c:pt>
                  <c:pt idx="12">
                    <c:v>Alte țări </c:v>
                  </c:pt>
                </c:lvl>
              </c:multiLvlStrCache>
            </c:multiLvlStrRef>
          </c:cat>
          <c:val>
            <c:numRef>
              <c:f>'[ext010800_20210324-150503.xlsx]ext010800'!$G$8:$G$23</c:f>
              <c:numCache>
                <c:formatCode>0</c:formatCode>
                <c:ptCount val="16"/>
                <c:pt idx="0">
                  <c:v>7075.78</c:v>
                </c:pt>
                <c:pt idx="1">
                  <c:v>13070.98</c:v>
                </c:pt>
                <c:pt idx="2">
                  <c:v>58341.59</c:v>
                </c:pt>
                <c:pt idx="3">
                  <c:v>72294.289999999994</c:v>
                </c:pt>
                <c:pt idx="4">
                  <c:v>26525.69</c:v>
                </c:pt>
                <c:pt idx="5">
                  <c:v>6269.51</c:v>
                </c:pt>
                <c:pt idx="6">
                  <c:v>9013.14</c:v>
                </c:pt>
                <c:pt idx="7">
                  <c:v>12087.15</c:v>
                </c:pt>
                <c:pt idx="8">
                  <c:v>5920.84</c:v>
                </c:pt>
                <c:pt idx="9">
                  <c:v>5486.54</c:v>
                </c:pt>
                <c:pt idx="10">
                  <c:v>35051.21</c:v>
                </c:pt>
                <c:pt idx="11">
                  <c:v>22482.99</c:v>
                </c:pt>
                <c:pt idx="12">
                  <c:v>94836.02</c:v>
                </c:pt>
                <c:pt idx="13">
                  <c:v>33155.51</c:v>
                </c:pt>
                <c:pt idx="14">
                  <c:v>8815</c:v>
                </c:pt>
                <c:pt idx="15">
                  <c:v>5498.78</c:v>
                </c:pt>
              </c:numCache>
            </c:numRef>
          </c:val>
        </c:ser>
        <c:dLbls>
          <c:dLblPos val="outEnd"/>
          <c:showLegendKey val="0"/>
          <c:showVal val="1"/>
          <c:showCatName val="0"/>
          <c:showSerName val="0"/>
          <c:showPercent val="0"/>
          <c:showBubbleSize val="0"/>
        </c:dLbls>
        <c:gapWidth val="269"/>
        <c:overlap val="-20"/>
        <c:axId val="1435797936"/>
        <c:axId val="1435798480"/>
      </c:barChart>
      <c:catAx>
        <c:axId val="1435797936"/>
        <c:scaling>
          <c:orientation val="minMax"/>
        </c:scaling>
        <c:delete val="0"/>
        <c:axPos val="l"/>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1435798480"/>
        <c:crosses val="autoZero"/>
        <c:auto val="1"/>
        <c:lblAlgn val="ctr"/>
        <c:lblOffset val="100"/>
        <c:noMultiLvlLbl val="0"/>
      </c:catAx>
      <c:valAx>
        <c:axId val="1435798480"/>
        <c:scaling>
          <c:orientation val="minMax"/>
        </c:scaling>
        <c:delete val="0"/>
        <c:axPos val="b"/>
        <c:majorGridlines>
          <c:spPr>
            <a:ln w="9525" cap="flat" cmpd="sng" algn="ctr">
              <a:solidFill>
                <a:schemeClr val="lt1">
                  <a:alpha val="2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435797936"/>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951149548929343E-2"/>
          <c:y val="4.2382705394267674E-2"/>
          <c:w val="0.64884829970024238"/>
          <c:h val="0.83742043264280475"/>
        </c:manualLayout>
      </c:layout>
      <c:doughnutChart>
        <c:varyColors val="1"/>
        <c:ser>
          <c:idx val="0"/>
          <c:order val="0"/>
          <c:tx>
            <c:strRef>
              <c:f>'niv020100'!$C$6</c:f>
              <c:strCache>
                <c:ptCount val="1"/>
                <c:pt idx="0">
                  <c:v>MDL</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'niv020100'!$B$8:$B$19</c:f>
              <c:strCache>
                <c:ptCount val="12"/>
                <c:pt idx="0">
                  <c:v>Produse alimentare</c:v>
                </c:pt>
                <c:pt idx="1">
                  <c:v>Intretinerea locuintei</c:v>
                </c:pt>
                <c:pt idx="2">
                  <c:v>Imbracaminte, incaltaminte</c:v>
                </c:pt>
                <c:pt idx="3">
                  <c:v>Transport</c:v>
                </c:pt>
                <c:pt idx="4">
                  <c:v>Ingrijire medicala si sanatate</c:v>
                </c:pt>
                <c:pt idx="5">
                  <c:v>Dotarea locuintei</c:v>
                </c:pt>
                <c:pt idx="6">
                  <c:v>Comunicatii</c:v>
                </c:pt>
                <c:pt idx="7">
                  <c:v>Diverse</c:v>
                </c:pt>
                <c:pt idx="8">
                  <c:v>Agrement</c:v>
                </c:pt>
                <c:pt idx="9">
                  <c:v>Hoteluri, restaurante, cafenele etc.</c:v>
                </c:pt>
                <c:pt idx="10">
                  <c:v>Bauturi alcoolice, tutun</c:v>
                </c:pt>
                <c:pt idx="11">
                  <c:v>Invatamint</c:v>
                </c:pt>
              </c:strCache>
            </c:strRef>
          </c:cat>
          <c:val>
            <c:numRef>
              <c:f>'niv020100'!$C$8:$C$19</c:f>
              <c:numCache>
                <c:formatCode>General</c:formatCode>
                <c:ptCount val="12"/>
                <c:pt idx="0">
                  <c:v>1130.9749999999999</c:v>
                </c:pt>
                <c:pt idx="1">
                  <c:v>451.07500000000005</c:v>
                </c:pt>
                <c:pt idx="2">
                  <c:v>269.125</c:v>
                </c:pt>
                <c:pt idx="3">
                  <c:v>170.04999999999998</c:v>
                </c:pt>
                <c:pt idx="4">
                  <c:v>145.25</c:v>
                </c:pt>
                <c:pt idx="5">
                  <c:v>142.22499999999999</c:v>
                </c:pt>
                <c:pt idx="6">
                  <c:v>125.65</c:v>
                </c:pt>
                <c:pt idx="7">
                  <c:v>119.35</c:v>
                </c:pt>
                <c:pt idx="8">
                  <c:v>78.575000000000003</c:v>
                </c:pt>
                <c:pt idx="9">
                  <c:v>72.55</c:v>
                </c:pt>
                <c:pt idx="10">
                  <c:v>50.375</c:v>
                </c:pt>
                <c:pt idx="11">
                  <c:v>31.4</c:v>
                </c:pt>
              </c:numCache>
            </c:numRef>
          </c:val>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egendEntry>
        <c:idx val="2"/>
        <c:delete val="1"/>
      </c:legendEntry>
      <c:legendEntry>
        <c:idx val="3"/>
        <c:delete val="1"/>
      </c:legendEntry>
      <c:legendEntry>
        <c:idx val="4"/>
        <c:delete val="1"/>
      </c:legendEntry>
      <c:legendEntry>
        <c:idx val="7"/>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D472-DD0C-4C9F-A594-2242244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5024</TotalTime>
  <Pages>22</Pages>
  <Words>8542</Words>
  <Characters>48693</Characters>
  <Application>Microsoft Office Word</Application>
  <DocSecurity>0</DocSecurity>
  <Lines>405</Lines>
  <Paragraphs>114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Nicolae</cp:lastModifiedBy>
  <cp:revision>8</cp:revision>
  <cp:lastPrinted>2019-11-15T11:32:00Z</cp:lastPrinted>
  <dcterms:created xsi:type="dcterms:W3CDTF">2021-02-22T13:18:00Z</dcterms:created>
  <dcterms:modified xsi:type="dcterms:W3CDTF">2022-01-20T07:56:00Z</dcterms:modified>
</cp:coreProperties>
</file>