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BF8A5" w14:textId="77777777" w:rsidR="005A5723" w:rsidRDefault="005A5723" w:rsidP="005A5723">
      <w:pPr>
        <w:pStyle w:val="80"/>
        <w:shd w:val="clear" w:color="auto" w:fill="auto"/>
        <w:jc w:val="center"/>
        <w:rPr>
          <w:sz w:val="26"/>
          <w:szCs w:val="26"/>
          <w:lang w:val="ro-RO"/>
        </w:rPr>
      </w:pPr>
      <w:r w:rsidRPr="005A5723">
        <w:rPr>
          <w:sz w:val="26"/>
          <w:szCs w:val="26"/>
          <w:lang w:val="ro-RO"/>
        </w:rPr>
        <w:t>Notă informativă</w:t>
      </w:r>
      <w:r>
        <w:rPr>
          <w:sz w:val="26"/>
          <w:szCs w:val="26"/>
          <w:lang w:val="ro-RO"/>
        </w:rPr>
        <w:t xml:space="preserve"> </w:t>
      </w:r>
    </w:p>
    <w:p w14:paraId="3DCCAE67" w14:textId="77777777" w:rsidR="005A5723" w:rsidRDefault="005A5723" w:rsidP="005A5723">
      <w:pPr>
        <w:pStyle w:val="80"/>
        <w:shd w:val="clear" w:color="auto" w:fill="auto"/>
        <w:ind w:right="848"/>
        <w:jc w:val="center"/>
        <w:rPr>
          <w:sz w:val="26"/>
          <w:szCs w:val="26"/>
          <w:lang w:val="ro-RO"/>
        </w:rPr>
      </w:pPr>
      <w:r w:rsidRPr="005A5723">
        <w:rPr>
          <w:sz w:val="26"/>
          <w:szCs w:val="26"/>
          <w:lang w:val="ro-RO"/>
        </w:rPr>
        <w:t xml:space="preserve">la proiectul de decizie al Consiliului municipal Chișinău „Cu privire la completarea Regulamentului de comerț local al municipiului Chișinău, </w:t>
      </w:r>
    </w:p>
    <w:p w14:paraId="62C2FD6F" w14:textId="766C8F91" w:rsidR="005A5723" w:rsidRPr="005A5723" w:rsidRDefault="005A5723" w:rsidP="005A5723">
      <w:pPr>
        <w:pStyle w:val="80"/>
        <w:shd w:val="clear" w:color="auto" w:fill="auto"/>
        <w:ind w:right="848"/>
        <w:jc w:val="center"/>
        <w:rPr>
          <w:sz w:val="26"/>
          <w:szCs w:val="26"/>
          <w:lang w:val="ro-RO"/>
        </w:rPr>
      </w:pPr>
      <w:r w:rsidRPr="005A5723">
        <w:rPr>
          <w:sz w:val="26"/>
          <w:szCs w:val="26"/>
          <w:lang w:val="ro-RO"/>
        </w:rPr>
        <w:t>aprobat prin decizia CMC nr. 15/14 din 29.12.2021”</w:t>
      </w:r>
    </w:p>
    <w:p w14:paraId="6F31CC60" w14:textId="0FC7BE31" w:rsidR="00991030" w:rsidRPr="00CE5007" w:rsidRDefault="00991030">
      <w:pPr>
        <w:rPr>
          <w:rFonts w:ascii="Times New Roman" w:hAnsi="Times New Roman" w:cs="Times New Roman"/>
          <w:sz w:val="14"/>
          <w:szCs w:val="14"/>
          <w:lang w:val="ro-RO"/>
        </w:rPr>
      </w:pPr>
    </w:p>
    <w:tbl>
      <w:tblPr>
        <w:tblStyle w:val="GrilTabel"/>
        <w:tblW w:w="0" w:type="auto"/>
        <w:tblLook w:val="04A0" w:firstRow="1" w:lastRow="0" w:firstColumn="1" w:lastColumn="0" w:noHBand="0" w:noVBand="1"/>
      </w:tblPr>
      <w:tblGrid>
        <w:gridCol w:w="10343"/>
      </w:tblGrid>
      <w:tr w:rsidR="005A5723" w:rsidRPr="005A5723" w14:paraId="3F6C723B" w14:textId="77777777" w:rsidTr="00CE5007">
        <w:tc>
          <w:tcPr>
            <w:tcW w:w="10343" w:type="dxa"/>
          </w:tcPr>
          <w:p w14:paraId="0A9CE0E5" w14:textId="3F98CBEC" w:rsidR="005A5723" w:rsidRPr="005A5723" w:rsidRDefault="005A5723" w:rsidP="005A5723">
            <w:pPr>
              <w:pStyle w:val="Listparagraf"/>
              <w:numPr>
                <w:ilvl w:val="0"/>
                <w:numId w:val="3"/>
              </w:numPr>
              <w:ind w:left="309" w:right="452"/>
              <w:rPr>
                <w:rFonts w:ascii="Times New Roman" w:hAnsi="Times New Roman" w:cs="Times New Roman"/>
                <w:sz w:val="26"/>
                <w:szCs w:val="26"/>
                <w:lang w:val="ro-RO"/>
              </w:rPr>
            </w:pPr>
            <w:r w:rsidRPr="005A5723">
              <w:rPr>
                <w:rStyle w:val="3"/>
                <w:rFonts w:eastAsiaTheme="minorHAnsi"/>
                <w:sz w:val="26"/>
                <w:szCs w:val="26"/>
              </w:rPr>
              <w:t>Denumirea autorului și, după caz, a participanților la elaborarea proiectului</w:t>
            </w:r>
          </w:p>
        </w:tc>
      </w:tr>
      <w:tr w:rsidR="005A5723" w:rsidRPr="005A5723" w14:paraId="129FB459" w14:textId="77777777" w:rsidTr="00CE5007">
        <w:tc>
          <w:tcPr>
            <w:tcW w:w="10343" w:type="dxa"/>
          </w:tcPr>
          <w:p w14:paraId="3E670E63" w14:textId="211D1009" w:rsidR="005A5723" w:rsidRPr="005A5723" w:rsidRDefault="005A5723">
            <w:pPr>
              <w:rPr>
                <w:rFonts w:ascii="Times New Roman" w:hAnsi="Times New Roman" w:cs="Times New Roman"/>
                <w:sz w:val="26"/>
                <w:szCs w:val="26"/>
                <w:lang w:val="ro-RO"/>
              </w:rPr>
            </w:pPr>
            <w:r w:rsidRPr="005A5723">
              <w:rPr>
                <w:rStyle w:val="2"/>
                <w:rFonts w:eastAsiaTheme="minorHAnsi"/>
                <w:sz w:val="26"/>
                <w:szCs w:val="26"/>
              </w:rPr>
              <w:t>Direcția generală economie, comerț și turism a Consiliului municipal Chișinău (DGECT)</w:t>
            </w:r>
          </w:p>
        </w:tc>
      </w:tr>
      <w:tr w:rsidR="005A5723" w:rsidRPr="005A5723" w14:paraId="26EB9118" w14:textId="77777777" w:rsidTr="00CE5007">
        <w:tc>
          <w:tcPr>
            <w:tcW w:w="10343" w:type="dxa"/>
          </w:tcPr>
          <w:p w14:paraId="13D67FA5" w14:textId="0AC496C9" w:rsidR="005A5723" w:rsidRPr="005A5723" w:rsidRDefault="005A5723" w:rsidP="005A5723">
            <w:pPr>
              <w:pStyle w:val="Listparagraf"/>
              <w:numPr>
                <w:ilvl w:val="0"/>
                <w:numId w:val="3"/>
              </w:numPr>
              <w:ind w:left="309"/>
              <w:rPr>
                <w:rFonts w:ascii="Times New Roman" w:hAnsi="Times New Roman" w:cs="Times New Roman"/>
                <w:sz w:val="26"/>
                <w:szCs w:val="26"/>
                <w:lang w:val="ro-RO"/>
              </w:rPr>
            </w:pPr>
            <w:r w:rsidRPr="005A5723">
              <w:rPr>
                <w:rStyle w:val="3"/>
                <w:rFonts w:eastAsiaTheme="minorHAnsi"/>
                <w:sz w:val="26"/>
                <w:szCs w:val="26"/>
              </w:rPr>
              <w:t>Condițiile ce au impus elaborarea proiectului de act normativ și finalitățile urmărite</w:t>
            </w:r>
          </w:p>
        </w:tc>
      </w:tr>
      <w:tr w:rsidR="005A5723" w:rsidRPr="005A5723" w14:paraId="05B6A8E8" w14:textId="77777777" w:rsidTr="00CE5007">
        <w:tc>
          <w:tcPr>
            <w:tcW w:w="10343" w:type="dxa"/>
          </w:tcPr>
          <w:p w14:paraId="294711FA" w14:textId="05EEB71E" w:rsidR="005A5723" w:rsidRPr="005A5723" w:rsidRDefault="005A5723" w:rsidP="005A5723">
            <w:pPr>
              <w:spacing w:line="264" w:lineRule="exact"/>
              <w:ind w:firstLine="38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Experiența de lucru ne demonstrează inițierea activității comerciale pe teritoriul or. Chișinău pe locurile sau în zonele adiacente unde au avut loc înhumări, inclusiv în masă sau unde au activat organele de reprimare în masă sovietice și naziste.</w:t>
            </w:r>
          </w:p>
          <w:p w14:paraId="0C38F983" w14:textId="77777777" w:rsidR="005A5723" w:rsidRDefault="005A5723" w:rsidP="005A5723">
            <w:pPr>
              <w:spacing w:line="264" w:lineRule="exact"/>
              <w:ind w:firstLine="38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Operarea modi</w:t>
            </w:r>
            <w:r>
              <w:rPr>
                <w:rFonts w:ascii="Times New Roman" w:hAnsi="Times New Roman" w:cs="Times New Roman"/>
                <w:sz w:val="26"/>
                <w:szCs w:val="26"/>
                <w:lang w:val="ro-RO"/>
              </w:rPr>
              <w:t>fi</w:t>
            </w:r>
            <w:r w:rsidRPr="005A5723">
              <w:rPr>
                <w:rFonts w:ascii="Times New Roman" w:hAnsi="Times New Roman" w:cs="Times New Roman"/>
                <w:sz w:val="26"/>
                <w:szCs w:val="26"/>
                <w:lang w:val="ro-RO"/>
              </w:rPr>
              <w:t>cărilor/</w:t>
            </w:r>
            <w:r>
              <w:rPr>
                <w:rFonts w:ascii="Times New Roman" w:hAnsi="Times New Roman" w:cs="Times New Roman"/>
                <w:sz w:val="26"/>
                <w:szCs w:val="26"/>
                <w:lang w:val="ro-RO"/>
              </w:rPr>
              <w:t xml:space="preserve"> </w:t>
            </w:r>
            <w:r w:rsidRPr="005A5723">
              <w:rPr>
                <w:rFonts w:ascii="Times New Roman" w:hAnsi="Times New Roman" w:cs="Times New Roman"/>
                <w:sz w:val="26"/>
                <w:szCs w:val="26"/>
                <w:lang w:val="ro-RO"/>
              </w:rPr>
              <w:t>completărilor la Regulamentul de comerț local al municipiului Chișinău, aprobat prin decizia CMC nr. 15/14 din 29.12.2021</w:t>
            </w:r>
            <w:r>
              <w:rPr>
                <w:rFonts w:ascii="Times New Roman" w:hAnsi="Times New Roman" w:cs="Times New Roman"/>
                <w:sz w:val="26"/>
                <w:szCs w:val="26"/>
                <w:lang w:val="ro-RO"/>
              </w:rPr>
              <w:t>,</w:t>
            </w:r>
            <w:r w:rsidRPr="005A5723">
              <w:rPr>
                <w:rFonts w:ascii="Times New Roman" w:hAnsi="Times New Roman" w:cs="Times New Roman"/>
                <w:sz w:val="26"/>
                <w:szCs w:val="26"/>
                <w:lang w:val="ro-RO"/>
              </w:rPr>
              <w:t xml:space="preserve"> a pornit de la necesitatea păstrarea memoriei colective și sociale a evenimentelor istorice tragice și prevenirea profanării locurilor respective.</w:t>
            </w:r>
          </w:p>
          <w:p w14:paraId="362A0961" w14:textId="70B9A0E5" w:rsidR="005A5723" w:rsidRPr="005A5723" w:rsidRDefault="005A5723" w:rsidP="005A5723">
            <w:pPr>
              <w:spacing w:line="264" w:lineRule="exact"/>
              <w:ind w:firstLine="38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 xml:space="preserve">De asemenea, necesitatea modificării/completării Regulamentului de comerț local al municipiului Chișinău cu asemenea prevederi a fost propusă de președintele de ședință a CMC din 29.12.2021, dl </w:t>
            </w:r>
            <w:r w:rsidRPr="005A5723">
              <w:rPr>
                <w:rStyle w:val="2"/>
                <w:rFonts w:eastAsiaTheme="minorHAnsi"/>
                <w:sz w:val="26"/>
                <w:szCs w:val="26"/>
                <w:u w:val="none"/>
              </w:rPr>
              <w:t>Ion Cebanu (Partidul Liberal).</w:t>
            </w:r>
          </w:p>
        </w:tc>
      </w:tr>
      <w:tr w:rsidR="005A5723" w:rsidRPr="005A5723" w14:paraId="3447D560" w14:textId="77777777" w:rsidTr="00CE5007">
        <w:tc>
          <w:tcPr>
            <w:tcW w:w="10343" w:type="dxa"/>
          </w:tcPr>
          <w:p w14:paraId="4B7A7784" w14:textId="15347A65" w:rsidR="005A5723" w:rsidRPr="005A5723" w:rsidRDefault="005A5723" w:rsidP="005A5723">
            <w:pPr>
              <w:pStyle w:val="Listparagraf"/>
              <w:widowControl w:val="0"/>
              <w:numPr>
                <w:ilvl w:val="0"/>
                <w:numId w:val="3"/>
              </w:numPr>
              <w:tabs>
                <w:tab w:val="left" w:pos="312"/>
              </w:tabs>
              <w:spacing w:line="264" w:lineRule="exact"/>
              <w:ind w:left="0" w:firstLine="0"/>
              <w:jc w:val="both"/>
              <w:rPr>
                <w:rFonts w:ascii="Times New Roman" w:hAnsi="Times New Roman" w:cs="Times New Roman"/>
                <w:sz w:val="26"/>
                <w:szCs w:val="26"/>
                <w:lang w:val="ro-RO"/>
              </w:rPr>
            </w:pPr>
            <w:r w:rsidRPr="005A5723">
              <w:rPr>
                <w:rFonts w:ascii="Times New Roman" w:hAnsi="Times New Roman" w:cs="Times New Roman"/>
                <w:b/>
                <w:bCs/>
                <w:sz w:val="26"/>
                <w:szCs w:val="26"/>
                <w:lang w:val="ro-RO"/>
              </w:rPr>
              <w:t>Descrierea gradului de compatibilitate pentru proiectele care au ca scop armonizarea</w:t>
            </w:r>
            <w:r>
              <w:rPr>
                <w:rFonts w:ascii="Times New Roman" w:hAnsi="Times New Roman" w:cs="Times New Roman"/>
                <w:b/>
                <w:bCs/>
                <w:sz w:val="26"/>
                <w:szCs w:val="26"/>
                <w:lang w:val="ro-RO"/>
              </w:rPr>
              <w:t xml:space="preserve"> </w:t>
            </w:r>
            <w:r w:rsidRPr="005A5723">
              <w:rPr>
                <w:rStyle w:val="3"/>
                <w:rFonts w:eastAsiaTheme="minorHAnsi"/>
                <w:sz w:val="26"/>
                <w:szCs w:val="26"/>
              </w:rPr>
              <w:t>legislației naționale cu legislația Uniunii Europene</w:t>
            </w:r>
          </w:p>
        </w:tc>
      </w:tr>
      <w:tr w:rsidR="005A5723" w:rsidRPr="005A5723" w14:paraId="7D7CD415" w14:textId="77777777" w:rsidTr="00CE5007">
        <w:tc>
          <w:tcPr>
            <w:tcW w:w="10343" w:type="dxa"/>
          </w:tcPr>
          <w:p w14:paraId="42D19639" w14:textId="6D3F801D" w:rsidR="005A5723" w:rsidRPr="005A5723" w:rsidRDefault="005A5723" w:rsidP="005A5723">
            <w:pPr>
              <w:pStyle w:val="Listparagraf"/>
              <w:numPr>
                <w:ilvl w:val="0"/>
                <w:numId w:val="2"/>
              </w:numPr>
              <w:rPr>
                <w:rFonts w:ascii="Times New Roman" w:hAnsi="Times New Roman" w:cs="Times New Roman"/>
                <w:sz w:val="26"/>
                <w:szCs w:val="26"/>
                <w:lang w:val="ro-RO"/>
              </w:rPr>
            </w:pPr>
          </w:p>
        </w:tc>
      </w:tr>
      <w:tr w:rsidR="005A5723" w:rsidRPr="005A5723" w14:paraId="2F81F3F9" w14:textId="77777777" w:rsidTr="00CE5007">
        <w:tc>
          <w:tcPr>
            <w:tcW w:w="10343" w:type="dxa"/>
          </w:tcPr>
          <w:p w14:paraId="38E11F7E" w14:textId="787FEB17" w:rsidR="005A5723" w:rsidRPr="005A5723" w:rsidRDefault="005A5723" w:rsidP="005A5723">
            <w:pPr>
              <w:pStyle w:val="Listparagraf"/>
              <w:numPr>
                <w:ilvl w:val="0"/>
                <w:numId w:val="3"/>
              </w:numPr>
              <w:ind w:left="309"/>
              <w:rPr>
                <w:rFonts w:ascii="Times New Roman" w:hAnsi="Times New Roman" w:cs="Times New Roman"/>
                <w:sz w:val="26"/>
                <w:szCs w:val="26"/>
                <w:lang w:val="ro-RO"/>
              </w:rPr>
            </w:pPr>
            <w:r w:rsidRPr="005A5723">
              <w:rPr>
                <w:rStyle w:val="3"/>
                <w:rFonts w:eastAsiaTheme="minorHAnsi"/>
                <w:sz w:val="26"/>
                <w:szCs w:val="26"/>
                <w:u w:val="none"/>
              </w:rPr>
              <w:t>Principalele prevederi ale proiectului și evidențierea elementelor noi</w:t>
            </w:r>
          </w:p>
        </w:tc>
      </w:tr>
      <w:tr w:rsidR="005A5723" w:rsidRPr="005A5723" w14:paraId="78F3A2AB" w14:textId="77777777" w:rsidTr="00CE5007">
        <w:tc>
          <w:tcPr>
            <w:tcW w:w="10343" w:type="dxa"/>
          </w:tcPr>
          <w:p w14:paraId="21BC6D4A" w14:textId="1AA8053A" w:rsidR="005A5723" w:rsidRPr="005A5723" w:rsidRDefault="005A5723" w:rsidP="005A5723">
            <w:pPr>
              <w:spacing w:line="264" w:lineRule="exact"/>
              <w:ind w:firstLine="38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Prin operarea modificărilor la Regulamentului de comerț local al municipiului Chișinău, aprobat prin decizia CMC nr. 15/14 din 29.12.2021, se propune completarea capitulului III „Interdicții, și cerințe de desfășurare a activității de comerț” cu noi restricții la amplasarea unităților de alimentație publică, inclusiv terase, unități de agrement și sportive pe teritoriul or. Chișinău, și anume:</w:t>
            </w:r>
          </w:p>
          <w:p w14:paraId="27797113" w14:textId="27E1B8A8" w:rsidR="005A5723" w:rsidRPr="005A5723" w:rsidRDefault="005A5723" w:rsidP="005A5723">
            <w:pPr>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 Se interzice amplasarea unităților de alimentație publică, inclusiv terase, unități de agrement și sportive pe teritoriul/spațiul fostelor cimitire, locurilor de înhumare în masă, bisericilor, precum și în încăperile/sediile în care au activat organele de reprimare în masă sovietice şi naziste din or. Chișinău”.</w:t>
            </w:r>
          </w:p>
        </w:tc>
      </w:tr>
      <w:tr w:rsidR="005A5723" w:rsidRPr="005A5723" w14:paraId="5BBAE856" w14:textId="77777777" w:rsidTr="00CE5007">
        <w:tc>
          <w:tcPr>
            <w:tcW w:w="10343" w:type="dxa"/>
          </w:tcPr>
          <w:p w14:paraId="7E1A8DB2" w14:textId="42DE80FF" w:rsidR="005A5723" w:rsidRPr="005A5723" w:rsidRDefault="005A5723" w:rsidP="005A5723">
            <w:pPr>
              <w:pStyle w:val="Listparagraf"/>
              <w:numPr>
                <w:ilvl w:val="0"/>
                <w:numId w:val="3"/>
              </w:numPr>
              <w:ind w:left="309"/>
              <w:rPr>
                <w:rFonts w:ascii="Times New Roman" w:hAnsi="Times New Roman" w:cs="Times New Roman"/>
                <w:sz w:val="26"/>
                <w:szCs w:val="26"/>
                <w:lang w:val="ro-RO"/>
              </w:rPr>
            </w:pPr>
            <w:r w:rsidRPr="005A5723">
              <w:rPr>
                <w:rStyle w:val="3"/>
                <w:rFonts w:eastAsiaTheme="minorHAnsi"/>
                <w:sz w:val="26"/>
                <w:szCs w:val="26"/>
              </w:rPr>
              <w:t>Fundamentarea economico-financiară</w:t>
            </w:r>
          </w:p>
        </w:tc>
      </w:tr>
      <w:tr w:rsidR="005A5723" w:rsidRPr="005A5723" w14:paraId="2DDAA006" w14:textId="77777777" w:rsidTr="00CE5007">
        <w:tc>
          <w:tcPr>
            <w:tcW w:w="10343" w:type="dxa"/>
          </w:tcPr>
          <w:p w14:paraId="7A446B70" w14:textId="0A32AF28" w:rsidR="005A5723" w:rsidRPr="005A5723" w:rsidRDefault="005A5723" w:rsidP="005A5723">
            <w:pPr>
              <w:ind w:firstLine="45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 xml:space="preserve">Modificările operate la Regulamentului de comerț local al municipiului Chișinău nu implică </w:t>
            </w:r>
            <w:r w:rsidRPr="005A5723">
              <w:rPr>
                <w:rStyle w:val="2"/>
                <w:rFonts w:eastAsiaTheme="minorHAnsi"/>
                <w:sz w:val="26"/>
                <w:szCs w:val="26"/>
                <w:u w:val="none"/>
              </w:rPr>
              <w:t>cheltuieli financiare din bugetul municipal.</w:t>
            </w:r>
          </w:p>
        </w:tc>
      </w:tr>
      <w:tr w:rsidR="005A5723" w:rsidRPr="005A5723" w14:paraId="21C8918C" w14:textId="77777777" w:rsidTr="00CE5007">
        <w:tc>
          <w:tcPr>
            <w:tcW w:w="10343" w:type="dxa"/>
          </w:tcPr>
          <w:p w14:paraId="40B6041D" w14:textId="272F609F" w:rsidR="005A5723" w:rsidRPr="005A5723" w:rsidRDefault="005A5723" w:rsidP="005A5723">
            <w:pPr>
              <w:pStyle w:val="Listparagraf"/>
              <w:numPr>
                <w:ilvl w:val="0"/>
                <w:numId w:val="3"/>
              </w:numPr>
              <w:ind w:left="309"/>
              <w:rPr>
                <w:rFonts w:ascii="Times New Roman" w:hAnsi="Times New Roman" w:cs="Times New Roman"/>
                <w:sz w:val="26"/>
                <w:szCs w:val="26"/>
                <w:lang w:val="ro-RO"/>
              </w:rPr>
            </w:pPr>
            <w:r w:rsidRPr="005A5723">
              <w:rPr>
                <w:rStyle w:val="3"/>
                <w:rFonts w:eastAsiaTheme="minorHAnsi"/>
                <w:sz w:val="26"/>
                <w:szCs w:val="26"/>
              </w:rPr>
              <w:t>Modul de încorporare a actului în cadrul normativ în vigoare</w:t>
            </w:r>
          </w:p>
        </w:tc>
      </w:tr>
      <w:tr w:rsidR="005A5723" w:rsidRPr="005A5723" w14:paraId="4D54631B" w14:textId="77777777" w:rsidTr="00CE5007">
        <w:tc>
          <w:tcPr>
            <w:tcW w:w="10343" w:type="dxa"/>
          </w:tcPr>
          <w:p w14:paraId="299D9E96" w14:textId="0E100C6F" w:rsidR="005A5723" w:rsidRPr="005A5723" w:rsidRDefault="005A5723" w:rsidP="005A5723">
            <w:pPr>
              <w:spacing w:line="264" w:lineRule="exact"/>
              <w:ind w:firstLine="38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Proiectul deciziei propus spre aprobare corespunde structurii actelor emise de către autoritățile publice locale și conține elementele componente prevăzute de tehnica legislativă (titlu, preambul, clauza de emitere, partea dispozitivă și formula de atestare a autenticității actului).</w:t>
            </w:r>
          </w:p>
          <w:p w14:paraId="405D10A5" w14:textId="18B9B28D" w:rsidR="005A5723" w:rsidRPr="005A5723" w:rsidRDefault="005A5723" w:rsidP="005A5723">
            <w:pPr>
              <w:spacing w:line="264" w:lineRule="exact"/>
              <w:ind w:firstLine="380"/>
              <w:jc w:val="both"/>
              <w:rPr>
                <w:rFonts w:ascii="Times New Roman" w:hAnsi="Times New Roman" w:cs="Times New Roman"/>
                <w:sz w:val="26"/>
                <w:szCs w:val="26"/>
                <w:lang w:val="ro-RO"/>
              </w:rPr>
            </w:pPr>
            <w:r w:rsidRPr="005A5723">
              <w:rPr>
                <w:rFonts w:ascii="Times New Roman" w:hAnsi="Times New Roman" w:cs="Times New Roman"/>
                <w:sz w:val="26"/>
                <w:szCs w:val="26"/>
                <w:lang w:val="ro-RO"/>
              </w:rPr>
              <w:t>Aprobarea modificărilor propuse nu implică operarea de modificări în alte acte normative al CMC.</w:t>
            </w:r>
          </w:p>
        </w:tc>
      </w:tr>
      <w:tr w:rsidR="005A5723" w:rsidRPr="005A5723" w14:paraId="46F09CAE" w14:textId="77777777" w:rsidTr="00CE5007">
        <w:tc>
          <w:tcPr>
            <w:tcW w:w="10343" w:type="dxa"/>
          </w:tcPr>
          <w:p w14:paraId="547FD3E3" w14:textId="00BC76D0" w:rsidR="005A5723" w:rsidRPr="005A5723" w:rsidRDefault="005A5723" w:rsidP="005A5723">
            <w:pPr>
              <w:pStyle w:val="Listparagraf"/>
              <w:numPr>
                <w:ilvl w:val="0"/>
                <w:numId w:val="3"/>
              </w:numPr>
              <w:ind w:left="309"/>
              <w:rPr>
                <w:rFonts w:ascii="Times New Roman" w:hAnsi="Times New Roman" w:cs="Times New Roman"/>
                <w:sz w:val="26"/>
                <w:szCs w:val="26"/>
                <w:lang w:val="ro-RO"/>
              </w:rPr>
            </w:pPr>
            <w:r w:rsidRPr="005A5723">
              <w:rPr>
                <w:rStyle w:val="3"/>
                <w:rFonts w:eastAsiaTheme="minorHAnsi"/>
                <w:sz w:val="26"/>
                <w:szCs w:val="26"/>
              </w:rPr>
              <w:t>Avizarea și consultarea publică a proiectului</w:t>
            </w:r>
          </w:p>
        </w:tc>
      </w:tr>
      <w:tr w:rsidR="005A5723" w:rsidRPr="005A5723" w14:paraId="2D508563" w14:textId="77777777" w:rsidTr="00CE5007">
        <w:tc>
          <w:tcPr>
            <w:tcW w:w="10343" w:type="dxa"/>
          </w:tcPr>
          <w:p w14:paraId="7C1ADB00" w14:textId="781D3D84" w:rsidR="005A5723" w:rsidRPr="005A5723" w:rsidRDefault="005A5723" w:rsidP="00CE5007">
            <w:pPr>
              <w:ind w:firstLine="309"/>
              <w:rPr>
                <w:rFonts w:ascii="Times New Roman" w:hAnsi="Times New Roman" w:cs="Times New Roman"/>
                <w:sz w:val="26"/>
                <w:szCs w:val="26"/>
                <w:lang w:val="ro-RO"/>
              </w:rPr>
            </w:pPr>
            <w:r>
              <w:rPr>
                <w:rFonts w:ascii="Times New Roman" w:hAnsi="Times New Roman" w:cs="Times New Roman"/>
                <w:sz w:val="26"/>
                <w:szCs w:val="26"/>
                <w:lang w:val="ro-RO"/>
              </w:rPr>
              <w:t>Proiectul de decizie se supune consultărilor publice conform prevederilor legislației privind transparența în procesul decizional.</w:t>
            </w:r>
          </w:p>
        </w:tc>
      </w:tr>
      <w:tr w:rsidR="005A5723" w:rsidRPr="005A5723" w14:paraId="706F9D0D" w14:textId="77777777" w:rsidTr="00CE5007">
        <w:tc>
          <w:tcPr>
            <w:tcW w:w="10343" w:type="dxa"/>
          </w:tcPr>
          <w:p w14:paraId="51923106" w14:textId="3B1B7A94" w:rsidR="005A5723" w:rsidRPr="005A5723" w:rsidRDefault="005A5723" w:rsidP="005A5723">
            <w:pPr>
              <w:pStyle w:val="Listparagraf"/>
              <w:numPr>
                <w:ilvl w:val="0"/>
                <w:numId w:val="3"/>
              </w:numPr>
              <w:ind w:left="309"/>
              <w:rPr>
                <w:rFonts w:ascii="Times New Roman" w:hAnsi="Times New Roman" w:cs="Times New Roman"/>
                <w:sz w:val="26"/>
                <w:szCs w:val="26"/>
                <w:lang w:val="ro-RO"/>
              </w:rPr>
            </w:pPr>
            <w:r w:rsidRPr="005A5723">
              <w:rPr>
                <w:rStyle w:val="3"/>
                <w:rFonts w:eastAsiaTheme="minorHAnsi"/>
                <w:sz w:val="26"/>
                <w:szCs w:val="26"/>
              </w:rPr>
              <w:t>Constatările expertizei anticorupție</w:t>
            </w:r>
          </w:p>
        </w:tc>
      </w:tr>
      <w:tr w:rsidR="005A5723" w:rsidRPr="005A5723" w14:paraId="6770F016" w14:textId="77777777" w:rsidTr="00CE5007">
        <w:tc>
          <w:tcPr>
            <w:tcW w:w="10343" w:type="dxa"/>
          </w:tcPr>
          <w:p w14:paraId="771E7B66" w14:textId="0E1B9F6B" w:rsidR="005A5723" w:rsidRPr="005A5723" w:rsidRDefault="005A5723" w:rsidP="00CE5007">
            <w:pPr>
              <w:ind w:firstLine="309"/>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Expertiza anticorupție </w:t>
            </w:r>
            <w:r w:rsidR="00CE5007">
              <w:rPr>
                <w:rFonts w:ascii="Times New Roman" w:hAnsi="Times New Roman" w:cs="Times New Roman"/>
                <w:sz w:val="26"/>
                <w:szCs w:val="26"/>
                <w:lang w:val="ro-RO"/>
              </w:rPr>
              <w:t>se efectuează</w:t>
            </w:r>
            <w:r>
              <w:rPr>
                <w:rFonts w:ascii="Times New Roman" w:hAnsi="Times New Roman" w:cs="Times New Roman"/>
                <w:sz w:val="26"/>
                <w:szCs w:val="26"/>
                <w:lang w:val="ro-RO"/>
              </w:rPr>
              <w:t xml:space="preserve"> în conformitate cu prevederile art. 35 din Legea nr. 100/2017 cu privire la actele normative.</w:t>
            </w:r>
          </w:p>
        </w:tc>
      </w:tr>
      <w:tr w:rsidR="005A5723" w:rsidRPr="005A5723" w14:paraId="3451F923" w14:textId="77777777" w:rsidTr="00CE5007">
        <w:tc>
          <w:tcPr>
            <w:tcW w:w="10343" w:type="dxa"/>
          </w:tcPr>
          <w:p w14:paraId="61DE9DA0" w14:textId="4DD99C57" w:rsidR="005A5723" w:rsidRPr="005A5723" w:rsidRDefault="005A5723" w:rsidP="005A5723">
            <w:pPr>
              <w:pStyle w:val="Listparagraf"/>
              <w:numPr>
                <w:ilvl w:val="0"/>
                <w:numId w:val="3"/>
              </w:numPr>
              <w:ind w:left="309" w:hanging="284"/>
              <w:rPr>
                <w:rFonts w:ascii="Times New Roman" w:hAnsi="Times New Roman" w:cs="Times New Roman"/>
                <w:b/>
                <w:bCs/>
                <w:sz w:val="26"/>
                <w:szCs w:val="26"/>
                <w:lang w:val="ro-RO"/>
              </w:rPr>
            </w:pPr>
            <w:r w:rsidRPr="005A5723">
              <w:rPr>
                <w:rFonts w:ascii="Times New Roman" w:hAnsi="Times New Roman" w:cs="Times New Roman"/>
                <w:b/>
                <w:bCs/>
                <w:sz w:val="26"/>
                <w:szCs w:val="26"/>
                <w:lang w:val="ro-RO"/>
              </w:rPr>
              <w:t>Constatările expertizei de compatibilitate</w:t>
            </w:r>
          </w:p>
        </w:tc>
      </w:tr>
      <w:tr w:rsidR="005A5723" w:rsidRPr="005A5723" w14:paraId="516A3C13" w14:textId="77777777" w:rsidTr="00CE5007">
        <w:tc>
          <w:tcPr>
            <w:tcW w:w="10343" w:type="dxa"/>
          </w:tcPr>
          <w:p w14:paraId="2C6247D3" w14:textId="1110997B" w:rsidR="005A5723" w:rsidRPr="00CE5007" w:rsidRDefault="005A5723" w:rsidP="00CE5007">
            <w:pPr>
              <w:pStyle w:val="Listparagraf"/>
              <w:numPr>
                <w:ilvl w:val="0"/>
                <w:numId w:val="2"/>
              </w:numPr>
              <w:rPr>
                <w:rFonts w:ascii="Times New Roman" w:hAnsi="Times New Roman" w:cs="Times New Roman"/>
                <w:sz w:val="26"/>
                <w:szCs w:val="26"/>
                <w:lang w:val="ro-RO"/>
              </w:rPr>
            </w:pPr>
          </w:p>
        </w:tc>
      </w:tr>
      <w:tr w:rsidR="005A5723" w:rsidRPr="005A5723" w14:paraId="48CA52B8" w14:textId="77777777" w:rsidTr="00CE5007">
        <w:tc>
          <w:tcPr>
            <w:tcW w:w="10343" w:type="dxa"/>
          </w:tcPr>
          <w:p w14:paraId="0418DC5B" w14:textId="5AB3B8D6" w:rsidR="005A5723" w:rsidRPr="005A5723" w:rsidRDefault="005A5723" w:rsidP="005A5723">
            <w:pPr>
              <w:pStyle w:val="Listparagraf"/>
              <w:numPr>
                <w:ilvl w:val="0"/>
                <w:numId w:val="3"/>
              </w:numPr>
              <w:ind w:left="309"/>
              <w:rPr>
                <w:rFonts w:ascii="Times New Roman" w:hAnsi="Times New Roman" w:cs="Times New Roman"/>
                <w:b/>
                <w:bCs/>
                <w:sz w:val="26"/>
                <w:szCs w:val="26"/>
                <w:lang w:val="ro-RO"/>
              </w:rPr>
            </w:pPr>
            <w:r>
              <w:rPr>
                <w:rFonts w:ascii="Times New Roman" w:hAnsi="Times New Roman" w:cs="Times New Roman"/>
                <w:sz w:val="26"/>
                <w:szCs w:val="26"/>
                <w:lang w:val="ro-RO"/>
              </w:rPr>
              <w:t xml:space="preserve"> </w:t>
            </w:r>
            <w:r w:rsidRPr="005A5723">
              <w:rPr>
                <w:rFonts w:ascii="Times New Roman" w:hAnsi="Times New Roman" w:cs="Times New Roman"/>
                <w:b/>
                <w:bCs/>
                <w:sz w:val="26"/>
                <w:szCs w:val="26"/>
                <w:lang w:val="ro-RO"/>
              </w:rPr>
              <w:t>Constatările expertizei juridice</w:t>
            </w:r>
          </w:p>
        </w:tc>
      </w:tr>
      <w:tr w:rsidR="005A5723" w:rsidRPr="005A5723" w14:paraId="6F397FA0" w14:textId="77777777" w:rsidTr="00CE5007">
        <w:tc>
          <w:tcPr>
            <w:tcW w:w="10343" w:type="dxa"/>
          </w:tcPr>
          <w:p w14:paraId="64FD9492" w14:textId="4AD7752F" w:rsidR="005A5723" w:rsidRPr="005A5723" w:rsidRDefault="00CE5007">
            <w:pPr>
              <w:rPr>
                <w:rFonts w:ascii="Times New Roman" w:hAnsi="Times New Roman" w:cs="Times New Roman"/>
                <w:sz w:val="26"/>
                <w:szCs w:val="26"/>
                <w:lang w:val="ro-RO"/>
              </w:rPr>
            </w:pPr>
            <w:r>
              <w:rPr>
                <w:rFonts w:ascii="Times New Roman" w:hAnsi="Times New Roman" w:cs="Times New Roman"/>
                <w:sz w:val="26"/>
                <w:szCs w:val="26"/>
                <w:lang w:val="ro-RO"/>
              </w:rPr>
              <w:t>Aviz nr. 192 din 02.03.2022, conform prevederilor art. 35 din Legea nr. 100/2017 cu privire la actele normative.</w:t>
            </w:r>
          </w:p>
        </w:tc>
      </w:tr>
      <w:tr w:rsidR="005A5723" w:rsidRPr="005A5723" w14:paraId="79347DA6" w14:textId="77777777" w:rsidTr="00CE5007">
        <w:tc>
          <w:tcPr>
            <w:tcW w:w="10343" w:type="dxa"/>
          </w:tcPr>
          <w:p w14:paraId="40F7B055" w14:textId="3354D97F" w:rsidR="005A5723" w:rsidRPr="00CE5007" w:rsidRDefault="005A5723" w:rsidP="00CE5007">
            <w:pPr>
              <w:pStyle w:val="Listparagraf"/>
              <w:numPr>
                <w:ilvl w:val="0"/>
                <w:numId w:val="3"/>
              </w:numPr>
              <w:ind w:left="450" w:hanging="450"/>
              <w:rPr>
                <w:rFonts w:ascii="Times New Roman" w:hAnsi="Times New Roman" w:cs="Times New Roman"/>
                <w:b/>
                <w:bCs/>
                <w:sz w:val="26"/>
                <w:szCs w:val="26"/>
                <w:lang w:val="ro-RO"/>
              </w:rPr>
            </w:pPr>
            <w:r w:rsidRPr="00CE5007">
              <w:rPr>
                <w:rFonts w:ascii="Times New Roman" w:hAnsi="Times New Roman" w:cs="Times New Roman"/>
                <w:b/>
                <w:bCs/>
                <w:sz w:val="26"/>
                <w:szCs w:val="26"/>
                <w:lang w:val="ro-RO"/>
              </w:rPr>
              <w:t>Constatările altor expertize</w:t>
            </w:r>
          </w:p>
        </w:tc>
      </w:tr>
      <w:tr w:rsidR="00CE5007" w:rsidRPr="005A5723" w14:paraId="1A316BF9" w14:textId="77777777" w:rsidTr="00CE5007">
        <w:tc>
          <w:tcPr>
            <w:tcW w:w="10343" w:type="dxa"/>
          </w:tcPr>
          <w:p w14:paraId="07D890A3" w14:textId="5298F04F" w:rsidR="00CE5007" w:rsidRPr="00CE5007" w:rsidRDefault="00CE5007" w:rsidP="00CE5007">
            <w:pPr>
              <w:pStyle w:val="Listparagraf"/>
              <w:numPr>
                <w:ilvl w:val="0"/>
                <w:numId w:val="2"/>
              </w:numPr>
              <w:rPr>
                <w:rFonts w:ascii="Times New Roman" w:hAnsi="Times New Roman" w:cs="Times New Roman"/>
                <w:sz w:val="26"/>
                <w:szCs w:val="26"/>
                <w:lang w:val="ro-RO"/>
              </w:rPr>
            </w:pPr>
          </w:p>
        </w:tc>
      </w:tr>
    </w:tbl>
    <w:p w14:paraId="7CD81DDC" w14:textId="1AD8F9B6" w:rsidR="005A5723" w:rsidRPr="005A5723" w:rsidRDefault="00CE5007">
      <w:pPr>
        <w:rPr>
          <w:rFonts w:ascii="Times New Roman" w:hAnsi="Times New Roman" w:cs="Times New Roman"/>
          <w:sz w:val="26"/>
          <w:szCs w:val="26"/>
          <w:lang w:val="ro-RO"/>
        </w:rPr>
      </w:pPr>
      <w:bookmarkStart w:id="0" w:name="_GoBack"/>
      <w:bookmarkEnd w:id="0"/>
      <w:r>
        <w:rPr>
          <w:rFonts w:ascii="Times New Roman" w:hAnsi="Times New Roman" w:cs="Times New Roman"/>
          <w:sz w:val="26"/>
          <w:szCs w:val="26"/>
          <w:lang w:val="ro-RO"/>
        </w:rPr>
        <w:t xml:space="preserve">Șef al </w:t>
      </w:r>
      <w:r w:rsidRPr="00CE5007">
        <w:rPr>
          <w:rStyle w:val="2"/>
          <w:rFonts w:eastAsiaTheme="minorHAnsi"/>
          <w:sz w:val="26"/>
          <w:szCs w:val="26"/>
          <w:u w:val="none"/>
        </w:rPr>
        <w:t>Direcți</w:t>
      </w:r>
      <w:r>
        <w:rPr>
          <w:rStyle w:val="2"/>
          <w:rFonts w:eastAsiaTheme="minorHAnsi"/>
          <w:sz w:val="26"/>
          <w:szCs w:val="26"/>
          <w:u w:val="none"/>
        </w:rPr>
        <w:t>ei</w:t>
      </w:r>
      <w:r w:rsidRPr="00CE5007">
        <w:rPr>
          <w:rStyle w:val="2"/>
          <w:rFonts w:eastAsiaTheme="minorHAnsi"/>
          <w:sz w:val="26"/>
          <w:szCs w:val="26"/>
          <w:u w:val="none"/>
        </w:rPr>
        <w:t xml:space="preserve"> general</w:t>
      </w:r>
      <w:r>
        <w:rPr>
          <w:rStyle w:val="2"/>
          <w:rFonts w:eastAsiaTheme="minorHAnsi"/>
          <w:sz w:val="26"/>
          <w:szCs w:val="26"/>
          <w:u w:val="none"/>
        </w:rPr>
        <w:t>e</w:t>
      </w:r>
      <w:r w:rsidRPr="00CE5007">
        <w:rPr>
          <w:rStyle w:val="2"/>
          <w:rFonts w:eastAsiaTheme="minorHAnsi"/>
          <w:sz w:val="26"/>
          <w:szCs w:val="26"/>
          <w:u w:val="none"/>
        </w:rPr>
        <w:t xml:space="preserve"> economie, comerț și turism</w:t>
      </w:r>
      <w:r>
        <w:rPr>
          <w:rStyle w:val="2"/>
          <w:rFonts w:eastAsiaTheme="minorHAnsi"/>
          <w:sz w:val="26"/>
          <w:szCs w:val="26"/>
          <w:u w:val="none"/>
        </w:rPr>
        <w:t xml:space="preserve">                                        Roman VITIUC    </w:t>
      </w:r>
    </w:p>
    <w:sectPr w:rsidR="005A5723" w:rsidRPr="005A5723" w:rsidSect="00CE5007">
      <w:pgSz w:w="11906" w:h="16838" w:code="9"/>
      <w:pgMar w:top="426" w:right="0"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D357D"/>
    <w:multiLevelType w:val="multilevel"/>
    <w:tmpl w:val="8BAE39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222C06"/>
    <w:multiLevelType w:val="hybridMultilevel"/>
    <w:tmpl w:val="DB2251F8"/>
    <w:lvl w:ilvl="0" w:tplc="FC8ACED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CC188C"/>
    <w:multiLevelType w:val="hybridMultilevel"/>
    <w:tmpl w:val="11B6C60C"/>
    <w:lvl w:ilvl="0" w:tplc="0A1ACD00">
      <w:start w:val="1"/>
      <w:numFmt w:val="decimal"/>
      <w:lvlText w:val="%1."/>
      <w:lvlJc w:val="left"/>
      <w:pPr>
        <w:ind w:left="720" w:hanging="360"/>
      </w:pPr>
      <w:rPr>
        <w:rFonts w:hint="default"/>
        <w:b/>
        <w:color w:val="00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6F"/>
    <w:rsid w:val="005A5723"/>
    <w:rsid w:val="0079486F"/>
    <w:rsid w:val="008357EC"/>
    <w:rsid w:val="00991030"/>
    <w:rsid w:val="00CE5007"/>
    <w:rsid w:val="00E75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8">
    <w:name w:val="Основной текст (8)_"/>
    <w:basedOn w:val="Fontdeparagrafimplicit"/>
    <w:link w:val="80"/>
    <w:rsid w:val="005A5723"/>
    <w:rPr>
      <w:rFonts w:ascii="Times New Roman" w:eastAsia="Times New Roman" w:hAnsi="Times New Roman" w:cs="Times New Roman"/>
      <w:b/>
      <w:bCs/>
      <w:shd w:val="clear" w:color="auto" w:fill="FFFFFF"/>
    </w:rPr>
  </w:style>
  <w:style w:type="paragraph" w:customStyle="1" w:styleId="80">
    <w:name w:val="Основной текст (8)"/>
    <w:basedOn w:val="Normal"/>
    <w:link w:val="8"/>
    <w:rsid w:val="005A5723"/>
    <w:pPr>
      <w:widowControl w:val="0"/>
      <w:shd w:val="clear" w:color="auto" w:fill="FFFFFF"/>
      <w:spacing w:after="0" w:line="264" w:lineRule="exact"/>
    </w:pPr>
    <w:rPr>
      <w:rFonts w:ascii="Times New Roman" w:eastAsia="Times New Roman" w:hAnsi="Times New Roman" w:cs="Times New Roman"/>
      <w:b/>
      <w:bCs/>
    </w:rPr>
  </w:style>
  <w:style w:type="table" w:styleId="GrilTabel">
    <w:name w:val="Table Grid"/>
    <w:basedOn w:val="TabelNormal"/>
    <w:uiPriority w:val="39"/>
    <w:rsid w:val="005A5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Fontdeparagrafimplicit"/>
    <w:rsid w:val="005A5723"/>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
    <w:name w:val="Основной текст (2)"/>
    <w:basedOn w:val="Fontdeparagrafimplicit"/>
    <w:rsid w:val="005A572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20">
    <w:name w:val="Основной текст (2)_"/>
    <w:basedOn w:val="Fontdeparagrafimplicit"/>
    <w:rsid w:val="005A5723"/>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Fontdeparagrafimplicit"/>
    <w:rsid w:val="005A5723"/>
    <w:rPr>
      <w:rFonts w:ascii="Times New Roman" w:eastAsia="Times New Roman" w:hAnsi="Times New Roman" w:cs="Times New Roman"/>
      <w:b/>
      <w:bCs/>
      <w:i w:val="0"/>
      <w:iCs w:val="0"/>
      <w:smallCaps w:val="0"/>
      <w:strike w:val="0"/>
      <w:sz w:val="22"/>
      <w:szCs w:val="22"/>
      <w:u w:val="none"/>
    </w:rPr>
  </w:style>
  <w:style w:type="paragraph" w:styleId="Listparagraf">
    <w:name w:val="List Paragraph"/>
    <w:basedOn w:val="Normal"/>
    <w:uiPriority w:val="34"/>
    <w:qFormat/>
    <w:rsid w:val="005A57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8">
    <w:name w:val="Основной текст (8)_"/>
    <w:basedOn w:val="Fontdeparagrafimplicit"/>
    <w:link w:val="80"/>
    <w:rsid w:val="005A5723"/>
    <w:rPr>
      <w:rFonts w:ascii="Times New Roman" w:eastAsia="Times New Roman" w:hAnsi="Times New Roman" w:cs="Times New Roman"/>
      <w:b/>
      <w:bCs/>
      <w:shd w:val="clear" w:color="auto" w:fill="FFFFFF"/>
    </w:rPr>
  </w:style>
  <w:style w:type="paragraph" w:customStyle="1" w:styleId="80">
    <w:name w:val="Основной текст (8)"/>
    <w:basedOn w:val="Normal"/>
    <w:link w:val="8"/>
    <w:rsid w:val="005A5723"/>
    <w:pPr>
      <w:widowControl w:val="0"/>
      <w:shd w:val="clear" w:color="auto" w:fill="FFFFFF"/>
      <w:spacing w:after="0" w:line="264" w:lineRule="exact"/>
    </w:pPr>
    <w:rPr>
      <w:rFonts w:ascii="Times New Roman" w:eastAsia="Times New Roman" w:hAnsi="Times New Roman" w:cs="Times New Roman"/>
      <w:b/>
      <w:bCs/>
    </w:rPr>
  </w:style>
  <w:style w:type="table" w:styleId="GrilTabel">
    <w:name w:val="Table Grid"/>
    <w:basedOn w:val="TabelNormal"/>
    <w:uiPriority w:val="39"/>
    <w:rsid w:val="005A5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Fontdeparagrafimplicit"/>
    <w:rsid w:val="005A5723"/>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
    <w:name w:val="Основной текст (2)"/>
    <w:basedOn w:val="Fontdeparagrafimplicit"/>
    <w:rsid w:val="005A572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20">
    <w:name w:val="Основной текст (2)_"/>
    <w:basedOn w:val="Fontdeparagrafimplicit"/>
    <w:rsid w:val="005A5723"/>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Fontdeparagrafimplicit"/>
    <w:rsid w:val="005A5723"/>
    <w:rPr>
      <w:rFonts w:ascii="Times New Roman" w:eastAsia="Times New Roman" w:hAnsi="Times New Roman" w:cs="Times New Roman"/>
      <w:b/>
      <w:bCs/>
      <w:i w:val="0"/>
      <w:iCs w:val="0"/>
      <w:smallCaps w:val="0"/>
      <w:strike w:val="0"/>
      <w:sz w:val="22"/>
      <w:szCs w:val="22"/>
      <w:u w:val="none"/>
    </w:rPr>
  </w:style>
  <w:style w:type="paragraph" w:styleId="Listparagraf">
    <w:name w:val="List Paragraph"/>
    <w:basedOn w:val="Normal"/>
    <w:uiPriority w:val="34"/>
    <w:qFormat/>
    <w:rsid w:val="005A5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EA4A-E7FC-42D9-8B50-A7EA995B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2956</Characters>
  <Application>Microsoft Office Word</Application>
  <DocSecurity>0</DocSecurity>
  <Lines>24</Lines>
  <Paragraphs>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 Veverita</dc:creator>
  <cp:lastModifiedBy>Procopciuc Alina</cp:lastModifiedBy>
  <cp:revision>2</cp:revision>
  <dcterms:created xsi:type="dcterms:W3CDTF">2022-03-11T13:38:00Z</dcterms:created>
  <dcterms:modified xsi:type="dcterms:W3CDTF">2022-03-11T13:38:00Z</dcterms:modified>
</cp:coreProperties>
</file>