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7B60B6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B60B6">
        <w:rPr>
          <w:rFonts w:ascii="Times New Roman" w:hAnsi="Times New Roman"/>
          <w:b/>
          <w:color w:val="000000" w:themeColor="text1"/>
          <w:sz w:val="26"/>
          <w:szCs w:val="26"/>
        </w:rPr>
        <w:t>NOTĂ INFORMATIVĂ</w:t>
      </w:r>
    </w:p>
    <w:p w:rsidR="00F725D2" w:rsidRPr="00FE5E6C" w:rsidRDefault="00F725D2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F725D2" w:rsidRPr="00FE5E6C" w:rsidRDefault="00F725D2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FE5E6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la proiectul ordinului ministrului finanțelor cu privire la modificarea Ordinului ministrului finanțelor nr.135/2017</w:t>
      </w:r>
      <w:r w:rsidR="009D687A" w:rsidRPr="00FE5E6C">
        <w:rPr>
          <w:lang w:val="ro-RO"/>
        </w:rPr>
        <w:t xml:space="preserve"> </w:t>
      </w:r>
      <w:r w:rsidR="00C1039A" w:rsidRPr="00FE5E6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</w:t>
      </w:r>
      <w:r w:rsidR="009D687A" w:rsidRPr="00FE5E6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privire la aprobarea formularelor dărilor de seamă ce vizează impozitul unic datorat de rezidenții parcurilor pentru tehnologia informației</w:t>
      </w:r>
    </w:p>
    <w:p w:rsidR="00F725D2" w:rsidRPr="007B60B6" w:rsidRDefault="00F725D2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7B60B6" w:rsidTr="00C43986">
        <w:tc>
          <w:tcPr>
            <w:tcW w:w="9771" w:type="dxa"/>
            <w:vAlign w:val="center"/>
          </w:tcPr>
          <w:p w:rsidR="007C7011" w:rsidRPr="007B60B6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1.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şi, după caz, a participanţilor la elaborarea proiectului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7B60B6" w:rsidTr="00C43986">
        <w:trPr>
          <w:trHeight w:val="499"/>
        </w:trPr>
        <w:tc>
          <w:tcPr>
            <w:tcW w:w="9771" w:type="dxa"/>
            <w:vAlign w:val="center"/>
          </w:tcPr>
          <w:p w:rsidR="007C7011" w:rsidRPr="007B60B6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Ministerul Finanțelor</w:t>
            </w: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7C7011" w:rsidRPr="007B60B6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2.</w:t>
            </w:r>
            <w:r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8654E1" w:rsidRPr="007B60B6" w:rsidTr="00C43986">
        <w:trPr>
          <w:trHeight w:val="6463"/>
        </w:trPr>
        <w:tc>
          <w:tcPr>
            <w:tcW w:w="9771" w:type="dxa"/>
            <w:vAlign w:val="center"/>
          </w:tcPr>
          <w:p w:rsidR="00F62568" w:rsidRDefault="00A97DDB" w:rsidP="001D0DEA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Proiectul ordinului nominalizat a fost elaborat în 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scopul ajustării noțiunilor utilizate</w:t>
            </w:r>
            <w:r w:rsidR="006E7849">
              <w:t xml:space="preserve"> </w:t>
            </w:r>
            <w:r w:rsidR="006E7849" w:rsidRPr="006E784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în textul Ordinului </w:t>
            </w:r>
            <w:r w:rsidR="00EF063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ministrului finanțelor </w:t>
            </w:r>
            <w:r w:rsidR="006E7849" w:rsidRPr="006E784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nr.135/2017</w:t>
            </w:r>
            <w:r w:rsidR="00AA7E05">
              <w:t xml:space="preserve"> </w:t>
            </w:r>
            <w:r w:rsidR="00AA7E05" w:rsidRPr="00AA7E0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privire la aprobarea formularelor dărilor de seamă ce vizează impozitul unic datorat de rezidenții parcurilo</w:t>
            </w:r>
            <w:r w:rsidR="00AA7E0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 pentru tehnologia informației,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la cele expuse în Codul fiscal, precum și în vederea corelării modificărilor operate prin </w:t>
            </w:r>
            <w:r w:rsidR="00F62568" w:rsidRP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Legea nr.204/2021 pentru modificarea unor acte normative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în partea ce ține de regimul fiscal </w:t>
            </w:r>
            <w:r w:rsidR="00F62568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al rezidenților parcurilor pentru tehnologia informației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7E3133" w:rsidRPr="007B60B6" w:rsidRDefault="001920C0" w:rsidP="00441D65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În acest context, </w:t>
            </w:r>
            <w:r w:rsidR="0031543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prin Legea nr.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204/2021</w:t>
            </w:r>
            <w:r w:rsidR="00B50DB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E3133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au fost operate unele modificări ce au menirea de a concretiza prevederile normelor aferente</w:t>
            </w:r>
            <w:r w:rsidR="007E3133" w:rsidRPr="007B60B6">
              <w:rPr>
                <w:sz w:val="24"/>
                <w:szCs w:val="24"/>
              </w:rPr>
              <w:t xml:space="preserve"> </w:t>
            </w:r>
            <w:r w:rsidR="007E3133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obiectului impunerii cu impozitul unic, precum și a 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modului de stabilire</w:t>
            </w:r>
            <w:r w:rsidR="007E3133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6385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 w:rsidR="007E3133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formulei de calcul a activității principale a rezidenților parcurilor pentru tehnologii informaționale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 scopul aplicării regimului</w:t>
            </w:r>
            <w:r w:rsidR="00F62568">
              <w:t xml:space="preserve"> </w:t>
            </w:r>
            <w:r w:rsidR="00F62568" w:rsidRP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fiscal </w:t>
            </w:r>
            <w:r w:rsidR="00B50DB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special de impozitare</w:t>
            </w:r>
            <w:r w:rsidR="00F62568" w:rsidRP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F62568" w:rsidRDefault="006A678A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Astfel, 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propune substituirea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în textul Ordinului</w:t>
            </w:r>
            <w:r w:rsidR="00EF063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ministrului finanțelor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DA5946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nr.135/2017</w:t>
            </w:r>
            <w:r w:rsidR="00F6256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:rsidR="00F62568" w:rsidRDefault="00F62568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 w:rsidR="000B2FD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textul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="000B2FD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"sau de la începutul </w:t>
            </w:r>
            <w:r w:rsidR="000B1994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activității</w:t>
            </w:r>
            <w:r w:rsidR="000B2FD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 parcul pentru tehnologia </w:t>
            </w:r>
            <w:r w:rsidR="008B674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informației</w:t>
            </w:r>
            <w:r w:rsidR="00CE147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" cu textul "</w:t>
            </w:r>
            <w:r w:rsidR="000B2FD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dacă statutul de rezident al parcului a fost dobândit în anii calendaristici </w:t>
            </w:r>
            <w:r w:rsidR="000B1994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precedenți</w:t>
            </w:r>
            <w:r w:rsidR="000B2FD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 sau de la aplicarea regimului special de impozitare, dacă statutul de rezident al parcului a fost dobândit în anul calendaristic curent";</w:t>
            </w:r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F62568" w:rsidRDefault="00F62568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 </w:t>
            </w:r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cuvintel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or</w:t>
            </w:r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"au lucrat cel </w:t>
            </w:r>
            <w:proofErr w:type="spellStart"/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puţin</w:t>
            </w:r>
            <w:proofErr w:type="spellEnd"/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o zi" cu textul "au lucrat ori s-au aflat în orice tip de concediu plătit sau altă </w:t>
            </w:r>
            <w:proofErr w:type="spellStart"/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situaţie</w:t>
            </w:r>
            <w:proofErr w:type="spellEnd"/>
            <w:r w:rsidR="006A678A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 care, în regim standard de impozitare, ar fi realizat</w:t>
            </w:r>
            <w:r w:rsidR="00DA5946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venit asigurat cel </w:t>
            </w:r>
            <w:proofErr w:type="spellStart"/>
            <w:r w:rsidR="00DA5946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puţin</w:t>
            </w:r>
            <w:proofErr w:type="spellEnd"/>
            <w:r w:rsidR="00DA5946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o zi"; </w:t>
            </w:r>
          </w:p>
          <w:p w:rsidR="00F62568" w:rsidRDefault="00F62568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 </w:t>
            </w:r>
            <w:r w:rsidR="00EE4975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textul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="00EE4975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"vânzarea produselor (mărfurilor), prestarea serviciilor, executarea lucrărilor" cu cuvântul "vânzări"; </w:t>
            </w:r>
          </w:p>
          <w:p w:rsidR="00F62568" w:rsidRDefault="00F62568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 textului </w:t>
            </w:r>
            <w:r w:rsidR="00EE4975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„salariul și alte plăți”,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precum și textul</w:t>
            </w:r>
            <w:r w:rsidR="00EE4975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„salariu, plăți de stimulare și compensare” cu sintagma „plăți salariale”</w:t>
            </w:r>
            <w:r w:rsid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; </w:t>
            </w:r>
          </w:p>
          <w:p w:rsidR="00EE4975" w:rsidRDefault="00F62568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 </w:t>
            </w:r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textul</w:t>
            </w:r>
            <w:r w:rsidR="003D48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„venitului din salariu îndreptat spre achitare în perioada fiscală, care include salariul de bază, salariul suplimentar, precum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plăţile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stimulare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compensare, inclusiv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facilităţile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acordate de către angajator” cu textul „plăților efectuate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angajaţilor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sau în folosul acestora de către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rezidenţii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parcurilor pentru tehnologia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informaţiei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 baza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muncii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actelor normative ce </w:t>
            </w:r>
            <w:proofErr w:type="spellStart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conţin</w:t>
            </w:r>
            <w:proofErr w:type="spellEnd"/>
            <w:r w:rsidR="000D6AEE" w:rsidRPr="000D6AE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norme ale dreptului muncii.”</w:t>
            </w:r>
            <w:r w:rsidR="00496B3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:rsidR="00496B3B" w:rsidRPr="007B60B6" w:rsidRDefault="00496B3B" w:rsidP="00DA594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 w:rsid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textul</w:t>
            </w:r>
            <w:r w:rsid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„salariu îndreptat spre achitare în perioada fiscală, care include salariul de bază, salariul suplimentar, precum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plăţile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stimulare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compensare, inclusiv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facilităţile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acordate de către angajator” cu textul „plățile efectuate angajatului sau în folosul acestuia, în perioada fiscală, în baza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muncii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actelor normative ce </w:t>
            </w:r>
            <w:proofErr w:type="spellStart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conţin</w:t>
            </w:r>
            <w:proofErr w:type="spellEnd"/>
            <w:r w:rsidR="007E64B3" w:rsidRPr="007E64B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norme ale dreptului muncii”.</w:t>
            </w:r>
          </w:p>
          <w:p w:rsidR="00BF7F40" w:rsidRPr="007B60B6" w:rsidRDefault="00BF7F40" w:rsidP="007B60B6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7C7011" w:rsidRPr="007B60B6" w:rsidRDefault="007B60B6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3.</w:t>
            </w:r>
            <w:r w:rsidR="00E93750">
              <w:t xml:space="preserve"> </w:t>
            </w:r>
            <w:r w:rsidR="00E93750" w:rsidRPr="00E93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Principalele prevederi ale proiectului </w:t>
            </w:r>
            <w:proofErr w:type="spellStart"/>
            <w:r w:rsidR="00E93750" w:rsidRPr="00E93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="00E93750" w:rsidRPr="00E93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93750" w:rsidRPr="00E93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evidenţierea</w:t>
            </w:r>
            <w:proofErr w:type="spellEnd"/>
            <w:r w:rsidR="00E93750" w:rsidRPr="00E9375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elementelor noi  </w:t>
            </w: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6F5129" w:rsidRPr="007B60B6" w:rsidRDefault="005B5AAC" w:rsidP="000E7F57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Modificările și completările propuse rezultă din necesitatea</w:t>
            </w:r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corelării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prevederilor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actelor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normative elaborate de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Finanțelor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sz w:val="24"/>
                <w:szCs w:val="24"/>
              </w:rPr>
              <w:t>Codului</w:t>
            </w:r>
            <w:proofErr w:type="spellEnd"/>
            <w:r w:rsidRPr="007B60B6">
              <w:rPr>
                <w:rFonts w:ascii="Times New Roman" w:hAnsi="Times New Roman"/>
                <w:sz w:val="24"/>
                <w:szCs w:val="24"/>
              </w:rPr>
              <w:t xml:space="preserve"> fiscal</w:t>
            </w:r>
            <w:r w:rsidR="00EE759B" w:rsidRPr="007B60B6">
              <w:rPr>
                <w:rFonts w:ascii="Times New Roman" w:hAnsi="Times New Roman"/>
                <w:sz w:val="24"/>
                <w:szCs w:val="24"/>
              </w:rPr>
              <w:t>.</w:t>
            </w:r>
            <w:r w:rsidRPr="007B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129" w:rsidRPr="007B60B6" w:rsidRDefault="006F5129" w:rsidP="005B5AAC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7C7011" w:rsidRPr="007B60B6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4</w:t>
            </w:r>
            <w:r w:rsidR="007C7011"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Fundamentarea economico-financiară  </w:t>
            </w:r>
          </w:p>
        </w:tc>
      </w:tr>
      <w:tr w:rsidR="008654E1" w:rsidRPr="007B60B6" w:rsidTr="00C43986">
        <w:trPr>
          <w:trHeight w:val="499"/>
        </w:trPr>
        <w:tc>
          <w:tcPr>
            <w:tcW w:w="9771" w:type="dxa"/>
            <w:vAlign w:val="center"/>
          </w:tcPr>
          <w:p w:rsidR="007C7011" w:rsidRPr="007B60B6" w:rsidRDefault="002B1F81" w:rsidP="0092332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Prezentul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proiect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="0092332B"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ordinului</w:t>
            </w:r>
            <w:proofErr w:type="spellEnd"/>
            <w:r w:rsidR="0092332B"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32B"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ministrului</w:t>
            </w:r>
            <w:proofErr w:type="spellEnd"/>
            <w:r w:rsidR="0092332B"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32B"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finanțelor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cheltuieli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</w:t>
            </w:r>
            <w:proofErr w:type="spellStart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public.</w:t>
            </w: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7C7011" w:rsidRPr="007B60B6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7C7011"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2B1F81" w:rsidRPr="007B60B6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654E1" w:rsidRPr="007B60B6" w:rsidTr="00FE2CA5">
        <w:trPr>
          <w:trHeight w:val="62"/>
        </w:trPr>
        <w:tc>
          <w:tcPr>
            <w:tcW w:w="9771" w:type="dxa"/>
            <w:vAlign w:val="center"/>
          </w:tcPr>
          <w:p w:rsidR="007C7011" w:rsidRPr="007B60B6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C7011" w:rsidRPr="007B60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C7011" w:rsidRPr="007B6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Avizarea şi consultarea publică a proiectului</w:t>
            </w:r>
            <w:r w:rsidR="007C7011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7B60B6" w:rsidTr="00C43986">
        <w:tc>
          <w:tcPr>
            <w:tcW w:w="9771" w:type="dxa"/>
            <w:vAlign w:val="center"/>
          </w:tcPr>
          <w:p w:rsidR="008654E1" w:rsidRPr="007B60B6" w:rsidRDefault="008654E1" w:rsidP="007504C8">
            <w:pPr>
              <w:spacing w:after="0"/>
              <w:ind w:firstLine="30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În conformitate cu art. 15 din Legea nr. 239 – XVI din 13 noiembrie 2008 privind transparența în procesul decizional, la data de </w:t>
            </w:r>
            <w:r w:rsidR="007504C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08 aprilie</w:t>
            </w:r>
            <w:bookmarkStart w:id="0" w:name="_GoBack"/>
            <w:bookmarkEnd w:id="0"/>
            <w:r w:rsidR="0038705D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2022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pe pagina web a </w:t>
            </w:r>
            <w:r w:rsidR="005B5AAC"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Ministerului Finanțelor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 fost plasat </w:t>
            </w:r>
            <w:r w:rsidR="0038705D" w:rsidRPr="007B60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proiectul</w:t>
            </w:r>
            <w:r w:rsidRPr="007B60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8705D" w:rsidRPr="007B60B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ordinului ministrului finanțelor cu privire la modificarea Ordinului ministrului finanțelor nr.135/2017 </w:t>
            </w:r>
            <w:r w:rsidRPr="00C4398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(</w:t>
            </w:r>
            <w:r w:rsidR="005B5AAC" w:rsidRPr="00C4398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http://mf.gov.md/ro/transparen%C8%9Ba-decizional%C4%83/procesul-decizional</w:t>
            </w:r>
            <w:r w:rsidRPr="00C4398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  <w:r w:rsidRPr="007B60B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</w:tbl>
    <w:p w:rsidR="007C7011" w:rsidRPr="007B60B6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C7011" w:rsidRPr="007B60B6" w:rsidSect="00FE2CA5">
      <w:headerReference w:type="default" r:id="rId7"/>
      <w:pgSz w:w="11907" w:h="16840" w:code="9"/>
      <w:pgMar w:top="426" w:right="850" w:bottom="1276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AF" w:rsidRDefault="002677AF">
      <w:pPr>
        <w:spacing w:after="0" w:line="240" w:lineRule="auto"/>
      </w:pPr>
      <w:r>
        <w:separator/>
      </w:r>
    </w:p>
  </w:endnote>
  <w:endnote w:type="continuationSeparator" w:id="0">
    <w:p w:rsidR="002677AF" w:rsidRDefault="0026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AF" w:rsidRDefault="002677AF">
      <w:pPr>
        <w:spacing w:after="0" w:line="240" w:lineRule="auto"/>
      </w:pPr>
      <w:r>
        <w:separator/>
      </w:r>
    </w:p>
  </w:footnote>
  <w:footnote w:type="continuationSeparator" w:id="0">
    <w:p w:rsidR="002677AF" w:rsidRDefault="0026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2677AF" w:rsidP="000E695F">
    <w:pPr>
      <w:pStyle w:val="a3"/>
      <w:jc w:val="right"/>
      <w:rPr>
        <w:rFonts w:ascii="Times New Roman" w:hAnsi="Times New Roman"/>
        <w:i/>
      </w:rPr>
    </w:pPr>
  </w:p>
  <w:p w:rsidR="000E695F" w:rsidRDefault="002677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9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1474D"/>
    <w:rsid w:val="00024A67"/>
    <w:rsid w:val="0009524A"/>
    <w:rsid w:val="000A1B99"/>
    <w:rsid w:val="000B1994"/>
    <w:rsid w:val="000B2FDC"/>
    <w:rsid w:val="000B5622"/>
    <w:rsid w:val="000D6AEE"/>
    <w:rsid w:val="000E7F57"/>
    <w:rsid w:val="00121BB2"/>
    <w:rsid w:val="00126B3D"/>
    <w:rsid w:val="0015305B"/>
    <w:rsid w:val="00166A53"/>
    <w:rsid w:val="0017794D"/>
    <w:rsid w:val="00180AA5"/>
    <w:rsid w:val="001920C0"/>
    <w:rsid w:val="00195567"/>
    <w:rsid w:val="001B3B3F"/>
    <w:rsid w:val="001D0DEA"/>
    <w:rsid w:val="001F65A1"/>
    <w:rsid w:val="00200C8D"/>
    <w:rsid w:val="002105D3"/>
    <w:rsid w:val="00227F72"/>
    <w:rsid w:val="00230E0B"/>
    <w:rsid w:val="002677AF"/>
    <w:rsid w:val="002B1F81"/>
    <w:rsid w:val="002B364C"/>
    <w:rsid w:val="002E2A62"/>
    <w:rsid w:val="002F631C"/>
    <w:rsid w:val="0031543E"/>
    <w:rsid w:val="003202F2"/>
    <w:rsid w:val="003343D0"/>
    <w:rsid w:val="00336094"/>
    <w:rsid w:val="00353040"/>
    <w:rsid w:val="00355CA9"/>
    <w:rsid w:val="00361122"/>
    <w:rsid w:val="00364DC0"/>
    <w:rsid w:val="0038705D"/>
    <w:rsid w:val="003A4DD3"/>
    <w:rsid w:val="003D4876"/>
    <w:rsid w:val="003E20A2"/>
    <w:rsid w:val="004300DB"/>
    <w:rsid w:val="00432B78"/>
    <w:rsid w:val="00441D65"/>
    <w:rsid w:val="004512BC"/>
    <w:rsid w:val="00463F34"/>
    <w:rsid w:val="00496B3B"/>
    <w:rsid w:val="004B6438"/>
    <w:rsid w:val="004B6DB0"/>
    <w:rsid w:val="004D0552"/>
    <w:rsid w:val="004D17F9"/>
    <w:rsid w:val="00520B85"/>
    <w:rsid w:val="005363EF"/>
    <w:rsid w:val="00551822"/>
    <w:rsid w:val="005926EE"/>
    <w:rsid w:val="005A1D38"/>
    <w:rsid w:val="005A36E0"/>
    <w:rsid w:val="005B5AAC"/>
    <w:rsid w:val="005E1891"/>
    <w:rsid w:val="00615D25"/>
    <w:rsid w:val="00621494"/>
    <w:rsid w:val="00646DF2"/>
    <w:rsid w:val="00647B75"/>
    <w:rsid w:val="006643D6"/>
    <w:rsid w:val="006A678A"/>
    <w:rsid w:val="006B1C4E"/>
    <w:rsid w:val="006E7849"/>
    <w:rsid w:val="006F5129"/>
    <w:rsid w:val="006F6E0C"/>
    <w:rsid w:val="007228CE"/>
    <w:rsid w:val="00722CE0"/>
    <w:rsid w:val="00723981"/>
    <w:rsid w:val="0073230E"/>
    <w:rsid w:val="00743306"/>
    <w:rsid w:val="007504C8"/>
    <w:rsid w:val="00770A80"/>
    <w:rsid w:val="007735A8"/>
    <w:rsid w:val="007750EE"/>
    <w:rsid w:val="00777D5F"/>
    <w:rsid w:val="007828B8"/>
    <w:rsid w:val="007A7439"/>
    <w:rsid w:val="007B17BB"/>
    <w:rsid w:val="007B60B6"/>
    <w:rsid w:val="007C7011"/>
    <w:rsid w:val="007E238D"/>
    <w:rsid w:val="007E3133"/>
    <w:rsid w:val="007E64B3"/>
    <w:rsid w:val="007F714C"/>
    <w:rsid w:val="00800163"/>
    <w:rsid w:val="00804DB3"/>
    <w:rsid w:val="00817D90"/>
    <w:rsid w:val="00835759"/>
    <w:rsid w:val="00863854"/>
    <w:rsid w:val="008654E1"/>
    <w:rsid w:val="00883F10"/>
    <w:rsid w:val="008B0CE6"/>
    <w:rsid w:val="008B5A1C"/>
    <w:rsid w:val="008B674C"/>
    <w:rsid w:val="008C2090"/>
    <w:rsid w:val="008D7AD4"/>
    <w:rsid w:val="008E438E"/>
    <w:rsid w:val="00901C1B"/>
    <w:rsid w:val="009044CE"/>
    <w:rsid w:val="00905946"/>
    <w:rsid w:val="00913116"/>
    <w:rsid w:val="0092332B"/>
    <w:rsid w:val="00977F38"/>
    <w:rsid w:val="009A5B92"/>
    <w:rsid w:val="009A6DA2"/>
    <w:rsid w:val="009C0B31"/>
    <w:rsid w:val="009D687A"/>
    <w:rsid w:val="00A258F3"/>
    <w:rsid w:val="00A459E8"/>
    <w:rsid w:val="00A844C6"/>
    <w:rsid w:val="00A85519"/>
    <w:rsid w:val="00A97DDB"/>
    <w:rsid w:val="00AA7E05"/>
    <w:rsid w:val="00AC13F0"/>
    <w:rsid w:val="00AD434B"/>
    <w:rsid w:val="00B11479"/>
    <w:rsid w:val="00B50DB7"/>
    <w:rsid w:val="00B9459F"/>
    <w:rsid w:val="00BD297C"/>
    <w:rsid w:val="00BD4DA6"/>
    <w:rsid w:val="00BF0819"/>
    <w:rsid w:val="00BF7F40"/>
    <w:rsid w:val="00C1039A"/>
    <w:rsid w:val="00C154C6"/>
    <w:rsid w:val="00C20F83"/>
    <w:rsid w:val="00C35A53"/>
    <w:rsid w:val="00C43986"/>
    <w:rsid w:val="00C74EEA"/>
    <w:rsid w:val="00C90582"/>
    <w:rsid w:val="00C97708"/>
    <w:rsid w:val="00CA5AC6"/>
    <w:rsid w:val="00CC55B8"/>
    <w:rsid w:val="00CE1472"/>
    <w:rsid w:val="00D06A46"/>
    <w:rsid w:val="00D94A05"/>
    <w:rsid w:val="00DA5946"/>
    <w:rsid w:val="00DC0573"/>
    <w:rsid w:val="00DE3A7B"/>
    <w:rsid w:val="00DF0332"/>
    <w:rsid w:val="00DF38F8"/>
    <w:rsid w:val="00E01863"/>
    <w:rsid w:val="00E2330E"/>
    <w:rsid w:val="00E3205B"/>
    <w:rsid w:val="00E437D1"/>
    <w:rsid w:val="00E65246"/>
    <w:rsid w:val="00E66A91"/>
    <w:rsid w:val="00E71149"/>
    <w:rsid w:val="00E93750"/>
    <w:rsid w:val="00E951DF"/>
    <w:rsid w:val="00EB11BC"/>
    <w:rsid w:val="00ED028B"/>
    <w:rsid w:val="00ED2B39"/>
    <w:rsid w:val="00ED3AB3"/>
    <w:rsid w:val="00EE4975"/>
    <w:rsid w:val="00EE759B"/>
    <w:rsid w:val="00EF0639"/>
    <w:rsid w:val="00EF7630"/>
    <w:rsid w:val="00F245F7"/>
    <w:rsid w:val="00F35AD8"/>
    <w:rsid w:val="00F56B67"/>
    <w:rsid w:val="00F62568"/>
    <w:rsid w:val="00F63F22"/>
    <w:rsid w:val="00F67B5C"/>
    <w:rsid w:val="00F725D2"/>
    <w:rsid w:val="00F75FC1"/>
    <w:rsid w:val="00F77ECE"/>
    <w:rsid w:val="00F8561B"/>
    <w:rsid w:val="00F86E52"/>
    <w:rsid w:val="00F9587E"/>
    <w:rsid w:val="00FB45A4"/>
    <w:rsid w:val="00FD47C2"/>
    <w:rsid w:val="00FD6627"/>
    <w:rsid w:val="00FD7CB8"/>
    <w:rsid w:val="00FE23B7"/>
    <w:rsid w:val="00FE2CA5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ED7F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Trocin Irina</cp:lastModifiedBy>
  <cp:revision>290</cp:revision>
  <cp:lastPrinted>2022-04-08T05:20:00Z</cp:lastPrinted>
  <dcterms:created xsi:type="dcterms:W3CDTF">2019-10-03T13:45:00Z</dcterms:created>
  <dcterms:modified xsi:type="dcterms:W3CDTF">2022-04-11T08:00:00Z</dcterms:modified>
</cp:coreProperties>
</file>