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D97" w:rsidRDefault="006F2D58" w:rsidP="00FF0D97">
      <w:pPr>
        <w:pStyle w:val="BodyText"/>
        <w:jc w:val="center"/>
        <w:rPr>
          <w:bCs/>
          <w:szCs w:val="28"/>
        </w:rPr>
      </w:pPr>
      <w:r>
        <w:rPr>
          <w:szCs w:val="28"/>
        </w:rPr>
        <w:t>NOTĂ INFORMATIVĂ</w:t>
      </w:r>
      <w:r>
        <w:rPr>
          <w:szCs w:val="28"/>
        </w:rPr>
        <w:br/>
        <w:t xml:space="preserve">privind </w:t>
      </w:r>
      <w:bookmarkStart w:id="0" w:name="_GoBack"/>
      <w:r w:rsidR="009D0500">
        <w:rPr>
          <w:szCs w:val="28"/>
        </w:rPr>
        <w:t xml:space="preserve">proiectul de modificare a Hotărârii Guvernului </w:t>
      </w:r>
      <w:r w:rsidR="009D0500" w:rsidRPr="001773F7">
        <w:rPr>
          <w:szCs w:val="28"/>
          <w:lang w:eastAsia="en-GB"/>
        </w:rPr>
        <w:t>nr. 1129/2018 pentru aprobarea Regulamentului privind ajustarea periodică a valorii contractelor de achiziții publice cu executarea continuă, încheiate pe un termen mai mare de un</w:t>
      </w:r>
      <w:r w:rsidR="005F6057">
        <w:rPr>
          <w:szCs w:val="28"/>
          <w:lang w:eastAsia="en-GB"/>
        </w:rPr>
        <w:t xml:space="preserve"> an</w:t>
      </w:r>
      <w:bookmarkEnd w:id="0"/>
    </w:p>
    <w:p w:rsidR="00D01F95" w:rsidRDefault="00D01F95" w:rsidP="00FF0D97">
      <w:pPr>
        <w:pStyle w:val="BodyText"/>
        <w:jc w:val="center"/>
        <w:rPr>
          <w:b w:val="0"/>
          <w:szCs w:val="28"/>
        </w:rPr>
      </w:pPr>
    </w:p>
    <w:tbl>
      <w:tblPr>
        <w:tblW w:w="9832" w:type="dxa"/>
        <w:tblLook w:val="04A0" w:firstRow="1" w:lastRow="0" w:firstColumn="1" w:lastColumn="0" w:noHBand="0" w:noVBand="1"/>
      </w:tblPr>
      <w:tblGrid>
        <w:gridCol w:w="9832"/>
      </w:tblGrid>
      <w:tr w:rsidR="00D01F95" w:rsidRPr="0080603D">
        <w:tc>
          <w:tcPr>
            <w:tcW w:w="98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01F95" w:rsidRPr="00636AB2" w:rsidRDefault="006F2D58">
            <w:pPr>
              <w:jc w:val="both"/>
              <w:rPr>
                <w:b/>
                <w:sz w:val="28"/>
                <w:szCs w:val="28"/>
                <w:lang w:val="it-IT"/>
              </w:rPr>
            </w:pPr>
            <w:r w:rsidRPr="00636AB2">
              <w:rPr>
                <w:b/>
                <w:sz w:val="28"/>
                <w:szCs w:val="28"/>
                <w:lang w:val="it-IT"/>
              </w:rPr>
              <w:t>Denumirea autorului și după caz, a participanților la elaborarea proiectului</w:t>
            </w:r>
          </w:p>
        </w:tc>
      </w:tr>
      <w:tr w:rsidR="00D01F95">
        <w:tc>
          <w:tcPr>
            <w:tcW w:w="983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1F95" w:rsidRDefault="006F2D58" w:rsidP="0080603D">
            <w:pPr>
              <w:ind w:firstLine="447"/>
              <w:jc w:val="both"/>
              <w:rPr>
                <w:sz w:val="28"/>
                <w:szCs w:val="28"/>
              </w:rPr>
            </w:pPr>
            <w:r>
              <w:rPr>
                <w:sz w:val="28"/>
                <w:szCs w:val="28"/>
              </w:rPr>
              <w:t>Ministerul Finanțelor</w:t>
            </w:r>
          </w:p>
        </w:tc>
      </w:tr>
      <w:tr w:rsidR="00D01F95" w:rsidRPr="0080603D">
        <w:tc>
          <w:tcPr>
            <w:tcW w:w="98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01F95" w:rsidRPr="00636AB2" w:rsidRDefault="006F2D58">
            <w:pPr>
              <w:jc w:val="both"/>
              <w:rPr>
                <w:b/>
                <w:sz w:val="28"/>
                <w:szCs w:val="28"/>
                <w:lang w:val="it-IT"/>
              </w:rPr>
            </w:pPr>
            <w:r w:rsidRPr="00636AB2">
              <w:rPr>
                <w:b/>
                <w:sz w:val="28"/>
                <w:szCs w:val="28"/>
                <w:lang w:val="it-IT"/>
              </w:rPr>
              <w:t>Condițiile ce au impus elaborarea proiectului de act normativ și finalitățile urmărite</w:t>
            </w:r>
          </w:p>
        </w:tc>
      </w:tr>
      <w:tr w:rsidR="00D01F95" w:rsidRPr="0080603D">
        <w:tc>
          <w:tcPr>
            <w:tcW w:w="9832" w:type="dxa"/>
            <w:tcBorders>
              <w:top w:val="single" w:sz="4" w:space="0" w:color="000000"/>
              <w:left w:val="single" w:sz="4" w:space="0" w:color="000000"/>
              <w:bottom w:val="single" w:sz="4" w:space="0" w:color="000000"/>
              <w:right w:val="single" w:sz="4" w:space="0" w:color="000000"/>
            </w:tcBorders>
            <w:shd w:val="clear" w:color="auto" w:fill="auto"/>
          </w:tcPr>
          <w:p w:rsidR="00B146E4" w:rsidRDefault="00B146E4" w:rsidP="00861D5A">
            <w:pPr>
              <w:ind w:firstLine="426"/>
              <w:jc w:val="both"/>
              <w:rPr>
                <w:sz w:val="28"/>
                <w:szCs w:val="28"/>
                <w:lang w:val="en-US"/>
              </w:rPr>
            </w:pPr>
            <w:r>
              <w:rPr>
                <w:sz w:val="28"/>
                <w:szCs w:val="28"/>
                <w:lang w:val="en-US"/>
              </w:rPr>
              <w:t xml:space="preserve">Legea nr.131/2015 privind achizițiile publice, la art.74 alin. (4) permite </w:t>
            </w:r>
            <w:r w:rsidRPr="00B146E4">
              <w:rPr>
                <w:sz w:val="28"/>
                <w:szCs w:val="28"/>
                <w:lang w:val="ro-RO"/>
              </w:rPr>
              <w:t>ajustarea periodică a valorii contractelor de achiziții publice cu executare continuă, încheiate pe un termen mai mare de un an</w:t>
            </w:r>
            <w:r>
              <w:rPr>
                <w:sz w:val="28"/>
                <w:szCs w:val="28"/>
                <w:lang w:val="ro-RO"/>
              </w:rPr>
              <w:t>, conform procedurii stabilite de Guvern prin Hotărârea Guvernului nr.1129/2018. Conform Regulamentului aprobat prin Hotărârea Guvernului nr.1129/2018, a</w:t>
            </w:r>
            <w:r w:rsidRPr="00B146E4">
              <w:rPr>
                <w:sz w:val="28"/>
                <w:szCs w:val="28"/>
                <w:lang w:val="ro-RO"/>
              </w:rPr>
              <w:t>justarea valorii contractului de achiziţii publice încheiat pe un termen mai mare de un an se efectuează ţinînd cont de rata inflaţiei sau deflaţiei, calculată pentru anul precedent ajustării şi publicată de Biroul Naţional de Statistică în mijloacele oficiale de informare în masă</w:t>
            </w:r>
            <w:r w:rsidR="006918A7">
              <w:rPr>
                <w:sz w:val="28"/>
                <w:szCs w:val="28"/>
                <w:lang w:val="ro-RO"/>
              </w:rPr>
              <w:t>.</w:t>
            </w:r>
          </w:p>
          <w:p w:rsidR="00B146E4" w:rsidRPr="00645CFA" w:rsidRDefault="00645CFA" w:rsidP="00861D5A">
            <w:pPr>
              <w:ind w:firstLine="426"/>
              <w:jc w:val="both"/>
              <w:rPr>
                <w:sz w:val="28"/>
                <w:szCs w:val="28"/>
                <w:lang w:val="ro-MD"/>
              </w:rPr>
            </w:pPr>
            <w:r w:rsidRPr="00645CFA">
              <w:rPr>
                <w:sz w:val="28"/>
                <w:szCs w:val="28"/>
                <w:lang w:val="ro-MD"/>
              </w:rPr>
              <w:t>Din datele și semnalele primite din partea operatorilor economici și autorităților contractante</w:t>
            </w:r>
            <w:r w:rsidR="00251AEC">
              <w:rPr>
                <w:sz w:val="28"/>
                <w:szCs w:val="28"/>
                <w:lang w:val="ro-MD"/>
              </w:rPr>
              <w:t xml:space="preserve"> ca părți a</w:t>
            </w:r>
            <w:r w:rsidRPr="00645CFA">
              <w:rPr>
                <w:sz w:val="28"/>
                <w:szCs w:val="28"/>
                <w:lang w:val="ro-MD"/>
              </w:rPr>
              <w:t xml:space="preserve"> contractelor de achiziții publice de lucrări, în prezent Republica Moldova se confruntă cu o escaladare a prețurilor din domeniul construcțiilor, fapt ce a condus la o criză în domeniu la nivel național.</w:t>
            </w:r>
          </w:p>
          <w:p w:rsidR="006918A7" w:rsidRPr="00645CFA" w:rsidRDefault="00302FC6" w:rsidP="00861D5A">
            <w:pPr>
              <w:ind w:firstLine="426"/>
              <w:jc w:val="both"/>
              <w:rPr>
                <w:sz w:val="28"/>
                <w:szCs w:val="28"/>
                <w:lang w:val="ro-MD"/>
              </w:rPr>
            </w:pPr>
            <w:r w:rsidRPr="00645CFA">
              <w:rPr>
                <w:sz w:val="28"/>
                <w:szCs w:val="28"/>
                <w:lang w:val="ro-MD"/>
              </w:rPr>
              <w:t>Necesitatea actualizării valorilor contractelor de achiziție publică de lucrări intervine cu atât mai mult cu cât realitatea economică actuală este masiv influențată de</w:t>
            </w:r>
            <w:r w:rsidR="006918A7" w:rsidRPr="00645CFA">
              <w:rPr>
                <w:sz w:val="28"/>
                <w:szCs w:val="28"/>
                <w:lang w:val="ro-MD"/>
              </w:rPr>
              <w:t xml:space="preserve"> majorarea considerabilă a prețurilor la combustibil și gaze cu circa 50%, con</w:t>
            </w:r>
            <w:r w:rsidR="00645CFA">
              <w:rPr>
                <w:sz w:val="28"/>
                <w:szCs w:val="28"/>
                <w:lang w:val="ro-MD"/>
              </w:rPr>
              <w:t>f</w:t>
            </w:r>
            <w:r w:rsidR="006918A7" w:rsidRPr="00645CFA">
              <w:rPr>
                <w:sz w:val="28"/>
                <w:szCs w:val="28"/>
                <w:lang w:val="ro-MD"/>
              </w:rPr>
              <w:t>lictul din regiune care a sistat livrarea materialelor de construcție contractate în Ucraina, Belarus sau Rusia, creștere considerabilă a costurilor materialelor principale utilizate în reparația drumurilor (bitum, agregate, oțel, ciment, elementele prefabricate), datorată situației incerte. Situația economică la moment nu au putut fi anticipată</w:t>
            </w:r>
            <w:r w:rsidRPr="00645CFA">
              <w:rPr>
                <w:sz w:val="28"/>
                <w:szCs w:val="28"/>
                <w:lang w:val="ro-MD"/>
              </w:rPr>
              <w:t xml:space="preserve"> și cuantifica</w:t>
            </w:r>
            <w:r w:rsidR="006918A7" w:rsidRPr="00645CFA">
              <w:rPr>
                <w:sz w:val="28"/>
                <w:szCs w:val="28"/>
                <w:lang w:val="ro-MD"/>
              </w:rPr>
              <w:t>tă anterior declanșării evenimentelor descrise</w:t>
            </w:r>
            <w:r w:rsidRPr="00645CFA">
              <w:rPr>
                <w:sz w:val="28"/>
                <w:szCs w:val="28"/>
                <w:lang w:val="ro-MD"/>
              </w:rPr>
              <w:t xml:space="preserve">. </w:t>
            </w:r>
          </w:p>
          <w:p w:rsidR="00302FC6" w:rsidRPr="00645CFA" w:rsidRDefault="00302FC6" w:rsidP="00861D5A">
            <w:pPr>
              <w:ind w:firstLine="426"/>
              <w:jc w:val="both"/>
              <w:rPr>
                <w:sz w:val="28"/>
                <w:szCs w:val="28"/>
                <w:lang w:val="ro-MD"/>
              </w:rPr>
            </w:pPr>
            <w:r w:rsidRPr="00645CFA">
              <w:rPr>
                <w:sz w:val="28"/>
                <w:szCs w:val="28"/>
                <w:lang w:val="ro-MD"/>
              </w:rPr>
              <w:t>Efectele situației generate de creșterea prețurilor în domeniul construcțiilor pot ajunge până la renunțarea la executarea sau neîncheierea contractelor de achiziție publică de lucrări, la întârzierea finalizării acestora, chiar și la intrarea în insolvență a contractanților, într-un ritm accelerat față de condițiile normale, ce pot duce la creșterea ratei șomajului, a ratei inflației, a incapacităților de plată a taxelor și</w:t>
            </w:r>
            <w:r w:rsidR="006918A7" w:rsidRPr="00645CFA">
              <w:rPr>
                <w:sz w:val="28"/>
                <w:szCs w:val="28"/>
                <w:lang w:val="ro-MD"/>
              </w:rPr>
              <w:t xml:space="preserve"> impozitelor datorate la bugetul de stat</w:t>
            </w:r>
            <w:r w:rsidRPr="00645CFA">
              <w:rPr>
                <w:sz w:val="28"/>
                <w:szCs w:val="28"/>
                <w:lang w:val="ro-MD"/>
              </w:rPr>
              <w:t>, dar nu în ultimul rând și la scăderea masivă a investițiilor publice.</w:t>
            </w:r>
          </w:p>
          <w:p w:rsidR="00302FC6" w:rsidRDefault="00645CFA" w:rsidP="00861D5A">
            <w:pPr>
              <w:ind w:firstLine="426"/>
              <w:jc w:val="both"/>
              <w:rPr>
                <w:sz w:val="28"/>
                <w:szCs w:val="28"/>
                <w:lang w:val="ro-RO"/>
              </w:rPr>
            </w:pPr>
            <w:r w:rsidRPr="00645CFA">
              <w:rPr>
                <w:sz w:val="28"/>
                <w:szCs w:val="28"/>
                <w:lang w:val="ro-MD"/>
              </w:rPr>
              <w:t>Conflictul din regiune a accelerat și agravat situația preexistentă din domeniul construcțiilor prin reducerea în mod forțat a capacității de import a materialelor de construcție impor</w:t>
            </w:r>
            <w:r>
              <w:rPr>
                <w:sz w:val="28"/>
                <w:szCs w:val="28"/>
                <w:lang w:val="ro-MD"/>
              </w:rPr>
              <w:t>tate din Ucraina, Be</w:t>
            </w:r>
            <w:r w:rsidRPr="00645CFA">
              <w:rPr>
                <w:sz w:val="28"/>
                <w:szCs w:val="28"/>
                <w:lang w:val="ro-MD"/>
              </w:rPr>
              <w:t>lorus și Federația Rusă, prin diminuarea stocurilor la materialele de con</w:t>
            </w:r>
            <w:r>
              <w:rPr>
                <w:sz w:val="28"/>
                <w:szCs w:val="28"/>
                <w:lang w:val="ro-MD"/>
              </w:rPr>
              <w:t>s</w:t>
            </w:r>
            <w:r w:rsidRPr="00645CFA">
              <w:rPr>
                <w:sz w:val="28"/>
                <w:szCs w:val="28"/>
                <w:lang w:val="ro-MD"/>
              </w:rPr>
              <w:t>trucții, prin afectarea fluxurilor transporturilor de mărfuri la nivel internațional.</w:t>
            </w:r>
          </w:p>
          <w:p w:rsidR="00326248" w:rsidRPr="00636AB2" w:rsidRDefault="00595C5B" w:rsidP="00251AEC">
            <w:pPr>
              <w:ind w:firstLine="426"/>
              <w:jc w:val="both"/>
              <w:rPr>
                <w:sz w:val="28"/>
                <w:szCs w:val="28"/>
                <w:lang w:val="it-IT"/>
              </w:rPr>
            </w:pPr>
            <w:r w:rsidRPr="00595C5B">
              <w:rPr>
                <w:sz w:val="28"/>
                <w:szCs w:val="28"/>
                <w:lang w:val="ro-RO"/>
              </w:rPr>
              <w:t xml:space="preserve">Având în vedere impactul major asupra sectorului de construcții, care poate genera </w:t>
            </w:r>
            <w:r w:rsidRPr="00595C5B">
              <w:rPr>
                <w:sz w:val="28"/>
                <w:szCs w:val="28"/>
                <w:lang w:val="ro-RO"/>
              </w:rPr>
              <w:lastRenderedPageBreak/>
              <w:t xml:space="preserve">întârzieri majore în graficele de execuție sau chiar blocaj total, este necesară intervenția </w:t>
            </w:r>
            <w:r w:rsidR="00645CFA">
              <w:rPr>
                <w:sz w:val="28"/>
                <w:szCs w:val="28"/>
                <w:lang w:val="ro-RO"/>
              </w:rPr>
              <w:t>prin completarea Hotărârii Guvernului nr.1129/2018 cu mecanisme noi de ajustare a valorii contractuale, care vor asigura</w:t>
            </w:r>
            <w:r w:rsidRPr="00595C5B">
              <w:rPr>
                <w:sz w:val="28"/>
                <w:szCs w:val="28"/>
                <w:lang w:val="ro-RO"/>
              </w:rPr>
              <w:t xml:space="preserve"> acoperirea în prețul contractelor de achiziții publice de lucrări a fluctuației prețurilor</w:t>
            </w:r>
            <w:r w:rsidR="00645CFA">
              <w:rPr>
                <w:sz w:val="28"/>
                <w:szCs w:val="28"/>
                <w:lang w:val="ro-RO"/>
              </w:rPr>
              <w:t xml:space="preserve"> pentru</w:t>
            </w:r>
            <w:r w:rsidRPr="00595C5B">
              <w:rPr>
                <w:sz w:val="28"/>
                <w:szCs w:val="28"/>
                <w:lang w:val="ro-RO"/>
              </w:rPr>
              <w:t xml:space="preserve"> materialel</w:t>
            </w:r>
            <w:r w:rsidR="00645CFA">
              <w:rPr>
                <w:sz w:val="28"/>
                <w:szCs w:val="28"/>
                <w:lang w:val="ro-RO"/>
              </w:rPr>
              <w:t>e</w:t>
            </w:r>
            <w:r w:rsidRPr="00595C5B">
              <w:rPr>
                <w:sz w:val="28"/>
                <w:szCs w:val="28"/>
                <w:lang w:val="ro-RO"/>
              </w:rPr>
              <w:t xml:space="preserve"> de construcții.</w:t>
            </w:r>
          </w:p>
        </w:tc>
      </w:tr>
      <w:tr w:rsidR="00D01F95" w:rsidRPr="0080603D">
        <w:tc>
          <w:tcPr>
            <w:tcW w:w="98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01F95" w:rsidRPr="00636AB2" w:rsidRDefault="006F2D58">
            <w:pPr>
              <w:jc w:val="both"/>
              <w:rPr>
                <w:b/>
                <w:sz w:val="28"/>
                <w:szCs w:val="28"/>
                <w:lang w:val="it-IT"/>
              </w:rPr>
            </w:pPr>
            <w:r w:rsidRPr="00636AB2">
              <w:rPr>
                <w:b/>
                <w:sz w:val="28"/>
                <w:szCs w:val="28"/>
                <w:lang w:val="it-IT"/>
              </w:rPr>
              <w:lastRenderedPageBreak/>
              <w:t>Descrierea gradului de compatibilitate pentru proiectele care au ca scop armonizarea legislației naționale cu legislația Uniunii Europene</w:t>
            </w:r>
          </w:p>
        </w:tc>
      </w:tr>
      <w:tr w:rsidR="00D01F95" w:rsidRPr="0080603D">
        <w:tc>
          <w:tcPr>
            <w:tcW w:w="983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1F95" w:rsidRPr="00636AB2" w:rsidRDefault="00801BAE">
            <w:pPr>
              <w:jc w:val="both"/>
              <w:rPr>
                <w:sz w:val="28"/>
                <w:szCs w:val="28"/>
                <w:lang w:val="en-US"/>
              </w:rPr>
            </w:pPr>
            <w:r w:rsidRPr="00C9346D">
              <w:rPr>
                <w:sz w:val="28"/>
                <w:szCs w:val="28"/>
                <w:lang w:val="ro-RO"/>
              </w:rPr>
              <w:t>Prezentul proiect de act normativ nu contravine legislației Uniunii Europene.</w:t>
            </w:r>
          </w:p>
        </w:tc>
      </w:tr>
      <w:tr w:rsidR="00D01F95" w:rsidRPr="0080603D">
        <w:tc>
          <w:tcPr>
            <w:tcW w:w="98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01F95" w:rsidRPr="004C62B1" w:rsidRDefault="006F2D58">
            <w:pPr>
              <w:jc w:val="both"/>
              <w:rPr>
                <w:b/>
                <w:sz w:val="28"/>
                <w:szCs w:val="28"/>
                <w:lang w:val="it-IT"/>
              </w:rPr>
            </w:pPr>
            <w:r w:rsidRPr="004C62B1">
              <w:rPr>
                <w:b/>
                <w:sz w:val="28"/>
                <w:szCs w:val="28"/>
                <w:lang w:val="it-IT"/>
              </w:rPr>
              <w:t>Principalele prevederi ale proiectului și evidențierea elementelor noi</w:t>
            </w:r>
          </w:p>
        </w:tc>
      </w:tr>
      <w:tr w:rsidR="00D01F95" w:rsidRPr="0080603D">
        <w:tc>
          <w:tcPr>
            <w:tcW w:w="9832" w:type="dxa"/>
            <w:tcBorders>
              <w:top w:val="single" w:sz="4" w:space="0" w:color="000000"/>
              <w:left w:val="single" w:sz="4" w:space="0" w:color="000000"/>
              <w:bottom w:val="single" w:sz="4" w:space="0" w:color="000000"/>
              <w:right w:val="single" w:sz="4" w:space="0" w:color="000000"/>
            </w:tcBorders>
            <w:shd w:val="clear" w:color="auto" w:fill="auto"/>
          </w:tcPr>
          <w:p w:rsidR="006D5250" w:rsidRPr="00455E24" w:rsidRDefault="000828DB" w:rsidP="000828DB">
            <w:pPr>
              <w:shd w:val="clear" w:color="auto" w:fill="FFFFFF"/>
              <w:ind w:firstLine="447"/>
              <w:jc w:val="both"/>
              <w:rPr>
                <w:sz w:val="28"/>
                <w:szCs w:val="28"/>
                <w:lang w:val="ro-RO"/>
              </w:rPr>
            </w:pPr>
            <w:r w:rsidRPr="00455E24">
              <w:rPr>
                <w:sz w:val="28"/>
                <w:szCs w:val="28"/>
                <w:lang w:val="ro-RO"/>
              </w:rPr>
              <w:t>Prin proiect se introduce o nouă noțiune: „</w:t>
            </w:r>
            <w:r w:rsidR="00F36EBD" w:rsidRPr="00F36EBD">
              <w:rPr>
                <w:iCs/>
                <w:sz w:val="28"/>
                <w:szCs w:val="28"/>
                <w:lang w:val="ro-RO"/>
              </w:rPr>
              <w:t>ajustarea valorii contractului de achiziții publice de lucrări cu executare continuă, încheiate pe un termen mai mare de un an în baza actualizării prețurilor de cost</w:t>
            </w:r>
            <w:r w:rsidRPr="00455E24">
              <w:rPr>
                <w:sz w:val="28"/>
                <w:szCs w:val="28"/>
                <w:lang w:val="ro-RO"/>
              </w:rPr>
              <w:t>”, și actualizarea noțiunii de „</w:t>
            </w:r>
            <w:r w:rsidRPr="00455E24">
              <w:rPr>
                <w:iCs/>
                <w:sz w:val="28"/>
                <w:szCs w:val="28"/>
                <w:lang w:val="ro-RO"/>
              </w:rPr>
              <w:t>ajustarea valorii contractului de achiziții publice în baza indicelui inflației sau deflației</w:t>
            </w:r>
            <w:r w:rsidRPr="00455E24">
              <w:rPr>
                <w:sz w:val="28"/>
                <w:szCs w:val="28"/>
                <w:lang w:val="ro-RO"/>
              </w:rPr>
              <w:t>”, precum și descrierea atât a modului cât și a condițiilor de aplicare a acestora.</w:t>
            </w:r>
          </w:p>
          <w:p w:rsidR="00B80666" w:rsidRDefault="00B80666" w:rsidP="000828DB">
            <w:pPr>
              <w:shd w:val="clear" w:color="auto" w:fill="FFFFFF"/>
              <w:ind w:firstLine="447"/>
              <w:jc w:val="both"/>
              <w:rPr>
                <w:sz w:val="28"/>
                <w:szCs w:val="28"/>
                <w:lang w:val="ro-RO"/>
              </w:rPr>
            </w:pPr>
            <w:r w:rsidRPr="00455E24">
              <w:rPr>
                <w:sz w:val="28"/>
                <w:szCs w:val="28"/>
                <w:lang w:val="ro-RO"/>
              </w:rPr>
              <w:t>Proiectul</w:t>
            </w:r>
            <w:r w:rsidR="00D92BCC" w:rsidRPr="00455E24">
              <w:rPr>
                <w:sz w:val="28"/>
                <w:szCs w:val="28"/>
                <w:lang w:val="ro-RO"/>
              </w:rPr>
              <w:t xml:space="preserve"> </w:t>
            </w:r>
            <w:r w:rsidRPr="00455E24">
              <w:rPr>
                <w:sz w:val="28"/>
                <w:szCs w:val="28"/>
                <w:lang w:val="ro-RO"/>
              </w:rPr>
              <w:t>Hotărârii</w:t>
            </w:r>
            <w:r>
              <w:rPr>
                <w:sz w:val="28"/>
                <w:szCs w:val="28"/>
                <w:lang w:val="en-US"/>
              </w:rPr>
              <w:t xml:space="preserve"> vine</w:t>
            </w:r>
            <w:r w:rsidRPr="004C62B1">
              <w:rPr>
                <w:sz w:val="28"/>
                <w:szCs w:val="28"/>
                <w:lang w:val="it-IT"/>
              </w:rPr>
              <w:t xml:space="preserve"> să optimizeze și </w:t>
            </w:r>
            <w:r>
              <w:rPr>
                <w:sz w:val="28"/>
                <w:szCs w:val="28"/>
                <w:lang w:val="ro-RO"/>
              </w:rPr>
              <w:t xml:space="preserve">să </w:t>
            </w:r>
            <w:r w:rsidRPr="004C62B1">
              <w:rPr>
                <w:sz w:val="28"/>
                <w:szCs w:val="28"/>
                <w:lang w:val="it-IT"/>
              </w:rPr>
              <w:t xml:space="preserve">eficientizeze mecanismul </w:t>
            </w:r>
            <w:r>
              <w:rPr>
                <w:sz w:val="28"/>
                <w:szCs w:val="28"/>
                <w:lang w:val="it-IT"/>
              </w:rPr>
              <w:t>de ajustare a contractelor de achiziții publice încheiate pe un termen mai mare de un an, pri</w:t>
            </w:r>
            <w:r w:rsidR="00D02801">
              <w:rPr>
                <w:sz w:val="28"/>
                <w:szCs w:val="28"/>
                <w:lang w:val="it-IT"/>
              </w:rPr>
              <w:t>n introducerea unei noi formule</w:t>
            </w:r>
            <w:r>
              <w:rPr>
                <w:sz w:val="28"/>
                <w:szCs w:val="28"/>
                <w:lang w:val="it-IT"/>
              </w:rPr>
              <w:t xml:space="preserve">, care </w:t>
            </w:r>
            <w:r w:rsidR="00595C5B" w:rsidRPr="00595C5B">
              <w:rPr>
                <w:sz w:val="28"/>
                <w:szCs w:val="28"/>
                <w:lang w:val="ro-RO"/>
              </w:rPr>
              <w:t xml:space="preserve">reglementează posibilitatea ajustării prețului contractelor de achiziție publică de lucrări, prin actualizarea prețurilor aferente materialelor, prin aplicare unui coeficient de ajustare, </w:t>
            </w:r>
            <w:r w:rsidR="00D02801">
              <w:rPr>
                <w:sz w:val="28"/>
                <w:szCs w:val="28"/>
                <w:lang w:val="ro-RO"/>
              </w:rPr>
              <w:t>luând în considerare</w:t>
            </w:r>
            <w:r w:rsidR="00595C5B" w:rsidRPr="00595C5B">
              <w:rPr>
                <w:sz w:val="28"/>
                <w:szCs w:val="28"/>
                <w:lang w:val="ro-RO"/>
              </w:rPr>
              <w:t xml:space="preserve"> orice creștere sau diminuare a costului materialelor pe baza căruia s-a fundamentat prețul contractelor</w:t>
            </w:r>
            <w:r>
              <w:rPr>
                <w:sz w:val="28"/>
                <w:szCs w:val="28"/>
                <w:lang w:val="ro-RO"/>
              </w:rPr>
              <w:t>.</w:t>
            </w:r>
          </w:p>
          <w:p w:rsidR="00F36EBD" w:rsidRDefault="00F36EBD" w:rsidP="000828DB">
            <w:pPr>
              <w:shd w:val="clear" w:color="auto" w:fill="FFFFFF"/>
              <w:ind w:firstLine="447"/>
              <w:jc w:val="both"/>
              <w:rPr>
                <w:sz w:val="28"/>
                <w:szCs w:val="28"/>
                <w:lang w:val="ro-RO"/>
              </w:rPr>
            </w:pPr>
            <w:r>
              <w:rPr>
                <w:sz w:val="28"/>
                <w:szCs w:val="28"/>
                <w:lang w:val="ro-RO"/>
              </w:rPr>
              <w:t xml:space="preserve">Proiectul Hotărârii completează Regulamentul cu un Capitol, </w:t>
            </w:r>
            <w:r w:rsidRPr="00F36EBD">
              <w:rPr>
                <w:sz w:val="28"/>
                <w:szCs w:val="28"/>
                <w:lang w:val="ro-RO"/>
              </w:rPr>
              <w:t xml:space="preserve">Capitolul III </w:t>
            </w:r>
            <w:r>
              <w:rPr>
                <w:sz w:val="28"/>
                <w:szCs w:val="28"/>
                <w:lang w:val="ro-RO"/>
              </w:rPr>
              <w:t>A</w:t>
            </w:r>
            <w:r w:rsidRPr="00F36EBD">
              <w:rPr>
                <w:sz w:val="28"/>
                <w:szCs w:val="28"/>
                <w:lang w:val="ro-RO"/>
              </w:rPr>
              <w:t>justarea valorii contractului de achiziții publice de lucrări cu executare continuă, încheiate pe un termen mai mare de un an în baza actualizării prețurilor  de cost</w:t>
            </w:r>
            <w:r>
              <w:rPr>
                <w:sz w:val="28"/>
                <w:szCs w:val="28"/>
                <w:lang w:val="ro-RO"/>
              </w:rPr>
              <w:t>.</w:t>
            </w:r>
          </w:p>
          <w:p w:rsidR="00F36EBD" w:rsidRDefault="00F36EBD" w:rsidP="00F36EBD">
            <w:pPr>
              <w:shd w:val="clear" w:color="auto" w:fill="FFFFFF"/>
              <w:ind w:firstLine="447"/>
              <w:jc w:val="both"/>
              <w:rPr>
                <w:sz w:val="28"/>
                <w:szCs w:val="28"/>
                <w:lang w:val="ro-RO"/>
              </w:rPr>
            </w:pPr>
            <w:r>
              <w:rPr>
                <w:sz w:val="28"/>
                <w:szCs w:val="28"/>
                <w:lang w:val="ro-RO"/>
              </w:rPr>
              <w:t>Noul capitol stabilește p</w:t>
            </w:r>
            <w:r w:rsidRPr="00F36EBD">
              <w:rPr>
                <w:sz w:val="28"/>
                <w:szCs w:val="28"/>
                <w:lang w:val="ro-RO"/>
              </w:rPr>
              <w:t>rocedura de examinare a solicitării de ajustare</w:t>
            </w:r>
            <w:r>
              <w:rPr>
                <w:sz w:val="28"/>
                <w:szCs w:val="28"/>
                <w:lang w:val="ro-RO"/>
              </w:rPr>
              <w:t xml:space="preserve"> și </w:t>
            </w:r>
            <w:r w:rsidRPr="00F36EBD">
              <w:rPr>
                <w:sz w:val="28"/>
                <w:szCs w:val="28"/>
                <w:lang w:val="ro-RO"/>
              </w:rPr>
              <w:t>Modul actualizării prețurilor la componentele prețului de cost</w:t>
            </w:r>
            <w:r>
              <w:rPr>
                <w:sz w:val="28"/>
                <w:szCs w:val="28"/>
                <w:lang w:val="ro-RO"/>
              </w:rPr>
              <w:t xml:space="preserve">. </w:t>
            </w:r>
            <w:r w:rsidRPr="00F36EBD">
              <w:rPr>
                <w:sz w:val="28"/>
                <w:szCs w:val="28"/>
                <w:lang w:val="ro-RO"/>
              </w:rPr>
              <w:t>Actualizarea prețurilor componentelor prețului de cost se efectuează luând în considerare următoarele elemente: creșterea salariului, prețul la materiale și prețul la combustibil, conform formulei</w:t>
            </w:r>
            <w:r>
              <w:rPr>
                <w:sz w:val="28"/>
                <w:szCs w:val="28"/>
                <w:lang w:val="ro-RO"/>
              </w:rPr>
              <w:t>:</w:t>
            </w:r>
          </w:p>
          <w:p w:rsidR="00DA2A2D" w:rsidRPr="00DA2A2D" w:rsidRDefault="00F36EBD" w:rsidP="00DA2A2D">
            <w:pPr>
              <w:shd w:val="clear" w:color="auto" w:fill="FFFFFF"/>
              <w:spacing w:before="120" w:after="120"/>
              <w:ind w:firstLine="448"/>
              <w:jc w:val="both"/>
              <w:rPr>
                <w:sz w:val="28"/>
                <w:szCs w:val="28"/>
                <w:vertAlign w:val="subscript"/>
                <w:lang w:val="ro-RO"/>
              </w:rPr>
            </w:pPr>
            <w:r>
              <w:rPr>
                <w:sz w:val="28"/>
                <w:szCs w:val="28"/>
                <w:lang w:val="ro-RO"/>
              </w:rPr>
              <w:t xml:space="preserve"> </w:t>
            </w:r>
            <w:r w:rsidR="00DA2A2D" w:rsidRPr="00DA2A2D">
              <w:rPr>
                <w:sz w:val="28"/>
                <w:szCs w:val="28"/>
                <w:lang w:val="ro-RO"/>
              </w:rPr>
              <w:t>V</w:t>
            </w:r>
            <w:r w:rsidR="00DA2A2D" w:rsidRPr="00DA2A2D">
              <w:rPr>
                <w:sz w:val="28"/>
                <w:szCs w:val="28"/>
                <w:vertAlign w:val="subscript"/>
                <w:lang w:val="ro-RO"/>
              </w:rPr>
              <w:t>a</w:t>
            </w:r>
            <w:r w:rsidR="00DA2A2D" w:rsidRPr="00DA2A2D">
              <w:rPr>
                <w:sz w:val="28"/>
                <w:szCs w:val="28"/>
                <w:lang w:val="ro-RO"/>
              </w:rPr>
              <w:t>=  av +c×C</w:t>
            </w:r>
            <w:r w:rsidR="00DA2A2D" w:rsidRPr="00DA2A2D">
              <w:rPr>
                <w:sz w:val="28"/>
                <w:szCs w:val="28"/>
                <w:vertAlign w:val="subscript"/>
                <w:lang w:val="ro-RO"/>
              </w:rPr>
              <w:t>a</w:t>
            </w:r>
            <w:r w:rsidR="00DA2A2D" w:rsidRPr="00DA2A2D">
              <w:rPr>
                <w:sz w:val="28"/>
                <w:szCs w:val="28"/>
                <w:lang w:val="ro-RO"/>
              </w:rPr>
              <w:t>/C</w:t>
            </w:r>
            <w:r w:rsidR="00DA2A2D" w:rsidRPr="00DA2A2D">
              <w:rPr>
                <w:sz w:val="28"/>
                <w:szCs w:val="28"/>
                <w:vertAlign w:val="subscript"/>
                <w:lang w:val="ro-RO"/>
              </w:rPr>
              <w:t>o</w:t>
            </w:r>
            <w:r w:rsidR="00DA2A2D" w:rsidRPr="00DA2A2D">
              <w:rPr>
                <w:sz w:val="28"/>
                <w:szCs w:val="28"/>
                <w:lang w:val="ro-RO"/>
              </w:rPr>
              <w:t xml:space="preserve"> +d×D</w:t>
            </w:r>
            <w:r w:rsidR="00DA2A2D" w:rsidRPr="00DA2A2D">
              <w:rPr>
                <w:sz w:val="28"/>
                <w:szCs w:val="28"/>
                <w:vertAlign w:val="subscript"/>
                <w:lang w:val="ro-RO"/>
              </w:rPr>
              <w:t>a</w:t>
            </w:r>
            <w:r w:rsidR="00DA2A2D" w:rsidRPr="00DA2A2D">
              <w:rPr>
                <w:sz w:val="28"/>
                <w:szCs w:val="28"/>
                <w:lang w:val="ro-RO"/>
              </w:rPr>
              <w:t>/D</w:t>
            </w:r>
            <w:r w:rsidR="00DA2A2D" w:rsidRPr="00DA2A2D">
              <w:rPr>
                <w:sz w:val="28"/>
                <w:szCs w:val="28"/>
                <w:vertAlign w:val="subscript"/>
                <w:lang w:val="ro-RO"/>
              </w:rPr>
              <w:t>o</w:t>
            </w:r>
          </w:p>
          <w:p w:rsidR="00DA2A2D" w:rsidRDefault="00DA2A2D" w:rsidP="00DA2A2D">
            <w:pPr>
              <w:shd w:val="clear" w:color="auto" w:fill="FFFFFF"/>
              <w:spacing w:before="120" w:after="120"/>
              <w:ind w:firstLine="448"/>
              <w:jc w:val="both"/>
              <w:rPr>
                <w:sz w:val="28"/>
                <w:szCs w:val="28"/>
                <w:lang w:val="ro-RO"/>
              </w:rPr>
            </w:pPr>
            <w:r w:rsidRPr="00DA2A2D">
              <w:rPr>
                <w:sz w:val="28"/>
                <w:szCs w:val="28"/>
                <w:lang w:val="ro-RO"/>
              </w:rPr>
              <w:t>unde:</w:t>
            </w:r>
          </w:p>
          <w:p w:rsidR="00DA2A2D" w:rsidRPr="00DA2A2D" w:rsidRDefault="00DA2A2D" w:rsidP="00DA2A2D">
            <w:pPr>
              <w:shd w:val="clear" w:color="auto" w:fill="FFFFFF"/>
              <w:ind w:firstLine="447"/>
              <w:jc w:val="both"/>
              <w:rPr>
                <w:i/>
                <w:sz w:val="26"/>
                <w:szCs w:val="26"/>
                <w:lang w:val="ro-RO"/>
              </w:rPr>
            </w:pPr>
            <w:r w:rsidRPr="00DA2A2D">
              <w:rPr>
                <w:i/>
                <w:sz w:val="26"/>
                <w:szCs w:val="26"/>
                <w:lang w:val="ro-RO"/>
              </w:rPr>
              <w:t>V</w:t>
            </w:r>
            <w:r w:rsidRPr="00DA2A2D">
              <w:rPr>
                <w:i/>
                <w:sz w:val="26"/>
                <w:szCs w:val="26"/>
                <w:vertAlign w:val="subscript"/>
                <w:lang w:val="ro-RO"/>
              </w:rPr>
              <w:t xml:space="preserve">a </w:t>
            </w:r>
            <w:r w:rsidRPr="00DA2A2D">
              <w:rPr>
                <w:i/>
                <w:sz w:val="26"/>
                <w:szCs w:val="26"/>
                <w:lang w:val="ro-RO"/>
              </w:rPr>
              <w:t>– coeficient de actualizare care urmează a fi aplicat la valoarea contractului, calculat pentru lucrările prezentate;</w:t>
            </w:r>
          </w:p>
          <w:p w:rsidR="00DA2A2D" w:rsidRPr="00DA2A2D" w:rsidRDefault="00DA2A2D" w:rsidP="00DA2A2D">
            <w:pPr>
              <w:shd w:val="clear" w:color="auto" w:fill="FFFFFF"/>
              <w:ind w:firstLine="447"/>
              <w:jc w:val="both"/>
              <w:rPr>
                <w:i/>
                <w:sz w:val="26"/>
                <w:szCs w:val="26"/>
                <w:lang w:val="ro-RO"/>
              </w:rPr>
            </w:pPr>
            <w:r w:rsidRPr="00DA2A2D">
              <w:rPr>
                <w:i/>
                <w:sz w:val="26"/>
                <w:szCs w:val="26"/>
                <w:lang w:val="ro-RO"/>
              </w:rPr>
              <w:t>av – coeficientul fix, care reprezintă partea neactualizabilă din valoarea contractului;</w:t>
            </w:r>
          </w:p>
          <w:p w:rsidR="00DA2A2D" w:rsidRPr="00DA2A2D" w:rsidRDefault="00DA2A2D" w:rsidP="00DA2A2D">
            <w:pPr>
              <w:shd w:val="clear" w:color="auto" w:fill="FFFFFF"/>
              <w:ind w:firstLine="447"/>
              <w:jc w:val="both"/>
              <w:rPr>
                <w:i/>
                <w:sz w:val="26"/>
                <w:szCs w:val="26"/>
                <w:lang w:val="ro-RO"/>
              </w:rPr>
            </w:pPr>
            <w:r w:rsidRPr="00DA2A2D">
              <w:rPr>
                <w:i/>
                <w:sz w:val="26"/>
                <w:szCs w:val="26"/>
                <w:lang w:val="ro-RO"/>
              </w:rPr>
              <w:t>c – coeficientul care reprezintă ponderea materialelor din suma ofertei;</w:t>
            </w:r>
          </w:p>
          <w:p w:rsidR="00DA2A2D" w:rsidRPr="00DA2A2D" w:rsidRDefault="00DA2A2D" w:rsidP="00DA2A2D">
            <w:pPr>
              <w:shd w:val="clear" w:color="auto" w:fill="FFFFFF"/>
              <w:ind w:firstLine="447"/>
              <w:jc w:val="both"/>
              <w:rPr>
                <w:i/>
                <w:sz w:val="26"/>
                <w:szCs w:val="26"/>
                <w:lang w:val="ro-RO"/>
              </w:rPr>
            </w:pPr>
            <w:r w:rsidRPr="00DA2A2D">
              <w:rPr>
                <w:i/>
                <w:sz w:val="26"/>
                <w:szCs w:val="26"/>
                <w:lang w:val="ro-RO"/>
              </w:rPr>
              <w:t>d – coeficientul care reprezintă ponderea combustibilului la utilizarea utilajelor și mecanismelor din suma ofertei;</w:t>
            </w:r>
          </w:p>
          <w:p w:rsidR="00DA2A2D" w:rsidRPr="00DA2A2D" w:rsidRDefault="00DA2A2D" w:rsidP="00DA2A2D">
            <w:pPr>
              <w:shd w:val="clear" w:color="auto" w:fill="FFFFFF"/>
              <w:ind w:firstLine="447"/>
              <w:jc w:val="both"/>
              <w:rPr>
                <w:i/>
                <w:sz w:val="26"/>
                <w:szCs w:val="26"/>
                <w:lang w:val="ro-RO"/>
              </w:rPr>
            </w:pPr>
            <w:r w:rsidRPr="00DA2A2D">
              <w:rPr>
                <w:i/>
                <w:sz w:val="26"/>
                <w:szCs w:val="26"/>
                <w:lang w:val="ro-RO"/>
              </w:rPr>
              <w:t>C</w:t>
            </w:r>
            <w:r w:rsidRPr="00DA2A2D">
              <w:rPr>
                <w:i/>
                <w:sz w:val="26"/>
                <w:szCs w:val="26"/>
                <w:vertAlign w:val="subscript"/>
                <w:lang w:val="ro-RO"/>
              </w:rPr>
              <w:t>a</w:t>
            </w:r>
            <w:r w:rsidRPr="00DA2A2D">
              <w:rPr>
                <w:i/>
                <w:sz w:val="26"/>
                <w:szCs w:val="26"/>
                <w:lang w:val="ro-RO"/>
              </w:rPr>
              <w:t xml:space="preserve"> – prețurile medii a materialelor la data actualizării prețurilor;</w:t>
            </w:r>
          </w:p>
          <w:p w:rsidR="00DA2A2D" w:rsidRPr="00DA2A2D" w:rsidRDefault="00DA2A2D" w:rsidP="00DA2A2D">
            <w:pPr>
              <w:shd w:val="clear" w:color="auto" w:fill="FFFFFF"/>
              <w:ind w:firstLine="447"/>
              <w:jc w:val="both"/>
              <w:rPr>
                <w:i/>
                <w:sz w:val="26"/>
                <w:szCs w:val="26"/>
                <w:lang w:val="ro-RO"/>
              </w:rPr>
            </w:pPr>
            <w:r w:rsidRPr="00DA2A2D">
              <w:rPr>
                <w:i/>
                <w:sz w:val="26"/>
                <w:szCs w:val="26"/>
                <w:lang w:val="ro-RO"/>
              </w:rPr>
              <w:t>C</w:t>
            </w:r>
            <w:r w:rsidRPr="00DA2A2D">
              <w:rPr>
                <w:i/>
                <w:sz w:val="26"/>
                <w:szCs w:val="26"/>
                <w:vertAlign w:val="subscript"/>
                <w:lang w:val="ro-RO"/>
              </w:rPr>
              <w:t>o</w:t>
            </w:r>
            <w:r w:rsidRPr="00DA2A2D">
              <w:rPr>
                <w:i/>
                <w:sz w:val="26"/>
                <w:szCs w:val="26"/>
                <w:lang w:val="ro-RO"/>
              </w:rPr>
              <w:t xml:space="preserve"> – prețurile medii a materialelor la data încheierii contractului;</w:t>
            </w:r>
          </w:p>
          <w:p w:rsidR="00DA2A2D" w:rsidRPr="00DA2A2D" w:rsidRDefault="00DA2A2D" w:rsidP="00DA2A2D">
            <w:pPr>
              <w:shd w:val="clear" w:color="auto" w:fill="FFFFFF"/>
              <w:ind w:firstLine="447"/>
              <w:jc w:val="both"/>
              <w:rPr>
                <w:i/>
                <w:sz w:val="26"/>
                <w:szCs w:val="26"/>
                <w:lang w:val="ro-RO"/>
              </w:rPr>
            </w:pPr>
            <w:r w:rsidRPr="00DA2A2D">
              <w:rPr>
                <w:i/>
                <w:sz w:val="26"/>
                <w:szCs w:val="26"/>
                <w:lang w:val="ro-RO"/>
              </w:rPr>
              <w:t>D</w:t>
            </w:r>
            <w:r w:rsidRPr="00DA2A2D">
              <w:rPr>
                <w:i/>
                <w:sz w:val="26"/>
                <w:szCs w:val="26"/>
                <w:vertAlign w:val="subscript"/>
                <w:lang w:val="ro-RO"/>
              </w:rPr>
              <w:t>a</w:t>
            </w:r>
            <w:r w:rsidRPr="00DA2A2D">
              <w:rPr>
                <w:i/>
                <w:sz w:val="26"/>
                <w:szCs w:val="26"/>
                <w:lang w:val="ro-RO"/>
              </w:rPr>
              <w:t xml:space="preserve"> – prețurile medii la combustibil la data actualizării prețurilor;</w:t>
            </w:r>
          </w:p>
          <w:p w:rsidR="00F36EBD" w:rsidRPr="00DA2A2D" w:rsidRDefault="00DA2A2D" w:rsidP="000828DB">
            <w:pPr>
              <w:shd w:val="clear" w:color="auto" w:fill="FFFFFF"/>
              <w:ind w:firstLine="447"/>
              <w:jc w:val="both"/>
              <w:rPr>
                <w:i/>
                <w:sz w:val="26"/>
                <w:szCs w:val="26"/>
                <w:lang w:val="ro-RO" w:eastAsia="en-GB"/>
              </w:rPr>
            </w:pPr>
            <w:r w:rsidRPr="00DA2A2D">
              <w:rPr>
                <w:i/>
                <w:sz w:val="26"/>
                <w:szCs w:val="26"/>
                <w:lang w:val="ro-RO"/>
              </w:rPr>
              <w:t>D</w:t>
            </w:r>
            <w:r w:rsidRPr="00DA2A2D">
              <w:rPr>
                <w:i/>
                <w:sz w:val="26"/>
                <w:szCs w:val="26"/>
                <w:vertAlign w:val="subscript"/>
                <w:lang w:val="ro-RO"/>
              </w:rPr>
              <w:t>o</w:t>
            </w:r>
            <w:r w:rsidRPr="00DA2A2D">
              <w:rPr>
                <w:i/>
                <w:sz w:val="26"/>
                <w:szCs w:val="26"/>
                <w:lang w:val="ro-RO"/>
              </w:rPr>
              <w:t xml:space="preserve"> – prețurile medii la combustibil la data încheierii contractului.</w:t>
            </w:r>
          </w:p>
          <w:p w:rsidR="00455E24" w:rsidRDefault="00455E24" w:rsidP="000828DB">
            <w:pPr>
              <w:shd w:val="clear" w:color="auto" w:fill="FFFFFF"/>
              <w:ind w:firstLine="447"/>
              <w:jc w:val="both"/>
              <w:rPr>
                <w:sz w:val="28"/>
                <w:szCs w:val="28"/>
                <w:lang w:val="ro-RO"/>
              </w:rPr>
            </w:pPr>
            <w:r w:rsidRPr="00E95B01">
              <w:rPr>
                <w:sz w:val="28"/>
                <w:szCs w:val="28"/>
                <w:lang w:val="ro-RO" w:eastAsia="en-GB"/>
              </w:rPr>
              <w:t>Modul de ajustare a prețului contractului de achi</w:t>
            </w:r>
            <w:r w:rsidR="00F36EBD">
              <w:rPr>
                <w:sz w:val="28"/>
                <w:szCs w:val="28"/>
                <w:lang w:val="ro-RO" w:eastAsia="en-GB"/>
              </w:rPr>
              <w:t>ziție publică de lucrări propus</w:t>
            </w:r>
            <w:r w:rsidRPr="00E95B01">
              <w:rPr>
                <w:sz w:val="28"/>
                <w:szCs w:val="28"/>
                <w:lang w:val="ro-RO" w:eastAsia="en-GB"/>
              </w:rPr>
              <w:t xml:space="preserve"> prin proiectul de act normativ nu conduce la schimbarea rezultatului procedurii de atribuire, </w:t>
            </w:r>
            <w:r w:rsidRPr="00E95B01">
              <w:rPr>
                <w:sz w:val="28"/>
                <w:szCs w:val="28"/>
                <w:lang w:val="ro-RO" w:eastAsia="en-GB"/>
              </w:rPr>
              <w:lastRenderedPageBreak/>
              <w:t>prin anularea sau diminuarea avantajului competitiv pe baza căruia contractantul a fost declarat câștigător în urma finalizării proceduri</w:t>
            </w:r>
            <w:r w:rsidR="00DA2A2D">
              <w:rPr>
                <w:sz w:val="28"/>
                <w:szCs w:val="28"/>
                <w:lang w:val="ro-RO" w:eastAsia="en-GB"/>
              </w:rPr>
              <w:t>i</w:t>
            </w:r>
            <w:r w:rsidRPr="00E95B01">
              <w:rPr>
                <w:sz w:val="28"/>
                <w:szCs w:val="28"/>
                <w:lang w:val="ro-RO" w:eastAsia="en-GB"/>
              </w:rPr>
              <w:t>, fiind rezultatul unei situații obiective în care s-ar fi aflat oricare candidat care ar fi fost declarat câștigător.</w:t>
            </w:r>
          </w:p>
          <w:p w:rsidR="00E95B01" w:rsidRPr="00455E24" w:rsidRDefault="00B80666" w:rsidP="00455E24">
            <w:pPr>
              <w:shd w:val="clear" w:color="auto" w:fill="FFFFFF"/>
              <w:ind w:firstLine="447"/>
              <w:jc w:val="both"/>
              <w:rPr>
                <w:sz w:val="28"/>
                <w:szCs w:val="28"/>
                <w:lang w:val="ro-RO"/>
              </w:rPr>
            </w:pPr>
            <w:r w:rsidRPr="00E95B01">
              <w:rPr>
                <w:bCs/>
                <w:sz w:val="28"/>
                <w:szCs w:val="28"/>
                <w:lang w:val="ro-RO"/>
              </w:rPr>
              <w:t xml:space="preserve">Totodată, modificările din proiect </w:t>
            </w:r>
            <w:r w:rsidR="00D02801">
              <w:rPr>
                <w:bCs/>
                <w:sz w:val="28"/>
                <w:szCs w:val="28"/>
                <w:lang w:val="ro-RO"/>
              </w:rPr>
              <w:t>acordă</w:t>
            </w:r>
            <w:r w:rsidRPr="00E95B01">
              <w:rPr>
                <w:sz w:val="28"/>
                <w:szCs w:val="28"/>
                <w:lang w:val="ro-RO"/>
              </w:rPr>
              <w:t xml:space="preserve"> </w:t>
            </w:r>
            <w:r w:rsidR="00D02801">
              <w:rPr>
                <w:sz w:val="28"/>
                <w:szCs w:val="28"/>
                <w:lang w:val="ro-RO"/>
              </w:rPr>
              <w:t xml:space="preserve">subiecților participanți la procesul de achiziție </w:t>
            </w:r>
            <w:r w:rsidR="00D02801" w:rsidRPr="00E95B01">
              <w:rPr>
                <w:sz w:val="28"/>
                <w:szCs w:val="28"/>
                <w:lang w:val="ro-RO"/>
              </w:rPr>
              <w:t xml:space="preserve">posibilitatea </w:t>
            </w:r>
            <w:r w:rsidRPr="00E95B01">
              <w:rPr>
                <w:sz w:val="28"/>
                <w:szCs w:val="28"/>
                <w:lang w:val="ro-RO"/>
              </w:rPr>
              <w:t xml:space="preserve">de a </w:t>
            </w:r>
            <w:r w:rsidR="00D40A90" w:rsidRPr="00E95B01">
              <w:rPr>
                <w:sz w:val="28"/>
                <w:szCs w:val="28"/>
                <w:lang w:val="ro-RO"/>
              </w:rPr>
              <w:t xml:space="preserve">selecta formula în baza căreia va fi efectuată ajustarea </w:t>
            </w:r>
            <w:r w:rsidR="00245054" w:rsidRPr="00E95B01">
              <w:rPr>
                <w:sz w:val="28"/>
                <w:szCs w:val="28"/>
                <w:lang w:val="ro-RO"/>
              </w:rPr>
              <w:t xml:space="preserve">contractelor, condiția </w:t>
            </w:r>
            <w:r w:rsidR="00D02801">
              <w:rPr>
                <w:sz w:val="28"/>
                <w:szCs w:val="28"/>
                <w:lang w:val="ro-RO"/>
              </w:rPr>
              <w:t>ce urmează a fi prevăzută</w:t>
            </w:r>
            <w:r w:rsidR="00E95B01" w:rsidRPr="00E95B01">
              <w:rPr>
                <w:sz w:val="28"/>
                <w:szCs w:val="28"/>
                <w:lang w:val="ro-RO"/>
              </w:rPr>
              <w:t xml:space="preserve"> </w:t>
            </w:r>
            <w:r w:rsidR="00245054" w:rsidRPr="00E95B01">
              <w:rPr>
                <w:sz w:val="28"/>
                <w:szCs w:val="28"/>
                <w:lang w:val="ro-RO"/>
              </w:rPr>
              <w:t xml:space="preserve"> în documentația </w:t>
            </w:r>
            <w:r w:rsidR="00245054" w:rsidRPr="000828DB">
              <w:rPr>
                <w:sz w:val="28"/>
                <w:szCs w:val="28"/>
                <w:lang w:val="ro-RO"/>
              </w:rPr>
              <w:t>de atribuire</w:t>
            </w:r>
            <w:r w:rsidR="00D02801">
              <w:rPr>
                <w:sz w:val="28"/>
                <w:szCs w:val="28"/>
                <w:lang w:val="ro-RO"/>
              </w:rPr>
              <w:t xml:space="preserve"> de către autoritatea contractantă</w:t>
            </w:r>
            <w:r w:rsidR="00245054" w:rsidRPr="000828DB">
              <w:rPr>
                <w:sz w:val="28"/>
                <w:szCs w:val="28"/>
                <w:lang w:val="ro-RO"/>
              </w:rPr>
              <w:t>.</w:t>
            </w:r>
          </w:p>
        </w:tc>
      </w:tr>
      <w:tr w:rsidR="00D01F95">
        <w:tc>
          <w:tcPr>
            <w:tcW w:w="98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01F95" w:rsidRPr="00DA2A2D" w:rsidRDefault="006F2D58">
            <w:pPr>
              <w:jc w:val="both"/>
              <w:rPr>
                <w:b/>
                <w:sz w:val="28"/>
                <w:szCs w:val="28"/>
                <w:lang w:val="ro-MD"/>
              </w:rPr>
            </w:pPr>
            <w:r w:rsidRPr="00DA2A2D">
              <w:rPr>
                <w:b/>
                <w:sz w:val="28"/>
                <w:szCs w:val="28"/>
                <w:lang w:val="ro-MD"/>
              </w:rPr>
              <w:lastRenderedPageBreak/>
              <w:t>Fundamentarea economico-financiară</w:t>
            </w:r>
          </w:p>
        </w:tc>
      </w:tr>
      <w:tr w:rsidR="00D01F95" w:rsidRPr="0080603D">
        <w:tc>
          <w:tcPr>
            <w:tcW w:w="983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1F95" w:rsidRDefault="00AC4740" w:rsidP="00AC4740">
            <w:pPr>
              <w:jc w:val="both"/>
              <w:rPr>
                <w:sz w:val="28"/>
                <w:szCs w:val="28"/>
                <w:lang w:val="ro-RO"/>
              </w:rPr>
            </w:pPr>
            <w:r>
              <w:rPr>
                <w:sz w:val="28"/>
                <w:szCs w:val="28"/>
                <w:lang w:val="ro-RO"/>
              </w:rPr>
              <w:t>Cheltuielile suplimentare rezultate din ajustarea valorii contractelor, vor fi calculate</w:t>
            </w:r>
            <w:r w:rsidR="0080603D">
              <w:rPr>
                <w:sz w:val="28"/>
                <w:szCs w:val="28"/>
                <w:lang w:val="ro-RO"/>
              </w:rPr>
              <w:t>,</w:t>
            </w:r>
            <w:r>
              <w:rPr>
                <w:sz w:val="28"/>
                <w:szCs w:val="28"/>
                <w:lang w:val="ro-RO"/>
              </w:rPr>
              <w:t xml:space="preserve"> finanțate în procesul de elaborare și rectificare a bugetului. Mărimea alocațiilor suplimentare va depinde de creșterea prețurilor la materialele de construcție.</w:t>
            </w:r>
          </w:p>
        </w:tc>
      </w:tr>
      <w:tr w:rsidR="00D01F95" w:rsidRPr="0080603D">
        <w:tc>
          <w:tcPr>
            <w:tcW w:w="98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01F95" w:rsidRPr="00636AB2" w:rsidRDefault="006F2D58">
            <w:pPr>
              <w:jc w:val="both"/>
              <w:rPr>
                <w:b/>
                <w:sz w:val="28"/>
                <w:szCs w:val="28"/>
                <w:lang w:val="it-IT"/>
              </w:rPr>
            </w:pPr>
            <w:r w:rsidRPr="00636AB2">
              <w:rPr>
                <w:b/>
                <w:sz w:val="28"/>
                <w:szCs w:val="28"/>
                <w:lang w:val="it-IT"/>
              </w:rPr>
              <w:t>Modul de încorporare a actului în cadrul normativ în vigoare</w:t>
            </w:r>
          </w:p>
        </w:tc>
      </w:tr>
      <w:tr w:rsidR="00973DD3" w:rsidRPr="0080603D" w:rsidTr="00973DD3">
        <w:tc>
          <w:tcPr>
            <w:tcW w:w="9832" w:type="dxa"/>
            <w:tcBorders>
              <w:top w:val="single" w:sz="4" w:space="0" w:color="000000"/>
              <w:left w:val="single" w:sz="4" w:space="0" w:color="000000"/>
              <w:bottom w:val="single" w:sz="4" w:space="0" w:color="000000"/>
              <w:right w:val="single" w:sz="4" w:space="0" w:color="000000"/>
            </w:tcBorders>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9616"/>
            </w:tblGrid>
            <w:tr w:rsidR="0054687A" w:rsidRPr="0080603D" w:rsidTr="00D02801">
              <w:trPr>
                <w:trHeight w:val="338"/>
              </w:trPr>
              <w:tc>
                <w:tcPr>
                  <w:tcW w:w="0" w:type="auto"/>
                </w:tcPr>
                <w:p w:rsidR="0054687A" w:rsidRPr="00DA2A2D" w:rsidRDefault="0054687A" w:rsidP="0054687A">
                  <w:pPr>
                    <w:widowControl/>
                    <w:suppressAutoHyphens w:val="0"/>
                    <w:autoSpaceDE w:val="0"/>
                    <w:autoSpaceDN w:val="0"/>
                    <w:adjustRightInd w:val="0"/>
                    <w:rPr>
                      <w:rFonts w:eastAsiaTheme="minorHAnsi"/>
                      <w:color w:val="000000"/>
                      <w:sz w:val="28"/>
                      <w:szCs w:val="28"/>
                      <w:lang w:val="ro-MD" w:eastAsia="en-US"/>
                    </w:rPr>
                  </w:pPr>
                  <w:r w:rsidRPr="00DA2A2D">
                    <w:rPr>
                      <w:rFonts w:eastAsiaTheme="minorHAnsi"/>
                      <w:color w:val="000000"/>
                      <w:sz w:val="28"/>
                      <w:szCs w:val="28"/>
                      <w:lang w:val="ro-MD" w:eastAsia="en-US"/>
                    </w:rPr>
                    <w:t xml:space="preserve">Actul normativ nu are drept scop armonizarea legislației naționale </w:t>
                  </w:r>
                  <w:r w:rsidR="005F7E0C">
                    <w:rPr>
                      <w:rFonts w:eastAsiaTheme="minorHAnsi"/>
                      <w:color w:val="000000"/>
                      <w:sz w:val="28"/>
                      <w:szCs w:val="28"/>
                      <w:lang w:val="ro-MD" w:eastAsia="en-US"/>
                    </w:rPr>
                    <w:t>cu legislația Uniunii Europene.</w:t>
                  </w:r>
                </w:p>
              </w:tc>
            </w:tr>
          </w:tbl>
          <w:p w:rsidR="00973DD3" w:rsidRPr="0054687A" w:rsidRDefault="00973DD3">
            <w:pPr>
              <w:jc w:val="both"/>
              <w:rPr>
                <w:sz w:val="28"/>
                <w:szCs w:val="28"/>
                <w:lang w:val="en-US"/>
              </w:rPr>
            </w:pPr>
          </w:p>
        </w:tc>
      </w:tr>
      <w:tr w:rsidR="00D01F95" w:rsidRPr="0080603D">
        <w:tc>
          <w:tcPr>
            <w:tcW w:w="98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01F95" w:rsidRPr="00636AB2" w:rsidRDefault="006F2D58">
            <w:pPr>
              <w:jc w:val="both"/>
              <w:rPr>
                <w:b/>
                <w:sz w:val="28"/>
                <w:szCs w:val="28"/>
                <w:lang w:val="it-IT"/>
              </w:rPr>
            </w:pPr>
            <w:r w:rsidRPr="00636AB2">
              <w:rPr>
                <w:b/>
                <w:sz w:val="28"/>
                <w:szCs w:val="28"/>
                <w:lang w:val="it-IT"/>
              </w:rPr>
              <w:t>Avizarea și consultarea publică a proiectului</w:t>
            </w:r>
          </w:p>
        </w:tc>
      </w:tr>
      <w:tr w:rsidR="00D01F95" w:rsidRPr="0080603D">
        <w:tc>
          <w:tcPr>
            <w:tcW w:w="983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1F95" w:rsidRDefault="006F2D58">
            <w:pPr>
              <w:jc w:val="both"/>
              <w:rPr>
                <w:sz w:val="28"/>
                <w:szCs w:val="28"/>
                <w:lang w:val="ro-RO"/>
              </w:rPr>
            </w:pPr>
            <w:r w:rsidRPr="00636AB2">
              <w:rPr>
                <w:sz w:val="28"/>
                <w:szCs w:val="28"/>
                <w:lang w:val="it-IT"/>
              </w:rPr>
              <w:t xml:space="preserve">În scopul respectării prevederilor Legii nr.239/2008 privind transparența în procesul decizional, proiectul </w:t>
            </w:r>
            <w:r w:rsidR="00973DD3" w:rsidRPr="00636AB2">
              <w:rPr>
                <w:bCs/>
                <w:sz w:val="28"/>
                <w:szCs w:val="28"/>
                <w:lang w:val="it-IT"/>
              </w:rPr>
              <w:t>de lege pentru modificarea unor acte normative</w:t>
            </w:r>
            <w:r w:rsidRPr="00636AB2">
              <w:rPr>
                <w:sz w:val="28"/>
                <w:szCs w:val="28"/>
                <w:lang w:val="it-IT"/>
              </w:rPr>
              <w:t xml:space="preserve"> este plasat pe pagina web oficială a Ministerului Finanțelor </w:t>
            </w:r>
            <w:hyperlink r:id="rId8">
              <w:r w:rsidRPr="004C62B1">
                <w:rPr>
                  <w:rStyle w:val="LegturInternet"/>
                  <w:rFonts w:eastAsia="Bookman Old Style"/>
                  <w:sz w:val="28"/>
                  <w:szCs w:val="28"/>
                  <w:lang w:val="it-IT"/>
                </w:rPr>
                <w:t>www.mf.gov.md</w:t>
              </w:r>
            </w:hyperlink>
            <w:r w:rsidRPr="004C62B1">
              <w:rPr>
                <w:sz w:val="28"/>
                <w:szCs w:val="28"/>
                <w:lang w:val="it-IT"/>
              </w:rPr>
              <w:t xml:space="preserve">, </w:t>
            </w:r>
            <w:r>
              <w:rPr>
                <w:sz w:val="28"/>
                <w:szCs w:val="28"/>
                <w:lang w:val="ro-RO"/>
              </w:rPr>
              <w:t xml:space="preserve">compartimentul Transparența decizională/Procesul decizional, cât și pe </w:t>
            </w:r>
            <w:r w:rsidRPr="004C62B1">
              <w:rPr>
                <w:rStyle w:val="LegturInternet"/>
                <w:rFonts w:eastAsia="Bookman Old Style"/>
                <w:sz w:val="28"/>
                <w:szCs w:val="28"/>
                <w:lang w:val="it-IT"/>
              </w:rPr>
              <w:t>www.particip.gov.md</w:t>
            </w:r>
            <w:r>
              <w:rPr>
                <w:sz w:val="28"/>
                <w:szCs w:val="28"/>
                <w:lang w:val="ro-RO"/>
              </w:rPr>
              <w:t xml:space="preserve"> .</w:t>
            </w:r>
          </w:p>
          <w:p w:rsidR="00D01F95" w:rsidRPr="004C62B1" w:rsidRDefault="00464EF2" w:rsidP="00455E24">
            <w:pPr>
              <w:jc w:val="both"/>
              <w:rPr>
                <w:sz w:val="28"/>
                <w:szCs w:val="28"/>
                <w:lang w:val="ro-RO"/>
              </w:rPr>
            </w:pPr>
            <w:r>
              <w:rPr>
                <w:sz w:val="28"/>
                <w:szCs w:val="28"/>
                <w:lang w:val="ro-RO"/>
              </w:rPr>
              <w:t>Proiectul urmează a</w:t>
            </w:r>
            <w:r w:rsidRPr="00464EF2">
              <w:rPr>
                <w:sz w:val="28"/>
                <w:szCs w:val="28"/>
                <w:lang w:val="ro-RO"/>
              </w:rPr>
              <w:t xml:space="preserve"> f</w:t>
            </w:r>
            <w:r>
              <w:rPr>
                <w:sz w:val="28"/>
                <w:szCs w:val="28"/>
                <w:lang w:val="ro-RO"/>
              </w:rPr>
              <w:t>i</w:t>
            </w:r>
            <w:r w:rsidR="00DA2A2D">
              <w:rPr>
                <w:sz w:val="28"/>
                <w:szCs w:val="28"/>
                <w:lang w:val="ro-RO"/>
              </w:rPr>
              <w:t xml:space="preserve"> remis spre avizare și</w:t>
            </w:r>
            <w:r w:rsidRPr="00464EF2">
              <w:rPr>
                <w:sz w:val="28"/>
                <w:szCs w:val="28"/>
                <w:lang w:val="ro-RO"/>
              </w:rPr>
              <w:t xml:space="preserve"> consultare Ministerul</w:t>
            </w:r>
            <w:r w:rsidR="00455E24">
              <w:rPr>
                <w:sz w:val="28"/>
                <w:szCs w:val="28"/>
                <w:lang w:val="ro-RO"/>
              </w:rPr>
              <w:t xml:space="preserve"> Infrastructurii și Dezvoltării Regionale</w:t>
            </w:r>
            <w:r w:rsidRPr="00464EF2">
              <w:rPr>
                <w:sz w:val="28"/>
                <w:szCs w:val="28"/>
                <w:lang w:val="ro-RO"/>
              </w:rPr>
              <w:t xml:space="preserve">; Ministerul </w:t>
            </w:r>
            <w:r w:rsidR="00992BBA">
              <w:rPr>
                <w:sz w:val="28"/>
                <w:szCs w:val="28"/>
                <w:lang w:val="ro-RO"/>
              </w:rPr>
              <w:t xml:space="preserve">Justiţiei </w:t>
            </w:r>
            <w:r w:rsidRPr="00464EF2">
              <w:rPr>
                <w:sz w:val="28"/>
                <w:szCs w:val="28"/>
                <w:lang w:val="ro-RO"/>
              </w:rPr>
              <w:t>și Centrului Național Anticorupție.</w:t>
            </w:r>
          </w:p>
        </w:tc>
      </w:tr>
    </w:tbl>
    <w:p w:rsidR="00D01F95" w:rsidRDefault="00D01F95">
      <w:pPr>
        <w:pStyle w:val="BodyText"/>
        <w:ind w:firstLine="567"/>
        <w:rPr>
          <w:b w:val="0"/>
          <w:szCs w:val="28"/>
        </w:rPr>
      </w:pPr>
    </w:p>
    <w:p w:rsidR="0020481E" w:rsidRDefault="0020481E" w:rsidP="009F6F4A">
      <w:pPr>
        <w:tabs>
          <w:tab w:val="left" w:pos="516"/>
        </w:tabs>
        <w:autoSpaceDE w:val="0"/>
        <w:autoSpaceDN w:val="0"/>
        <w:adjustRightInd w:val="0"/>
        <w:spacing w:line="360" w:lineRule="auto"/>
        <w:rPr>
          <w:b/>
          <w:bCs/>
          <w:color w:val="000000"/>
          <w:sz w:val="28"/>
          <w:szCs w:val="28"/>
          <w:lang w:val="ro-RO"/>
        </w:rPr>
      </w:pPr>
    </w:p>
    <w:p w:rsidR="00992BBA" w:rsidRPr="004C62B1" w:rsidRDefault="00992BBA" w:rsidP="009F6F4A">
      <w:pPr>
        <w:tabs>
          <w:tab w:val="left" w:pos="516"/>
        </w:tabs>
        <w:autoSpaceDE w:val="0"/>
        <w:autoSpaceDN w:val="0"/>
        <w:adjustRightInd w:val="0"/>
        <w:spacing w:line="360" w:lineRule="auto"/>
        <w:rPr>
          <w:b/>
          <w:bCs/>
          <w:color w:val="000000"/>
          <w:sz w:val="28"/>
          <w:szCs w:val="28"/>
          <w:lang w:val="ro-RO"/>
        </w:rPr>
      </w:pPr>
    </w:p>
    <w:p w:rsidR="00D01F95" w:rsidRPr="0080603D" w:rsidRDefault="0080603D" w:rsidP="00992BBA">
      <w:pPr>
        <w:tabs>
          <w:tab w:val="left" w:pos="516"/>
        </w:tabs>
        <w:jc w:val="center"/>
        <w:rPr>
          <w:color w:val="000000"/>
          <w:sz w:val="28"/>
          <w:szCs w:val="28"/>
          <w:lang w:val="ro-MD" w:bidi="en-US"/>
        </w:rPr>
      </w:pPr>
      <w:r w:rsidRPr="0080603D">
        <w:rPr>
          <w:b/>
          <w:bCs/>
          <w:color w:val="000000"/>
          <w:sz w:val="28"/>
          <w:szCs w:val="28"/>
          <w:lang w:val="ro-MD"/>
        </w:rPr>
        <w:t>Secretar General al Ministerului</w:t>
      </w:r>
      <w:r w:rsidR="009D0500" w:rsidRPr="0080603D">
        <w:rPr>
          <w:b/>
          <w:bCs/>
          <w:color w:val="000000"/>
          <w:sz w:val="28"/>
          <w:szCs w:val="28"/>
          <w:lang w:val="ro-MD"/>
        </w:rPr>
        <w:t xml:space="preserve">                       </w:t>
      </w:r>
      <w:r w:rsidR="00992BBA" w:rsidRPr="0080603D">
        <w:rPr>
          <w:b/>
          <w:bCs/>
          <w:color w:val="000000"/>
          <w:sz w:val="28"/>
          <w:szCs w:val="28"/>
          <w:lang w:val="ro-MD"/>
        </w:rPr>
        <w:t>Di</w:t>
      </w:r>
      <w:r w:rsidRPr="0080603D">
        <w:rPr>
          <w:b/>
          <w:bCs/>
          <w:color w:val="000000"/>
          <w:sz w:val="28"/>
          <w:szCs w:val="28"/>
          <w:lang w:val="ro-MD"/>
        </w:rPr>
        <w:t>na</w:t>
      </w:r>
      <w:r w:rsidR="00992BBA" w:rsidRPr="0080603D">
        <w:rPr>
          <w:b/>
          <w:bCs/>
          <w:color w:val="000000"/>
          <w:sz w:val="28"/>
          <w:szCs w:val="28"/>
          <w:lang w:val="ro-MD"/>
        </w:rPr>
        <w:t xml:space="preserve"> </w:t>
      </w:r>
      <w:r w:rsidRPr="0080603D">
        <w:rPr>
          <w:b/>
          <w:bCs/>
          <w:color w:val="000000"/>
          <w:sz w:val="28"/>
          <w:szCs w:val="28"/>
          <w:lang w:val="ro-MD"/>
        </w:rPr>
        <w:t>ROȘCA</w:t>
      </w:r>
    </w:p>
    <w:sectPr w:rsidR="00D01F95" w:rsidRPr="0080603D" w:rsidSect="0020481E">
      <w:pgSz w:w="11906" w:h="16838"/>
      <w:pgMar w:top="1135" w:right="1133" w:bottom="1701"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24E" w:rsidRDefault="00FA424E" w:rsidP="0020481E">
      <w:r>
        <w:separator/>
      </w:r>
    </w:p>
  </w:endnote>
  <w:endnote w:type="continuationSeparator" w:id="0">
    <w:p w:rsidR="00FA424E" w:rsidRDefault="00FA424E" w:rsidP="0020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JP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24E" w:rsidRDefault="00FA424E" w:rsidP="0020481E">
      <w:r>
        <w:separator/>
      </w:r>
    </w:p>
  </w:footnote>
  <w:footnote w:type="continuationSeparator" w:id="0">
    <w:p w:rsidR="00FA424E" w:rsidRDefault="00FA424E" w:rsidP="002048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81241"/>
    <w:multiLevelType w:val="hybridMultilevel"/>
    <w:tmpl w:val="757A559C"/>
    <w:lvl w:ilvl="0" w:tplc="68748128">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C747ECA"/>
    <w:multiLevelType w:val="hybridMultilevel"/>
    <w:tmpl w:val="9524EB72"/>
    <w:lvl w:ilvl="0" w:tplc="329CE688">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D673F89"/>
    <w:multiLevelType w:val="hybridMultilevel"/>
    <w:tmpl w:val="344A49D6"/>
    <w:lvl w:ilvl="0" w:tplc="B3147DD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95"/>
    <w:rsid w:val="000828DB"/>
    <w:rsid w:val="000A0C7B"/>
    <w:rsid w:val="000D47B8"/>
    <w:rsid w:val="00113F6F"/>
    <w:rsid w:val="00143BA6"/>
    <w:rsid w:val="00157755"/>
    <w:rsid w:val="001F6FA1"/>
    <w:rsid w:val="0020481E"/>
    <w:rsid w:val="00241D23"/>
    <w:rsid w:val="00245054"/>
    <w:rsid w:val="00251AEC"/>
    <w:rsid w:val="00252DA5"/>
    <w:rsid w:val="00291712"/>
    <w:rsid w:val="002A3400"/>
    <w:rsid w:val="002D63C5"/>
    <w:rsid w:val="00302FC6"/>
    <w:rsid w:val="00326248"/>
    <w:rsid w:val="00365E67"/>
    <w:rsid w:val="00396D99"/>
    <w:rsid w:val="003C0D1B"/>
    <w:rsid w:val="003C5F6C"/>
    <w:rsid w:val="003D4C0A"/>
    <w:rsid w:val="00405ED9"/>
    <w:rsid w:val="00433C77"/>
    <w:rsid w:val="00440939"/>
    <w:rsid w:val="00445DDA"/>
    <w:rsid w:val="00455E24"/>
    <w:rsid w:val="00462527"/>
    <w:rsid w:val="00464EF2"/>
    <w:rsid w:val="004C62B1"/>
    <w:rsid w:val="00526062"/>
    <w:rsid w:val="0054687A"/>
    <w:rsid w:val="00595C5B"/>
    <w:rsid w:val="005D3833"/>
    <w:rsid w:val="005F21E0"/>
    <w:rsid w:val="005F6057"/>
    <w:rsid w:val="005F7237"/>
    <w:rsid w:val="005F7E0C"/>
    <w:rsid w:val="006369FC"/>
    <w:rsid w:val="00636AB2"/>
    <w:rsid w:val="00645CFA"/>
    <w:rsid w:val="00680FD5"/>
    <w:rsid w:val="006918A7"/>
    <w:rsid w:val="006B153B"/>
    <w:rsid w:val="006D5250"/>
    <w:rsid w:val="006D62AF"/>
    <w:rsid w:val="006E6EB0"/>
    <w:rsid w:val="006F2D58"/>
    <w:rsid w:val="007576D0"/>
    <w:rsid w:val="007B43E4"/>
    <w:rsid w:val="007D7A53"/>
    <w:rsid w:val="00801BAE"/>
    <w:rsid w:val="0080603D"/>
    <w:rsid w:val="00825A8B"/>
    <w:rsid w:val="00861D5A"/>
    <w:rsid w:val="0086375E"/>
    <w:rsid w:val="008D1440"/>
    <w:rsid w:val="008E033E"/>
    <w:rsid w:val="00925078"/>
    <w:rsid w:val="009276E4"/>
    <w:rsid w:val="0093788E"/>
    <w:rsid w:val="00954FAB"/>
    <w:rsid w:val="00973DD3"/>
    <w:rsid w:val="00992BBA"/>
    <w:rsid w:val="009C38D3"/>
    <w:rsid w:val="009D0500"/>
    <w:rsid w:val="009F6F4A"/>
    <w:rsid w:val="00A11156"/>
    <w:rsid w:val="00A5202D"/>
    <w:rsid w:val="00A62FF9"/>
    <w:rsid w:val="00A66FE6"/>
    <w:rsid w:val="00AA7733"/>
    <w:rsid w:val="00AC4740"/>
    <w:rsid w:val="00AE41C3"/>
    <w:rsid w:val="00B146E4"/>
    <w:rsid w:val="00B256C3"/>
    <w:rsid w:val="00B80666"/>
    <w:rsid w:val="00BE7F41"/>
    <w:rsid w:val="00C12A81"/>
    <w:rsid w:val="00C336EA"/>
    <w:rsid w:val="00C34938"/>
    <w:rsid w:val="00C82BD9"/>
    <w:rsid w:val="00CD2C84"/>
    <w:rsid w:val="00D01F95"/>
    <w:rsid w:val="00D02801"/>
    <w:rsid w:val="00D40A90"/>
    <w:rsid w:val="00D607A4"/>
    <w:rsid w:val="00D745AE"/>
    <w:rsid w:val="00D76856"/>
    <w:rsid w:val="00D92BCC"/>
    <w:rsid w:val="00DA2A2D"/>
    <w:rsid w:val="00DF2215"/>
    <w:rsid w:val="00E37AEA"/>
    <w:rsid w:val="00E95B01"/>
    <w:rsid w:val="00EC6001"/>
    <w:rsid w:val="00F36EBD"/>
    <w:rsid w:val="00F90827"/>
    <w:rsid w:val="00F926B5"/>
    <w:rsid w:val="00FA424E"/>
    <w:rsid w:val="00FE1ACB"/>
    <w:rsid w:val="00FE7172"/>
    <w:rsid w:val="00FF0D9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9EA1"/>
  <w15:docId w15:val="{CC15D62D-7300-4017-BADC-9B254111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714"/>
    <w:pPr>
      <w:widowControl w:val="0"/>
    </w:pPr>
    <w:rPr>
      <w:rFonts w:ascii="Times New Roman" w:eastAsia="Times New Roman" w:hAnsi="Times New Roman" w:cs="Times New Roman"/>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663714"/>
    <w:rPr>
      <w:rFonts w:ascii="Times New Roman" w:eastAsia="Times New Roman" w:hAnsi="Times New Roman" w:cs="Times New Roman"/>
      <w:b/>
      <w:sz w:val="28"/>
      <w:szCs w:val="20"/>
      <w:lang w:val="ro-RO" w:eastAsia="ru-RU"/>
    </w:rPr>
  </w:style>
  <w:style w:type="character" w:customStyle="1" w:styleId="Bodytext2">
    <w:name w:val="Body text (2)_"/>
    <w:basedOn w:val="DefaultParagraphFont"/>
    <w:link w:val="Bodytext20"/>
    <w:qFormat/>
    <w:rsid w:val="00EB0A0E"/>
    <w:rPr>
      <w:rFonts w:ascii="Bookman Old Style" w:eastAsia="Bookman Old Style" w:hAnsi="Bookman Old Style" w:cs="Bookman Old Style"/>
      <w:sz w:val="24"/>
      <w:szCs w:val="24"/>
      <w:shd w:val="clear" w:color="auto" w:fill="FFFFFF"/>
    </w:rPr>
  </w:style>
  <w:style w:type="character" w:customStyle="1" w:styleId="Bodytext5">
    <w:name w:val="Body text (5)_"/>
    <w:basedOn w:val="DefaultParagraphFont"/>
    <w:link w:val="Bodytext50"/>
    <w:qFormat/>
    <w:rsid w:val="005955FD"/>
    <w:rPr>
      <w:rFonts w:ascii="Bookman Old Style" w:eastAsia="Bookman Old Style" w:hAnsi="Bookman Old Style" w:cs="Bookman Old Style"/>
      <w:sz w:val="8"/>
      <w:szCs w:val="8"/>
      <w:shd w:val="clear" w:color="auto" w:fill="FFFFFF"/>
    </w:rPr>
  </w:style>
  <w:style w:type="character" w:customStyle="1" w:styleId="Bodytext5SmallCaps">
    <w:name w:val="Body text (5) + Small Caps"/>
    <w:basedOn w:val="Bodytext5"/>
    <w:qFormat/>
    <w:rsid w:val="005955FD"/>
    <w:rPr>
      <w:rFonts w:ascii="Bookman Old Style" w:eastAsia="Bookman Old Style" w:hAnsi="Bookman Old Style" w:cs="Bookman Old Style"/>
      <w:smallCaps/>
      <w:color w:val="000000"/>
      <w:spacing w:val="0"/>
      <w:w w:val="100"/>
      <w:sz w:val="8"/>
      <w:szCs w:val="8"/>
      <w:shd w:val="clear" w:color="auto" w:fill="FFFFFF"/>
      <w:lang w:val="en-US" w:eastAsia="en-US" w:bidi="en-US"/>
    </w:rPr>
  </w:style>
  <w:style w:type="character" w:customStyle="1" w:styleId="Bodytext2Georgia">
    <w:name w:val="Body text (2) + Georgia"/>
    <w:basedOn w:val="Bodytext2"/>
    <w:qFormat/>
    <w:rsid w:val="00253FA5"/>
    <w:rPr>
      <w:rFonts w:ascii="Georgia" w:eastAsia="Georgia" w:hAnsi="Georgia" w:cs="Georgia"/>
      <w:b/>
      <w:bCs/>
      <w:i w:val="0"/>
      <w:iCs w:val="0"/>
      <w:caps w:val="0"/>
      <w:smallCaps w:val="0"/>
      <w:strike w:val="0"/>
      <w:dstrike w:val="0"/>
      <w:color w:val="000000"/>
      <w:spacing w:val="0"/>
      <w:w w:val="100"/>
      <w:sz w:val="23"/>
      <w:szCs w:val="23"/>
      <w:u w:val="none"/>
      <w:shd w:val="clear" w:color="auto" w:fill="FFFFFF"/>
      <w:lang w:val="en-US" w:eastAsia="en-US" w:bidi="en-US"/>
    </w:rPr>
  </w:style>
  <w:style w:type="character" w:customStyle="1" w:styleId="Bodytext2Exact">
    <w:name w:val="Body text (2) Exact"/>
    <w:basedOn w:val="DefaultParagraphFont"/>
    <w:qFormat/>
    <w:rsid w:val="008C537C"/>
    <w:rPr>
      <w:rFonts w:ascii="Bookman Old Style" w:eastAsia="Bookman Old Style" w:hAnsi="Bookman Old Style" w:cs="Bookman Old Style"/>
      <w:b w:val="0"/>
      <w:bCs w:val="0"/>
      <w:i w:val="0"/>
      <w:iCs w:val="0"/>
      <w:caps w:val="0"/>
      <w:smallCaps w:val="0"/>
      <w:strike w:val="0"/>
      <w:dstrike w:val="0"/>
      <w:sz w:val="24"/>
      <w:szCs w:val="24"/>
      <w:u w:val="none"/>
    </w:rPr>
  </w:style>
  <w:style w:type="character" w:customStyle="1" w:styleId="LegturInternet">
    <w:name w:val="Legătură Internet"/>
    <w:uiPriority w:val="99"/>
    <w:unhideWhenUsed/>
    <w:rsid w:val="000531ED"/>
    <w:rPr>
      <w:color w:val="0563C1"/>
      <w:u w:val="single"/>
    </w:rPr>
  </w:style>
  <w:style w:type="character" w:customStyle="1" w:styleId="BalloonTextChar">
    <w:name w:val="Balloon Text Char"/>
    <w:basedOn w:val="DefaultParagraphFont"/>
    <w:link w:val="BalloonText"/>
    <w:uiPriority w:val="99"/>
    <w:semiHidden/>
    <w:qFormat/>
    <w:rsid w:val="00FA19D5"/>
    <w:rPr>
      <w:rFonts w:ascii="Segoe UI" w:eastAsia="Times New Roman" w:hAnsi="Segoe UI" w:cs="Segoe UI"/>
      <w:sz w:val="18"/>
      <w:szCs w:val="18"/>
      <w:lang w:val="ru-RU" w:eastAsia="ru-RU"/>
    </w:rPr>
  </w:style>
  <w:style w:type="character" w:customStyle="1" w:styleId="HeaderChar">
    <w:name w:val="Header Char"/>
    <w:basedOn w:val="DefaultParagraphFont"/>
    <w:link w:val="Header"/>
    <w:uiPriority w:val="99"/>
    <w:qFormat/>
    <w:rsid w:val="00A530C1"/>
    <w:rPr>
      <w:rFonts w:ascii="Times New Roman" w:eastAsia="Times New Roman" w:hAnsi="Times New Roman" w:cs="Times New Roman"/>
      <w:sz w:val="20"/>
      <w:szCs w:val="20"/>
      <w:lang w:val="ru-RU" w:eastAsia="ru-RU"/>
    </w:rPr>
  </w:style>
  <w:style w:type="character" w:customStyle="1" w:styleId="FooterChar">
    <w:name w:val="Footer Char"/>
    <w:basedOn w:val="DefaultParagraphFont"/>
    <w:link w:val="Footer"/>
    <w:uiPriority w:val="99"/>
    <w:qFormat/>
    <w:rsid w:val="00A530C1"/>
    <w:rPr>
      <w:rFonts w:ascii="Times New Roman" w:eastAsia="Times New Roman" w:hAnsi="Times New Roman" w:cs="Times New Roman"/>
      <w:sz w:val="20"/>
      <w:szCs w:val="20"/>
      <w:lang w:val="ru-RU" w:eastAsia="ru-RU"/>
    </w:rPr>
  </w:style>
  <w:style w:type="paragraph" w:customStyle="1" w:styleId="Stiltitlu">
    <w:name w:val="Stil titlu"/>
    <w:basedOn w:val="Normal"/>
    <w:next w:val="BodyText"/>
    <w:qFormat/>
    <w:rsid w:val="00F90827"/>
    <w:pPr>
      <w:keepNext/>
      <w:spacing w:before="240" w:after="120"/>
    </w:pPr>
    <w:rPr>
      <w:rFonts w:ascii="Liberation Sans" w:eastAsia="Noto Sans CJK JP Regular" w:hAnsi="Liberation Sans" w:cs="FreeSans"/>
      <w:sz w:val="28"/>
      <w:szCs w:val="28"/>
    </w:rPr>
  </w:style>
  <w:style w:type="paragraph" w:styleId="BodyText">
    <w:name w:val="Body Text"/>
    <w:basedOn w:val="Normal"/>
    <w:link w:val="BodyTextChar"/>
    <w:rsid w:val="00663714"/>
    <w:pPr>
      <w:widowControl/>
      <w:jc w:val="both"/>
    </w:pPr>
    <w:rPr>
      <w:b/>
      <w:sz w:val="28"/>
      <w:lang w:val="ro-RO"/>
    </w:rPr>
  </w:style>
  <w:style w:type="paragraph" w:styleId="List">
    <w:name w:val="List"/>
    <w:basedOn w:val="BodyText"/>
    <w:rsid w:val="00F90827"/>
    <w:rPr>
      <w:rFonts w:cs="FreeSans"/>
    </w:rPr>
  </w:style>
  <w:style w:type="paragraph" w:styleId="Caption">
    <w:name w:val="caption"/>
    <w:basedOn w:val="Normal"/>
    <w:qFormat/>
    <w:rsid w:val="00F90827"/>
    <w:pPr>
      <w:suppressLineNumbers/>
      <w:spacing w:before="120" w:after="120"/>
    </w:pPr>
    <w:rPr>
      <w:rFonts w:cs="FreeSans"/>
      <w:i/>
      <w:iCs/>
      <w:sz w:val="24"/>
      <w:szCs w:val="24"/>
    </w:rPr>
  </w:style>
  <w:style w:type="paragraph" w:customStyle="1" w:styleId="Index">
    <w:name w:val="Index"/>
    <w:basedOn w:val="Normal"/>
    <w:qFormat/>
    <w:rsid w:val="00F90827"/>
    <w:pPr>
      <w:suppressLineNumbers/>
    </w:pPr>
    <w:rPr>
      <w:rFonts w:cs="FreeSans"/>
    </w:rPr>
  </w:style>
  <w:style w:type="paragraph" w:customStyle="1" w:styleId="Bodytext20">
    <w:name w:val="Body text (2)"/>
    <w:basedOn w:val="Normal"/>
    <w:link w:val="Bodytext2"/>
    <w:qFormat/>
    <w:rsid w:val="00EB0A0E"/>
    <w:pPr>
      <w:shd w:val="clear" w:color="auto" w:fill="FFFFFF"/>
      <w:spacing w:before="720" w:line="384" w:lineRule="exact"/>
      <w:jc w:val="both"/>
    </w:pPr>
    <w:rPr>
      <w:rFonts w:ascii="Bookman Old Style" w:eastAsia="Bookman Old Style" w:hAnsi="Bookman Old Style" w:cs="Bookman Old Style"/>
      <w:sz w:val="24"/>
      <w:szCs w:val="24"/>
      <w:lang w:val="en-GB" w:eastAsia="en-US"/>
    </w:rPr>
  </w:style>
  <w:style w:type="paragraph" w:customStyle="1" w:styleId="Bodytext50">
    <w:name w:val="Body text (5)"/>
    <w:basedOn w:val="Normal"/>
    <w:link w:val="Bodytext5"/>
    <w:qFormat/>
    <w:rsid w:val="005955FD"/>
    <w:pPr>
      <w:shd w:val="clear" w:color="auto" w:fill="FFFFFF"/>
    </w:pPr>
    <w:rPr>
      <w:rFonts w:ascii="Bookman Old Style" w:eastAsia="Bookman Old Style" w:hAnsi="Bookman Old Style" w:cs="Bookman Old Style"/>
      <w:sz w:val="8"/>
      <w:szCs w:val="8"/>
      <w:lang w:val="en-GB" w:eastAsia="en-US"/>
    </w:rPr>
  </w:style>
  <w:style w:type="paragraph" w:styleId="NormalWeb">
    <w:name w:val="Normal (Web)"/>
    <w:basedOn w:val="Normal"/>
    <w:uiPriority w:val="99"/>
    <w:qFormat/>
    <w:rsid w:val="00257B0B"/>
    <w:pPr>
      <w:widowControl/>
      <w:ind w:firstLine="567"/>
      <w:jc w:val="both"/>
    </w:pPr>
    <w:rPr>
      <w:rFonts w:eastAsia="SimSun"/>
      <w:sz w:val="24"/>
      <w:szCs w:val="24"/>
      <w:lang w:eastAsia="zh-CN"/>
    </w:rPr>
  </w:style>
  <w:style w:type="paragraph" w:customStyle="1" w:styleId="tt">
    <w:name w:val="tt"/>
    <w:basedOn w:val="Normal"/>
    <w:qFormat/>
    <w:rsid w:val="00257B0B"/>
    <w:pPr>
      <w:widowControl/>
      <w:spacing w:beforeAutospacing="1" w:afterAutospacing="1"/>
    </w:pPr>
    <w:rPr>
      <w:sz w:val="24"/>
      <w:szCs w:val="24"/>
    </w:rPr>
  </w:style>
  <w:style w:type="paragraph" w:styleId="BalloonText">
    <w:name w:val="Balloon Text"/>
    <w:basedOn w:val="Normal"/>
    <w:link w:val="BalloonTextChar"/>
    <w:uiPriority w:val="99"/>
    <w:semiHidden/>
    <w:unhideWhenUsed/>
    <w:qFormat/>
    <w:rsid w:val="00FA19D5"/>
    <w:rPr>
      <w:rFonts w:ascii="Segoe UI" w:hAnsi="Segoe UI" w:cs="Segoe UI"/>
      <w:sz w:val="18"/>
      <w:szCs w:val="18"/>
    </w:rPr>
  </w:style>
  <w:style w:type="paragraph" w:styleId="ListParagraph">
    <w:name w:val="List Paragraph"/>
    <w:basedOn w:val="Normal"/>
    <w:uiPriority w:val="1"/>
    <w:qFormat/>
    <w:rsid w:val="00355E87"/>
    <w:pPr>
      <w:ind w:left="720"/>
      <w:contextualSpacing/>
    </w:pPr>
  </w:style>
  <w:style w:type="paragraph" w:customStyle="1" w:styleId="HeaderandFooter">
    <w:name w:val="Header and Footer"/>
    <w:basedOn w:val="Normal"/>
    <w:qFormat/>
    <w:rsid w:val="00F90827"/>
  </w:style>
  <w:style w:type="paragraph" w:styleId="Header">
    <w:name w:val="header"/>
    <w:basedOn w:val="Normal"/>
    <w:link w:val="HeaderChar"/>
    <w:uiPriority w:val="99"/>
    <w:unhideWhenUsed/>
    <w:rsid w:val="00A530C1"/>
    <w:pPr>
      <w:tabs>
        <w:tab w:val="center" w:pos="4513"/>
        <w:tab w:val="right" w:pos="9026"/>
      </w:tabs>
    </w:pPr>
  </w:style>
  <w:style w:type="paragraph" w:styleId="Footer">
    <w:name w:val="footer"/>
    <w:basedOn w:val="Normal"/>
    <w:link w:val="FooterChar"/>
    <w:uiPriority w:val="99"/>
    <w:unhideWhenUsed/>
    <w:rsid w:val="00A530C1"/>
    <w:pPr>
      <w:tabs>
        <w:tab w:val="center" w:pos="4513"/>
        <w:tab w:val="right" w:pos="9026"/>
      </w:tabs>
    </w:pPr>
  </w:style>
  <w:style w:type="character" w:styleId="CommentReference">
    <w:name w:val="annotation reference"/>
    <w:basedOn w:val="DefaultParagraphFont"/>
    <w:uiPriority w:val="99"/>
    <w:semiHidden/>
    <w:unhideWhenUsed/>
    <w:rsid w:val="00954FAB"/>
    <w:rPr>
      <w:sz w:val="16"/>
      <w:szCs w:val="16"/>
    </w:rPr>
  </w:style>
  <w:style w:type="paragraph" w:styleId="CommentText">
    <w:name w:val="annotation text"/>
    <w:basedOn w:val="Normal"/>
    <w:link w:val="CommentTextChar"/>
    <w:uiPriority w:val="99"/>
    <w:semiHidden/>
    <w:unhideWhenUsed/>
    <w:rsid w:val="00954FAB"/>
  </w:style>
  <w:style w:type="character" w:customStyle="1" w:styleId="CommentTextChar">
    <w:name w:val="Comment Text Char"/>
    <w:basedOn w:val="DefaultParagraphFont"/>
    <w:link w:val="CommentText"/>
    <w:uiPriority w:val="99"/>
    <w:semiHidden/>
    <w:rsid w:val="00954FAB"/>
    <w:rPr>
      <w:rFonts w:ascii="Times New Roman" w:eastAsia="Times New Roman" w:hAnsi="Times New Roman" w:cs="Times New Roman"/>
      <w:szCs w:val="20"/>
      <w:lang w:val="ru-RU" w:eastAsia="ru-RU"/>
    </w:rPr>
  </w:style>
  <w:style w:type="paragraph" w:styleId="CommentSubject">
    <w:name w:val="annotation subject"/>
    <w:basedOn w:val="CommentText"/>
    <w:next w:val="CommentText"/>
    <w:link w:val="CommentSubjectChar"/>
    <w:uiPriority w:val="99"/>
    <w:semiHidden/>
    <w:unhideWhenUsed/>
    <w:rsid w:val="00954FAB"/>
    <w:rPr>
      <w:b/>
      <w:bCs/>
    </w:rPr>
  </w:style>
  <w:style w:type="character" w:customStyle="1" w:styleId="CommentSubjectChar">
    <w:name w:val="Comment Subject Char"/>
    <w:basedOn w:val="CommentTextChar"/>
    <w:link w:val="CommentSubject"/>
    <w:uiPriority w:val="99"/>
    <w:semiHidden/>
    <w:rsid w:val="00954FAB"/>
    <w:rPr>
      <w:rFonts w:ascii="Times New Roman" w:eastAsia="Times New Roman" w:hAnsi="Times New Roman" w:cs="Times New Roman"/>
      <w:b/>
      <w:bCs/>
      <w:szCs w:val="20"/>
      <w:lang w:val="ru-RU" w:eastAsia="ru-RU"/>
    </w:rPr>
  </w:style>
  <w:style w:type="paragraph" w:customStyle="1" w:styleId="Default">
    <w:name w:val="Default"/>
    <w:rsid w:val="003C5F6C"/>
    <w:pPr>
      <w:suppressAutoHyphens w:val="0"/>
      <w:autoSpaceDE w:val="0"/>
      <w:autoSpaceDN w:val="0"/>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075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7ABC8-CF39-41FF-B999-00E879D79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Pages>
  <Words>1150</Words>
  <Characters>6558</Characters>
  <Application>Microsoft Office Word</Application>
  <DocSecurity>0</DocSecurity>
  <Lines>54</Lines>
  <Paragraphs>15</Paragraphs>
  <ScaleCrop>false</ScaleCrop>
  <HeadingPairs>
    <vt:vector size="6" baseType="variant">
      <vt:variant>
        <vt:lpstr>Title</vt:lpstr>
      </vt:variant>
      <vt:variant>
        <vt:i4>1</vt:i4>
      </vt:variant>
      <vt:variant>
        <vt:lpstr>Titolo</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Galusca</dc:creator>
  <cp:lastModifiedBy>Victoria, Fortuna</cp:lastModifiedBy>
  <cp:revision>15</cp:revision>
  <cp:lastPrinted>2022-04-20T05:53:00Z</cp:lastPrinted>
  <dcterms:created xsi:type="dcterms:W3CDTF">2022-04-12T08:29:00Z</dcterms:created>
  <dcterms:modified xsi:type="dcterms:W3CDTF">2022-04-21T10:16:00Z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