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DC" w:rsidRPr="001A76EA" w:rsidRDefault="00AD5CDC" w:rsidP="00AD5CDC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A76EA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AD5CDC" w:rsidRPr="001A76EA" w:rsidRDefault="00AD5CDC" w:rsidP="00AD5CDC">
      <w:pPr>
        <w:jc w:val="center"/>
        <w:rPr>
          <w:b/>
          <w:szCs w:val="28"/>
          <w:lang w:val="ro-RO"/>
        </w:rPr>
      </w:pPr>
      <w:r w:rsidRPr="001A76EA">
        <w:rPr>
          <w:b/>
          <w:bCs/>
          <w:szCs w:val="28"/>
          <w:lang w:val="ro-RO"/>
        </w:rPr>
        <w:t xml:space="preserve">la proiectul </w:t>
      </w:r>
      <w:r w:rsidR="00714025" w:rsidRPr="001A76EA">
        <w:rPr>
          <w:b/>
          <w:bCs/>
          <w:szCs w:val="28"/>
          <w:lang w:val="ro-RO"/>
        </w:rPr>
        <w:t xml:space="preserve">hotărârii Guvernului pentru aprobarea </w:t>
      </w:r>
      <w:r w:rsidR="00714025" w:rsidRPr="001A76EA">
        <w:rPr>
          <w:b/>
          <w:szCs w:val="28"/>
          <w:lang w:val="ro-RO"/>
        </w:rPr>
        <w:t xml:space="preserve">Normelor </w:t>
      </w:r>
      <w:r w:rsidR="00714025" w:rsidRPr="001A76EA">
        <w:rPr>
          <w:b/>
          <w:szCs w:val="28"/>
          <w:shd w:val="clear" w:color="auto" w:fill="FFFFFF"/>
          <w:lang w:val="ro-RO"/>
        </w:rPr>
        <w:t xml:space="preserve">de dotare a </w:t>
      </w:r>
      <w:r w:rsidR="005E3448" w:rsidRPr="001A76EA">
        <w:rPr>
          <w:b/>
          <w:szCs w:val="28"/>
          <w:shd w:val="clear" w:color="auto" w:fill="FFFFFF"/>
          <w:lang w:val="ro-RO"/>
        </w:rPr>
        <w:t>aparatului central,</w:t>
      </w:r>
      <w:r w:rsidR="00714025" w:rsidRPr="001A76EA">
        <w:rPr>
          <w:b/>
          <w:szCs w:val="28"/>
          <w:shd w:val="clear" w:color="auto" w:fill="FFFFFF"/>
          <w:lang w:val="ro-RO"/>
        </w:rPr>
        <w:t xml:space="preserve"> autorităților administrative și instituțiilor din subordine</w:t>
      </w:r>
      <w:r w:rsidR="005E3448" w:rsidRPr="001A76EA">
        <w:rPr>
          <w:b/>
          <w:szCs w:val="28"/>
          <w:shd w:val="clear" w:color="auto" w:fill="FFFFFF"/>
          <w:lang w:val="ro-RO"/>
        </w:rPr>
        <w:t>a Ministerului Afacerilor Interne</w:t>
      </w:r>
      <w:r w:rsidR="00714025" w:rsidRPr="001A76EA">
        <w:rPr>
          <w:b/>
          <w:szCs w:val="28"/>
          <w:shd w:val="clear" w:color="auto" w:fill="FFFFFF"/>
          <w:lang w:val="ro-RO"/>
        </w:rPr>
        <w:t xml:space="preserve"> cu mijloace de transport </w:t>
      </w:r>
    </w:p>
    <w:p w:rsidR="00AD5CDC" w:rsidRPr="001A76EA" w:rsidRDefault="00AD5CDC" w:rsidP="00AD5CDC">
      <w:pPr>
        <w:spacing w:line="0" w:lineRule="atLeast"/>
        <w:rPr>
          <w:b/>
          <w:bCs/>
          <w:szCs w:val="28"/>
          <w:lang w:val="ro-RO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7"/>
      </w:tblGrid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before="60"/>
              <w:ind w:left="0" w:firstLine="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t xml:space="preserve">Denumirea autorului </w:t>
            </w:r>
            <w:proofErr w:type="spellStart"/>
            <w:r w:rsidRPr="001A76EA">
              <w:rPr>
                <w:b/>
                <w:szCs w:val="28"/>
                <w:lang w:val="ro-RO"/>
              </w:rPr>
              <w:t>şi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, după caz, a </w:t>
            </w:r>
            <w:proofErr w:type="spellStart"/>
            <w:r w:rsidRPr="001A76EA">
              <w:rPr>
                <w:b/>
                <w:szCs w:val="28"/>
                <w:lang w:val="ro-RO"/>
              </w:rPr>
              <w:t>participanţilor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la elaborarea proiectului</w:t>
            </w:r>
          </w:p>
        </w:tc>
      </w:tr>
      <w:tr w:rsidR="001A76EA" w:rsidRPr="005911ED" w:rsidTr="003967AE">
        <w:tc>
          <w:tcPr>
            <w:tcW w:w="5000" w:type="pct"/>
          </w:tcPr>
          <w:p w:rsidR="00AD5CDC" w:rsidRPr="001A76EA" w:rsidRDefault="00714025" w:rsidP="003B167D">
            <w:pPr>
              <w:pStyle w:val="a3"/>
              <w:tabs>
                <w:tab w:val="left" w:pos="567"/>
              </w:tabs>
              <w:spacing w:before="60" w:after="60"/>
              <w:ind w:left="0" w:firstLine="567"/>
              <w:jc w:val="both"/>
              <w:rPr>
                <w:szCs w:val="28"/>
                <w:shd w:val="clear" w:color="auto" w:fill="FFFFFF"/>
                <w:lang w:val="ro-RO"/>
              </w:rPr>
            </w:pPr>
            <w:r w:rsidRPr="001A76EA">
              <w:rPr>
                <w:szCs w:val="28"/>
                <w:lang w:val="ro-RO"/>
              </w:rPr>
              <w:t xml:space="preserve">Proiectul hotărârii Guvernului </w:t>
            </w:r>
            <w:r w:rsidR="005E3448" w:rsidRPr="001A76EA">
              <w:rPr>
                <w:szCs w:val="28"/>
                <w:lang w:val="ro-RO"/>
              </w:rPr>
              <w:t>pentru aprobarea Normelor de dotare a aparatului central, autorităților administrative și instituțiilor din subordinea Ministerului Afacerilor Interne cu mijloace de transport</w:t>
            </w:r>
            <w:r w:rsidRPr="001A76EA">
              <w:rPr>
                <w:szCs w:val="28"/>
                <w:shd w:val="clear" w:color="auto" w:fill="FFFFFF"/>
                <w:lang w:val="ro-RO"/>
              </w:rPr>
              <w:t>, a fost elaborat d</w:t>
            </w:r>
            <w:r w:rsidR="001A76EA">
              <w:rPr>
                <w:szCs w:val="28"/>
                <w:shd w:val="clear" w:color="auto" w:fill="FFFFFF"/>
                <w:lang w:val="ro-RO"/>
              </w:rPr>
              <w:t>e</w:t>
            </w:r>
            <w:r w:rsidR="005911ED">
              <w:rPr>
                <w:szCs w:val="28"/>
                <w:shd w:val="clear" w:color="auto" w:fill="FFFFFF"/>
                <w:lang w:val="ro-RO"/>
              </w:rPr>
              <w:t xml:space="preserve"> către</w:t>
            </w:r>
            <w:r w:rsidR="001A76EA">
              <w:rPr>
                <w:szCs w:val="28"/>
                <w:shd w:val="clear" w:color="auto" w:fill="FFFFFF"/>
                <w:lang w:val="ro-RO"/>
              </w:rPr>
              <w:t xml:space="preserve"> Ministerul Afacerilor Interne.</w:t>
            </w:r>
          </w:p>
        </w:tc>
      </w:tr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t xml:space="preserve">2. </w:t>
            </w:r>
            <w:proofErr w:type="spellStart"/>
            <w:r w:rsidRPr="001A76EA">
              <w:rPr>
                <w:b/>
                <w:szCs w:val="28"/>
                <w:lang w:val="ro-RO"/>
              </w:rPr>
              <w:t>Condiţiile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ce au impus elaborarea proiectului de act normativ </w:t>
            </w:r>
            <w:proofErr w:type="spellStart"/>
            <w:r w:rsidRPr="001A76EA">
              <w:rPr>
                <w:b/>
                <w:szCs w:val="28"/>
                <w:lang w:val="ro-RO"/>
              </w:rPr>
              <w:t>şi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</w:t>
            </w:r>
            <w:proofErr w:type="spellStart"/>
            <w:r w:rsidRPr="001A76EA">
              <w:rPr>
                <w:b/>
                <w:szCs w:val="28"/>
                <w:lang w:val="ro-RO"/>
              </w:rPr>
              <w:t>finalităţile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urmărite</w:t>
            </w:r>
          </w:p>
        </w:tc>
      </w:tr>
      <w:tr w:rsidR="001A76EA" w:rsidRPr="005911ED" w:rsidTr="003967AE">
        <w:tc>
          <w:tcPr>
            <w:tcW w:w="5000" w:type="pct"/>
          </w:tcPr>
          <w:p w:rsidR="001A76EA" w:rsidRDefault="00CE07B6" w:rsidP="00007F50">
            <w:pPr>
              <w:pStyle w:val="a3"/>
              <w:tabs>
                <w:tab w:val="left" w:pos="0"/>
                <w:tab w:val="left" w:pos="864"/>
              </w:tabs>
              <w:ind w:left="0" w:firstLine="567"/>
              <w:contextualSpacing w:val="0"/>
              <w:jc w:val="both"/>
              <w:rPr>
                <w:szCs w:val="28"/>
                <w:shd w:val="clear" w:color="auto" w:fill="FFFFFF"/>
                <w:lang w:val="ro-RO"/>
              </w:rPr>
            </w:pPr>
            <w:r w:rsidRPr="001A76EA">
              <w:rPr>
                <w:szCs w:val="28"/>
                <w:lang w:val="ro-RO"/>
              </w:rPr>
              <w:t xml:space="preserve">Proiectul hotărârii Guvernului </w:t>
            </w:r>
            <w:r w:rsidR="005E3448" w:rsidRPr="001A76EA">
              <w:rPr>
                <w:szCs w:val="28"/>
                <w:lang w:val="ro-RO"/>
              </w:rPr>
              <w:t>pentru aprobarea Normelor de dotare a aparatului central, autorităților administrative și instituțiilor din subordinea Ministerului Afacerilor Interne cu mijloace de transport</w:t>
            </w:r>
            <w:r w:rsidRPr="001A76EA">
              <w:rPr>
                <w:szCs w:val="28"/>
                <w:shd w:val="clear" w:color="auto" w:fill="FFFFFF"/>
                <w:lang w:val="ro-RO"/>
              </w:rPr>
              <w:t xml:space="preserve">, a fost elaborat în </w:t>
            </w:r>
            <w:r w:rsidR="00685F74" w:rsidRPr="001A76EA">
              <w:rPr>
                <w:szCs w:val="28"/>
                <w:shd w:val="clear" w:color="auto" w:fill="FFFFFF"/>
                <w:lang w:val="ro-RO"/>
              </w:rPr>
              <w:t xml:space="preserve">vederea </w:t>
            </w:r>
            <w:r w:rsidR="00AD09F7" w:rsidRPr="001A76EA">
              <w:rPr>
                <w:szCs w:val="28"/>
                <w:shd w:val="clear" w:color="auto" w:fill="FFFFFF"/>
                <w:lang w:val="ro-RO"/>
              </w:rPr>
              <w:t xml:space="preserve">reglementării </w:t>
            </w:r>
            <w:r w:rsidR="001A76EA" w:rsidRPr="001A76EA">
              <w:rPr>
                <w:szCs w:val="28"/>
                <w:shd w:val="clear" w:color="auto" w:fill="FFFFFF"/>
                <w:lang w:val="ro-RO"/>
              </w:rPr>
              <w:t>modului de utilizare a mijloacelor de transport a aparatului central, autorităților administrative și instituțiilor din subordinea Ministerului Afacerilor Interne, precum și  în scopul optimizării cheltuielilor bugetare.</w:t>
            </w:r>
          </w:p>
          <w:p w:rsidR="00A804EA" w:rsidRPr="001A76EA" w:rsidRDefault="00A804EA" w:rsidP="00007F50">
            <w:pPr>
              <w:pStyle w:val="a3"/>
              <w:tabs>
                <w:tab w:val="left" w:pos="0"/>
                <w:tab w:val="left" w:pos="864"/>
              </w:tabs>
              <w:ind w:left="0" w:firstLine="567"/>
              <w:contextualSpacing w:val="0"/>
              <w:jc w:val="both"/>
              <w:rPr>
                <w:szCs w:val="28"/>
                <w:shd w:val="clear" w:color="auto" w:fill="FFFFFF"/>
                <w:lang w:val="ro-RO"/>
              </w:rPr>
            </w:pPr>
            <w:r w:rsidRPr="001A76EA">
              <w:rPr>
                <w:szCs w:val="28"/>
                <w:shd w:val="clear" w:color="auto" w:fill="FFFFFF"/>
                <w:lang w:val="ro-RO"/>
              </w:rPr>
              <w:t>Totodată, proiectul vine întru realizarea acțiunii nr. 82 din Planul de activitate al Ministerului Afacerilor Interne pentru anul 2022, aprobat prin Ordinul ministrului MAI nr. 550 din 30.12.2021</w:t>
            </w:r>
            <w:r w:rsidR="00007F50" w:rsidRPr="001A76EA">
              <w:rPr>
                <w:szCs w:val="28"/>
                <w:shd w:val="clear" w:color="auto" w:fill="FFFFFF"/>
                <w:lang w:val="ro-RO"/>
              </w:rPr>
              <w:t>.</w:t>
            </w:r>
          </w:p>
          <w:p w:rsidR="00753CC2" w:rsidRPr="001A76EA" w:rsidRDefault="00597058" w:rsidP="00C04D98">
            <w:pPr>
              <w:pStyle w:val="a3"/>
              <w:tabs>
                <w:tab w:val="left" w:pos="0"/>
                <w:tab w:val="left" w:pos="864"/>
              </w:tabs>
              <w:ind w:left="0" w:firstLine="567"/>
              <w:contextualSpacing w:val="0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 xml:space="preserve">La etapa actuală </w:t>
            </w:r>
            <w:r w:rsidR="0081178E" w:rsidRPr="001A76EA">
              <w:rPr>
                <w:szCs w:val="28"/>
                <w:lang w:val="ro-RO"/>
              </w:rPr>
              <w:t xml:space="preserve">lista mijloacelor de transport de serviciu din dotarea Ministerului Afacerilor Interne este </w:t>
            </w:r>
            <w:r w:rsidR="00C161AE" w:rsidRPr="001A76EA">
              <w:rPr>
                <w:szCs w:val="28"/>
                <w:lang w:val="ro-RO"/>
              </w:rPr>
              <w:t>prevăzută</w:t>
            </w:r>
            <w:r w:rsidR="0081178E" w:rsidRPr="001A76EA">
              <w:rPr>
                <w:szCs w:val="28"/>
                <w:lang w:val="ro-RO"/>
              </w:rPr>
              <w:t xml:space="preserve"> în Hotărârea Guvernului nr.77/2009 cu privire la aprobarea Normelor de dotare a subdiviziunilor Ministerului Afacerilor Interne cu mijloace de transport de serviciu. Hotărârea respectivă a fost aprobată în temeiul </w:t>
            </w:r>
            <w:r w:rsidR="0081178E" w:rsidRPr="001A76EA">
              <w:rPr>
                <w:i/>
                <w:szCs w:val="28"/>
                <w:lang w:val="ro-RO"/>
              </w:rPr>
              <w:t>Legii nr. 416/</w:t>
            </w:r>
            <w:r w:rsidR="00042F1C" w:rsidRPr="001A76EA">
              <w:rPr>
                <w:i/>
                <w:szCs w:val="28"/>
                <w:lang w:val="ro-RO"/>
              </w:rPr>
              <w:t>1990 cu privire la poliție</w:t>
            </w:r>
            <w:r w:rsidR="005C27DE" w:rsidRPr="001A76EA">
              <w:rPr>
                <w:szCs w:val="28"/>
                <w:lang w:val="ro-RO"/>
              </w:rPr>
              <w:t xml:space="preserve">, act normativ care a fost ulterior abrogat odată cu adoptarea </w:t>
            </w:r>
            <w:r w:rsidR="005C27DE" w:rsidRPr="001A76EA">
              <w:rPr>
                <w:i/>
                <w:szCs w:val="28"/>
                <w:lang w:val="ro-RO"/>
              </w:rPr>
              <w:t>Legii nr. 320/2012 cu privire la activitatea Poliției și statutul polițistului</w:t>
            </w:r>
            <w:r w:rsidR="00C11F16" w:rsidRPr="001A76EA">
              <w:rPr>
                <w:szCs w:val="28"/>
                <w:lang w:val="ro-RO"/>
              </w:rPr>
              <w:t xml:space="preserve">. </w:t>
            </w:r>
            <w:r w:rsidR="00404569" w:rsidRPr="001A76EA">
              <w:rPr>
                <w:szCs w:val="28"/>
                <w:lang w:val="ro-RO"/>
              </w:rPr>
              <w:t xml:space="preserve">În consecință Ministerul Afacerilor Interne se află în situația în care este necesară aprobarea unui act normativ </w:t>
            </w:r>
            <w:r w:rsidR="00C04D98" w:rsidRPr="001A76EA">
              <w:rPr>
                <w:szCs w:val="28"/>
                <w:lang w:val="ro-RO"/>
              </w:rPr>
              <w:t xml:space="preserve">actualizat </w:t>
            </w:r>
            <w:r w:rsidR="00404569" w:rsidRPr="001A76EA">
              <w:rPr>
                <w:szCs w:val="28"/>
                <w:lang w:val="ro-RO"/>
              </w:rPr>
              <w:t>și abrogarea Hotărârii Guvernului nr. 77/2009</w:t>
            </w:r>
            <w:r w:rsidR="00C04D98" w:rsidRPr="001A76EA">
              <w:rPr>
                <w:szCs w:val="28"/>
                <w:lang w:val="ro-RO"/>
              </w:rPr>
              <w:t xml:space="preserve"> cu privire la aprobarea Normelor de dotare a subdiviziunilor Ministerului Afacerilor Interne cu mijloace de transport de serviciu</w:t>
            </w:r>
            <w:r w:rsidR="005911ED">
              <w:rPr>
                <w:szCs w:val="28"/>
                <w:lang w:val="ro-RO"/>
              </w:rPr>
              <w:t>,</w:t>
            </w:r>
            <w:r w:rsidR="001A76EA">
              <w:rPr>
                <w:szCs w:val="28"/>
                <w:lang w:val="ro-RO"/>
              </w:rPr>
              <w:t xml:space="preserve"> aceasta fiind desuetă</w:t>
            </w:r>
            <w:r w:rsidR="000A58B9" w:rsidRPr="001A76EA">
              <w:rPr>
                <w:szCs w:val="28"/>
                <w:lang w:val="ro-RO"/>
              </w:rPr>
              <w:t>.</w:t>
            </w:r>
            <w:r w:rsidR="00C04D98" w:rsidRPr="001A76EA">
              <w:rPr>
                <w:szCs w:val="28"/>
                <w:lang w:val="ro-RO"/>
              </w:rPr>
              <w:t xml:space="preserve">      </w:t>
            </w:r>
          </w:p>
          <w:p w:rsidR="00007F50" w:rsidRPr="001A76EA" w:rsidRDefault="00007F50" w:rsidP="00EE369C">
            <w:pPr>
              <w:pStyle w:val="a3"/>
              <w:tabs>
                <w:tab w:val="left" w:pos="0"/>
                <w:tab w:val="left" w:pos="864"/>
              </w:tabs>
              <w:ind w:left="0" w:firstLine="567"/>
              <w:contextualSpacing w:val="0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Unul din argumentele suplimentare din care rezidă necesitatea elaborării proiectului, constă în faptul că structura și efectivul limită a</w:t>
            </w:r>
            <w:r w:rsidR="00EC6F8A" w:rsidRPr="001A76EA">
              <w:rPr>
                <w:szCs w:val="28"/>
                <w:lang w:val="ro-RO"/>
              </w:rPr>
              <w:t>le</w:t>
            </w:r>
            <w:r w:rsidRPr="001A76EA">
              <w:rPr>
                <w:szCs w:val="28"/>
                <w:lang w:val="ro-RO"/>
              </w:rPr>
              <w:t xml:space="preserve"> Ministerului Afacerilor Interne</w:t>
            </w:r>
            <w:r w:rsidR="00263DCB" w:rsidRPr="001A76EA">
              <w:rPr>
                <w:szCs w:val="28"/>
                <w:lang w:val="ro-RO"/>
              </w:rPr>
              <w:t xml:space="preserve"> au fost revizuite și comportă modificări semnificative comparativ cu etapa la care a fost aprobată anterior Hotărârea Guvernului nr. 77/2009</w:t>
            </w:r>
            <w:r w:rsidR="0003463D" w:rsidRPr="001A76EA">
              <w:rPr>
                <w:szCs w:val="28"/>
                <w:lang w:val="ro-RO"/>
              </w:rPr>
              <w:t>. Modificarea structur</w:t>
            </w:r>
            <w:r w:rsidR="001A76EA">
              <w:rPr>
                <w:szCs w:val="28"/>
                <w:lang w:val="ro-RO"/>
              </w:rPr>
              <w:t>i</w:t>
            </w:r>
            <w:r w:rsidR="0003463D" w:rsidRPr="001A76EA">
              <w:rPr>
                <w:szCs w:val="28"/>
                <w:lang w:val="ro-RO"/>
              </w:rPr>
              <w:t>i ministerului impune actualizarea listei or, în cadrul proiectului este expusă lista mijloacelor de transport din dotarea MAI, nemijlocit pe</w:t>
            </w:r>
            <w:r w:rsidR="00F85645" w:rsidRPr="001A76EA">
              <w:rPr>
                <w:szCs w:val="28"/>
                <w:lang w:val="ro-RO"/>
              </w:rPr>
              <w:t>ntru fiecare autoritate administrativă și instituție din subordinea MAI.</w:t>
            </w:r>
            <w:r w:rsidR="00457102" w:rsidRPr="001A76EA">
              <w:rPr>
                <w:szCs w:val="28"/>
                <w:lang w:val="ro-RO"/>
              </w:rPr>
              <w:t xml:space="preserve"> De menționat că MAI are în subordine un total de 12 autorități administrative și instituții, potrivit anexei nr. 3 din Hotărârea Guvernului nr. 778/2009.</w:t>
            </w:r>
          </w:p>
          <w:p w:rsidR="00830486" w:rsidRPr="001A76EA" w:rsidRDefault="00353397" w:rsidP="00EE369C">
            <w:pPr>
              <w:pStyle w:val="a3"/>
              <w:tabs>
                <w:tab w:val="left" w:pos="0"/>
                <w:tab w:val="left" w:pos="864"/>
              </w:tabs>
              <w:ind w:left="0" w:firstLine="567"/>
              <w:contextualSpacing w:val="0"/>
              <w:jc w:val="both"/>
              <w:rPr>
                <w:rFonts w:ascii="Georgia" w:hAnsi="Georgia"/>
                <w:szCs w:val="28"/>
                <w:lang w:val="ro-RO" w:eastAsia="ro-RO"/>
              </w:rPr>
            </w:pPr>
            <w:r w:rsidRPr="001A76EA">
              <w:rPr>
                <w:szCs w:val="28"/>
                <w:lang w:val="ro-RO"/>
              </w:rPr>
              <w:t>Misiunea și funcțiile Ministerul</w:t>
            </w:r>
            <w:r w:rsidR="00002694" w:rsidRPr="001A76EA">
              <w:rPr>
                <w:szCs w:val="28"/>
                <w:lang w:val="ro-RO"/>
              </w:rPr>
              <w:t>ui</w:t>
            </w:r>
            <w:r w:rsidRPr="001A76EA">
              <w:rPr>
                <w:szCs w:val="28"/>
                <w:lang w:val="ro-RO"/>
              </w:rPr>
              <w:t xml:space="preserve"> Afacerilor Interne derivă din </w:t>
            </w:r>
            <w:r w:rsidR="00830486" w:rsidRPr="001A76EA">
              <w:rPr>
                <w:szCs w:val="28"/>
                <w:lang w:val="ro-RO"/>
              </w:rPr>
              <w:t>Regulamentul</w:t>
            </w:r>
            <w:r w:rsidR="00D33E5D" w:rsidRPr="001A76EA">
              <w:rPr>
                <w:szCs w:val="28"/>
                <w:lang w:val="ro-RO"/>
              </w:rPr>
              <w:t xml:space="preserve"> privind organizarea și funcționarea</w:t>
            </w:r>
            <w:r w:rsidRPr="001A76EA">
              <w:rPr>
                <w:szCs w:val="28"/>
                <w:lang w:val="ro-RO"/>
              </w:rPr>
              <w:t xml:space="preserve"> MAI</w:t>
            </w:r>
            <w:r w:rsidR="00D33E5D" w:rsidRPr="001A76EA">
              <w:rPr>
                <w:szCs w:val="28"/>
                <w:lang w:val="ro-RO"/>
              </w:rPr>
              <w:t xml:space="preserve">, </w:t>
            </w:r>
            <w:r w:rsidR="00830486" w:rsidRPr="001A76EA">
              <w:rPr>
                <w:szCs w:val="28"/>
                <w:lang w:val="ro-RO"/>
              </w:rPr>
              <w:t xml:space="preserve"> aprobat prin </w:t>
            </w:r>
            <w:r w:rsidR="00D33E5D" w:rsidRPr="001A76EA">
              <w:rPr>
                <w:szCs w:val="28"/>
                <w:lang w:val="ro-RO"/>
              </w:rPr>
              <w:t>Ho</w:t>
            </w:r>
            <w:r w:rsidRPr="001A76EA">
              <w:rPr>
                <w:szCs w:val="28"/>
                <w:lang w:val="ro-RO"/>
              </w:rPr>
              <w:t>tărârea Guvernului nr. 693/2009. Astfel,</w:t>
            </w:r>
            <w:r w:rsidR="00D33E5D" w:rsidRPr="001A76EA">
              <w:rPr>
                <w:szCs w:val="28"/>
                <w:lang w:val="ro-RO"/>
              </w:rPr>
              <w:t xml:space="preserve"> </w:t>
            </w:r>
            <w:r w:rsidR="00B47ABA" w:rsidRPr="001A76EA">
              <w:rPr>
                <w:szCs w:val="28"/>
                <w:lang w:val="ro-RO"/>
              </w:rPr>
              <w:t>MAI realizează funcții în asemenea domenii cum ar fi:</w:t>
            </w:r>
          </w:p>
          <w:p w:rsidR="00830486" w:rsidRPr="001A76EA" w:rsidRDefault="00830486" w:rsidP="00B47A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76EA">
              <w:rPr>
                <w:sz w:val="28"/>
                <w:szCs w:val="28"/>
                <w:shd w:val="clear" w:color="auto" w:fill="FFFFFF"/>
              </w:rPr>
              <w:t xml:space="preserve">1) ordinea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securitatea publică;</w:t>
            </w:r>
          </w:p>
          <w:p w:rsidR="00830486" w:rsidRPr="001A76EA" w:rsidRDefault="00830486" w:rsidP="00B47A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76EA">
              <w:rPr>
                <w:sz w:val="28"/>
                <w:szCs w:val="28"/>
                <w:shd w:val="clear" w:color="auto" w:fill="FFFFFF"/>
              </w:rPr>
              <w:lastRenderedPageBreak/>
              <w:t>2) managementul integrat al frontierei de stat;</w:t>
            </w:r>
          </w:p>
          <w:p w:rsidR="00830486" w:rsidRPr="001A76EA" w:rsidRDefault="00830486" w:rsidP="00B47A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76EA">
              <w:rPr>
                <w:sz w:val="28"/>
                <w:szCs w:val="28"/>
                <w:shd w:val="clear" w:color="auto" w:fill="FFFFFF"/>
              </w:rPr>
              <w:t xml:space="preserve">3) combaterea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criminalităţii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organizate;</w:t>
            </w:r>
          </w:p>
          <w:p w:rsidR="00830486" w:rsidRPr="001A76EA" w:rsidRDefault="00830486" w:rsidP="00B47A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76EA">
              <w:rPr>
                <w:sz w:val="28"/>
                <w:szCs w:val="28"/>
                <w:shd w:val="clear" w:color="auto" w:fill="FFFFFF"/>
              </w:rPr>
              <w:t xml:space="preserve">4) gestionarea fluxului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migrațional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>, azilului și integrării străinilor;</w:t>
            </w:r>
          </w:p>
          <w:p w:rsidR="00830486" w:rsidRPr="001A76EA" w:rsidRDefault="00830486" w:rsidP="00B47A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A76EA">
              <w:rPr>
                <w:sz w:val="28"/>
                <w:szCs w:val="28"/>
                <w:shd w:val="clear" w:color="auto" w:fill="FFFFFF"/>
              </w:rPr>
              <w:t xml:space="preserve">5) prevenirea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lichidarea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consecinţelor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situaţiilor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urgenţă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excepţionale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protecţia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civilă, apărarea împotriva incendiilor </w:t>
            </w:r>
            <w:proofErr w:type="spellStart"/>
            <w:r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1A76EA">
              <w:rPr>
                <w:sz w:val="28"/>
                <w:szCs w:val="28"/>
                <w:shd w:val="clear" w:color="auto" w:fill="FFFFFF"/>
              </w:rPr>
              <w:t xml:space="preserve"> acordarea primului ajutor calificat</w:t>
            </w:r>
            <w:r w:rsidR="00B47ABA" w:rsidRPr="001A76EA">
              <w:rPr>
                <w:sz w:val="28"/>
                <w:szCs w:val="28"/>
                <w:shd w:val="clear" w:color="auto" w:fill="FFFFFF"/>
              </w:rPr>
              <w:t>, etc.</w:t>
            </w:r>
          </w:p>
          <w:p w:rsidR="00AD5CDC" w:rsidRPr="001A76EA" w:rsidRDefault="00B70814" w:rsidP="00EA5829">
            <w:pPr>
              <w:pStyle w:val="a8"/>
              <w:shd w:val="clear" w:color="auto" w:fill="FFFFFF"/>
              <w:spacing w:before="0" w:beforeAutospacing="0" w:after="0" w:afterAutospacing="0"/>
              <w:ind w:firstLine="596"/>
              <w:jc w:val="both"/>
              <w:rPr>
                <w:sz w:val="28"/>
                <w:szCs w:val="28"/>
              </w:rPr>
            </w:pPr>
            <w:r w:rsidRPr="001A76EA">
              <w:rPr>
                <w:sz w:val="28"/>
                <w:szCs w:val="28"/>
              </w:rPr>
              <w:t xml:space="preserve">În scopul îndeplinirii </w:t>
            </w:r>
            <w:r w:rsidR="00BF337D" w:rsidRPr="001A76EA">
              <w:rPr>
                <w:sz w:val="28"/>
                <w:szCs w:val="28"/>
              </w:rPr>
              <w:t xml:space="preserve">misiunii și funcțiilor de bază </w:t>
            </w:r>
            <w:r w:rsidR="00054443" w:rsidRPr="001A76EA">
              <w:rPr>
                <w:sz w:val="28"/>
                <w:szCs w:val="28"/>
              </w:rPr>
              <w:t>și în scopul creării unei instituții eficiente pentru protecția</w:t>
            </w:r>
            <w:r w:rsidR="00054443" w:rsidRPr="001A76EA">
              <w:rPr>
                <w:rFonts w:ascii="Georgia" w:hAnsi="Georgia"/>
                <w:sz w:val="28"/>
                <w:szCs w:val="28"/>
                <w:shd w:val="clear" w:color="auto" w:fill="FFFFFF"/>
              </w:rPr>
              <w:t xml:space="preserve"> </w:t>
            </w:r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drepturilor </w:t>
            </w:r>
            <w:proofErr w:type="spellStart"/>
            <w:r w:rsidR="00054443"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54443" w:rsidRPr="001A76EA">
              <w:rPr>
                <w:sz w:val="28"/>
                <w:szCs w:val="28"/>
                <w:shd w:val="clear" w:color="auto" w:fill="FFFFFF"/>
              </w:rPr>
              <w:t>libertăţilor</w:t>
            </w:r>
            <w:proofErr w:type="spellEnd"/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 fundamentale ale omului, precum </w:t>
            </w:r>
            <w:proofErr w:type="spellStart"/>
            <w:r w:rsidR="00054443"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 apărarea </w:t>
            </w:r>
            <w:proofErr w:type="spellStart"/>
            <w:r w:rsidR="00054443" w:rsidRPr="001A76EA">
              <w:rPr>
                <w:sz w:val="28"/>
                <w:szCs w:val="28"/>
                <w:shd w:val="clear" w:color="auto" w:fill="FFFFFF"/>
              </w:rPr>
              <w:t>proprietăţii</w:t>
            </w:r>
            <w:proofErr w:type="spellEnd"/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 publice </w:t>
            </w:r>
            <w:proofErr w:type="spellStart"/>
            <w:r w:rsidR="00054443" w:rsidRPr="001A76EA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="00054443" w:rsidRPr="001A76EA">
              <w:rPr>
                <w:sz w:val="28"/>
                <w:szCs w:val="28"/>
                <w:shd w:val="clear" w:color="auto" w:fill="FFFFFF"/>
              </w:rPr>
              <w:t xml:space="preserve"> private,</w:t>
            </w:r>
            <w:r w:rsidR="00054443" w:rsidRPr="001A76EA">
              <w:rPr>
                <w:sz w:val="28"/>
                <w:szCs w:val="28"/>
              </w:rPr>
              <w:t xml:space="preserve"> </w:t>
            </w:r>
            <w:r w:rsidR="00317A09" w:rsidRPr="001A76EA">
              <w:rPr>
                <w:sz w:val="28"/>
                <w:szCs w:val="28"/>
              </w:rPr>
              <w:t>aparatul central al MAI, cât și autoritățile administrative și instituțiile din subordine</w:t>
            </w:r>
            <w:r w:rsidR="00C825DA" w:rsidRPr="001A76EA">
              <w:rPr>
                <w:sz w:val="28"/>
                <w:szCs w:val="28"/>
              </w:rPr>
              <w:t>, necesită a fi dotate cu mijloace de transport de serviciu</w:t>
            </w:r>
            <w:r w:rsidR="00772418" w:rsidRPr="001A76EA">
              <w:rPr>
                <w:sz w:val="28"/>
                <w:szCs w:val="28"/>
              </w:rPr>
              <w:t xml:space="preserve"> și operative</w:t>
            </w:r>
            <w:r w:rsidR="00C825DA" w:rsidRPr="001A76EA">
              <w:rPr>
                <w:sz w:val="28"/>
                <w:szCs w:val="28"/>
              </w:rPr>
              <w:t>.</w:t>
            </w:r>
            <w:r w:rsidR="00AD5CDC" w:rsidRPr="001A76EA">
              <w:rPr>
                <w:sz w:val="28"/>
                <w:szCs w:val="28"/>
              </w:rPr>
              <w:t xml:space="preserve"> </w:t>
            </w:r>
          </w:p>
        </w:tc>
      </w:tr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lastRenderedPageBreak/>
              <w:t xml:space="preserve">3. Descrierea gradului de compatibilitate pentru proiectele care au ca scop armonizarea </w:t>
            </w:r>
            <w:proofErr w:type="spellStart"/>
            <w:r w:rsidRPr="001A76EA">
              <w:rPr>
                <w:b/>
                <w:szCs w:val="28"/>
                <w:lang w:val="ro-RO"/>
              </w:rPr>
              <w:t>legislaţiei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</w:t>
            </w:r>
            <w:proofErr w:type="spellStart"/>
            <w:r w:rsidRPr="001A76EA">
              <w:rPr>
                <w:b/>
                <w:szCs w:val="28"/>
                <w:lang w:val="ro-RO"/>
              </w:rPr>
              <w:t>naţionale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cu </w:t>
            </w:r>
            <w:proofErr w:type="spellStart"/>
            <w:r w:rsidRPr="001A76EA">
              <w:rPr>
                <w:b/>
                <w:szCs w:val="28"/>
                <w:lang w:val="ro-RO"/>
              </w:rPr>
              <w:t>legislaţia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Uniunii Europene</w:t>
            </w:r>
          </w:p>
        </w:tc>
      </w:tr>
      <w:tr w:rsidR="001A76EA" w:rsidRPr="005911ED" w:rsidTr="003967AE">
        <w:tc>
          <w:tcPr>
            <w:tcW w:w="5000" w:type="pct"/>
          </w:tcPr>
          <w:p w:rsidR="00AD5CDC" w:rsidRPr="001A76EA" w:rsidRDefault="00D96212" w:rsidP="00D96212">
            <w:pPr>
              <w:tabs>
                <w:tab w:val="left" w:pos="884"/>
                <w:tab w:val="left" w:pos="1196"/>
              </w:tabs>
              <w:spacing w:before="60" w:after="60"/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MD"/>
              </w:rPr>
              <w:t xml:space="preserve">Proiectul actului normativ nu are ca scop armonizarea legislației naționale cu </w:t>
            </w:r>
            <w:proofErr w:type="spellStart"/>
            <w:r w:rsidRPr="001A76EA">
              <w:rPr>
                <w:szCs w:val="28"/>
                <w:lang w:val="ro-MD"/>
              </w:rPr>
              <w:t>legislaţia</w:t>
            </w:r>
            <w:proofErr w:type="spellEnd"/>
            <w:r w:rsidRPr="001A76EA">
              <w:rPr>
                <w:szCs w:val="28"/>
                <w:lang w:val="ro-MD"/>
              </w:rPr>
              <w:t xml:space="preserve"> Uniunii Europene</w:t>
            </w:r>
            <w:r w:rsidR="000A58B9" w:rsidRPr="001A76EA">
              <w:rPr>
                <w:szCs w:val="28"/>
                <w:lang w:val="ro-MD"/>
              </w:rPr>
              <w:t>.</w:t>
            </w:r>
          </w:p>
        </w:tc>
      </w:tr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t xml:space="preserve">4. Principalele prevederi ale proiectului </w:t>
            </w:r>
            <w:proofErr w:type="spellStart"/>
            <w:r w:rsidRPr="001A76EA">
              <w:rPr>
                <w:b/>
                <w:szCs w:val="28"/>
                <w:lang w:val="ro-RO"/>
              </w:rPr>
              <w:t>şi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</w:t>
            </w:r>
            <w:proofErr w:type="spellStart"/>
            <w:r w:rsidRPr="001A76EA">
              <w:rPr>
                <w:b/>
                <w:szCs w:val="28"/>
                <w:lang w:val="ro-RO"/>
              </w:rPr>
              <w:t>evidenţierea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elementelor noi</w:t>
            </w:r>
          </w:p>
        </w:tc>
      </w:tr>
      <w:tr w:rsidR="001A76EA" w:rsidRPr="005911ED" w:rsidTr="003967AE">
        <w:tc>
          <w:tcPr>
            <w:tcW w:w="5000" w:type="pct"/>
          </w:tcPr>
          <w:p w:rsidR="00AD09F7" w:rsidRPr="001A76EA" w:rsidRDefault="007A217D" w:rsidP="00AD09F7">
            <w:pPr>
              <w:ind w:firstLine="596"/>
              <w:jc w:val="both"/>
              <w:rPr>
                <w:szCs w:val="28"/>
                <w:lang w:val="ro-RO" w:eastAsia="ro-RO"/>
              </w:rPr>
            </w:pPr>
            <w:r w:rsidRPr="001A76EA">
              <w:rPr>
                <w:szCs w:val="28"/>
                <w:lang w:val="ro-RO" w:eastAsia="ro-RO"/>
              </w:rPr>
              <w:t xml:space="preserve">Principalele prevederi ale proiectului identifică </w:t>
            </w:r>
            <w:r w:rsidR="00AD09F7" w:rsidRPr="001A76EA">
              <w:rPr>
                <w:szCs w:val="28"/>
                <w:lang w:val="ro-RO" w:eastAsia="ro-RO"/>
              </w:rPr>
              <w:t xml:space="preserve">Normele </w:t>
            </w:r>
            <w:r w:rsidRPr="001A76EA">
              <w:rPr>
                <w:szCs w:val="28"/>
                <w:lang w:val="ro-RO" w:eastAsia="ro-RO"/>
              </w:rPr>
              <w:t>mijloacelor de transport de serviciu</w:t>
            </w:r>
            <w:r w:rsidR="00AD09F7" w:rsidRPr="001A76EA">
              <w:rPr>
                <w:szCs w:val="28"/>
                <w:lang w:val="ro-RO" w:eastAsia="ro-RO"/>
              </w:rPr>
              <w:t xml:space="preserve"> și operative,</w:t>
            </w:r>
            <w:r w:rsidRPr="001A76EA">
              <w:rPr>
                <w:szCs w:val="28"/>
                <w:lang w:val="ro-RO" w:eastAsia="ro-RO"/>
              </w:rPr>
              <w:t xml:space="preserve"> </w:t>
            </w:r>
            <w:r w:rsidR="00B67BFC" w:rsidRPr="001A76EA">
              <w:rPr>
                <w:szCs w:val="28"/>
                <w:lang w:val="ro-RO" w:eastAsia="ro-RO"/>
              </w:rPr>
              <w:t>din dotarea aparatului central, autorităților administrative și instituțiilor din subordine</w:t>
            </w:r>
            <w:r w:rsidR="005911ED">
              <w:rPr>
                <w:szCs w:val="28"/>
                <w:lang w:val="ro-RO" w:eastAsia="ro-RO"/>
              </w:rPr>
              <w:t xml:space="preserve">a </w:t>
            </w:r>
            <w:r w:rsidR="005911ED" w:rsidRPr="001A76EA">
              <w:rPr>
                <w:szCs w:val="28"/>
                <w:lang w:val="ro-RO" w:eastAsia="ro-RO"/>
              </w:rPr>
              <w:t>Ministerului Afacerilor Interne</w:t>
            </w:r>
            <w:r w:rsidR="00B67BFC" w:rsidRPr="001A76EA">
              <w:rPr>
                <w:szCs w:val="28"/>
                <w:lang w:val="ro-RO" w:eastAsia="ro-RO"/>
              </w:rPr>
              <w:t>.</w:t>
            </w:r>
          </w:p>
          <w:p w:rsidR="00AD09F7" w:rsidRPr="001A76EA" w:rsidRDefault="00AD09F7" w:rsidP="00AD09F7">
            <w:pPr>
              <w:ind w:firstLine="596"/>
              <w:jc w:val="both"/>
              <w:rPr>
                <w:szCs w:val="28"/>
                <w:lang w:val="ro-RO" w:eastAsia="ro-RO"/>
              </w:rPr>
            </w:pPr>
            <w:r w:rsidRPr="001A76EA">
              <w:rPr>
                <w:sz w:val="27"/>
                <w:szCs w:val="27"/>
                <w:lang w:val="ro-RO"/>
              </w:rPr>
              <w:t xml:space="preserve">Reieșind din conceptul proiectului, </w:t>
            </w:r>
            <w:r w:rsidR="00772418" w:rsidRPr="001A76EA">
              <w:rPr>
                <w:sz w:val="27"/>
                <w:szCs w:val="27"/>
                <w:lang w:val="ro-RO"/>
              </w:rPr>
              <w:t>de menționat</w:t>
            </w:r>
            <w:r w:rsidRPr="001A76EA">
              <w:rPr>
                <w:sz w:val="27"/>
                <w:szCs w:val="27"/>
                <w:lang w:val="ro-RO"/>
              </w:rPr>
              <w:t xml:space="preserve"> că </w:t>
            </w:r>
            <w:r w:rsidRPr="001A76EA">
              <w:rPr>
                <w:i/>
                <w:sz w:val="27"/>
                <w:szCs w:val="27"/>
                <w:lang w:val="ro-RO"/>
              </w:rPr>
              <w:t xml:space="preserve">Norma </w:t>
            </w:r>
            <w:r w:rsidRPr="001A76EA">
              <w:rPr>
                <w:sz w:val="27"/>
                <w:szCs w:val="27"/>
                <w:lang w:val="ro-RO"/>
              </w:rPr>
              <w:t>constituie cantitatea de autovehicule necesară pentru buna funcționare a</w:t>
            </w:r>
            <w:r w:rsidR="00772418" w:rsidRPr="001A76EA">
              <w:rPr>
                <w:sz w:val="27"/>
                <w:szCs w:val="27"/>
                <w:lang w:val="ro-RO"/>
              </w:rPr>
              <w:t xml:space="preserve"> aparatului central și</w:t>
            </w:r>
            <w:r w:rsidRPr="001A76EA">
              <w:rPr>
                <w:sz w:val="27"/>
                <w:szCs w:val="27"/>
                <w:lang w:val="ro-RO"/>
              </w:rPr>
              <w:t xml:space="preserve"> instituțiilor din subordine, reieșind din specificul activității, însă acest fapt nu este în legătură directă cu vehiculele deținute </w:t>
            </w:r>
            <w:r w:rsidRPr="001A76EA">
              <w:rPr>
                <w:i/>
                <w:sz w:val="27"/>
                <w:szCs w:val="27"/>
                <w:lang w:val="ro-RO"/>
              </w:rPr>
              <w:t>de facto</w:t>
            </w:r>
            <w:r w:rsidRPr="001A76EA">
              <w:rPr>
                <w:sz w:val="27"/>
                <w:szCs w:val="27"/>
                <w:lang w:val="ro-RO"/>
              </w:rPr>
              <w:t xml:space="preserve"> de subdiviziuni. Normele de dotare vor fi atinse reieșind din autovehicule</w:t>
            </w:r>
            <w:r w:rsidR="005911ED">
              <w:rPr>
                <w:sz w:val="27"/>
                <w:szCs w:val="27"/>
                <w:lang w:val="ro-RO"/>
              </w:rPr>
              <w:t>le</w:t>
            </w:r>
            <w:r w:rsidRPr="001A76EA">
              <w:rPr>
                <w:sz w:val="27"/>
                <w:szCs w:val="27"/>
                <w:lang w:val="ro-RO"/>
              </w:rPr>
              <w:t xml:space="preserve"> care deja sunt deținute în posesie, precum și în urma achiziționării de vehicule suplimentare, reieșind din limita mijloacelor financiare alocate, după caz.</w:t>
            </w:r>
          </w:p>
          <w:p w:rsidR="00AD09F7" w:rsidRPr="001A76EA" w:rsidRDefault="00B67BFC" w:rsidP="007A217D">
            <w:pPr>
              <w:spacing w:after="60"/>
              <w:ind w:firstLine="596"/>
              <w:jc w:val="both"/>
              <w:rPr>
                <w:szCs w:val="28"/>
                <w:lang w:val="ro-RO" w:eastAsia="ro-RO"/>
              </w:rPr>
            </w:pPr>
            <w:r w:rsidRPr="001A76EA">
              <w:rPr>
                <w:szCs w:val="28"/>
                <w:lang w:val="ro-RO" w:eastAsia="ro-RO"/>
              </w:rPr>
              <w:t xml:space="preserve"> Astfel, anexa la proiectul hotărârii distinge două categorii de vehicule din dotarea MAI: </w:t>
            </w:r>
          </w:p>
          <w:p w:rsidR="00B67BFC" w:rsidRPr="001A76EA" w:rsidRDefault="00B67BFC" w:rsidP="00B67BFC">
            <w:pPr>
              <w:pStyle w:val="a3"/>
              <w:numPr>
                <w:ilvl w:val="0"/>
                <w:numId w:val="4"/>
              </w:numPr>
              <w:spacing w:after="60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Mijloacele de transport de serviciu;</w:t>
            </w:r>
          </w:p>
          <w:p w:rsidR="00335654" w:rsidRPr="001A76EA" w:rsidRDefault="00C04D98" w:rsidP="00B67BFC">
            <w:pPr>
              <w:pStyle w:val="a3"/>
              <w:numPr>
                <w:ilvl w:val="0"/>
                <w:numId w:val="4"/>
              </w:numPr>
              <w:spacing w:after="60"/>
              <w:jc w:val="both"/>
              <w:rPr>
                <w:szCs w:val="28"/>
                <w:lang w:val="ro-RO"/>
              </w:rPr>
            </w:pPr>
            <w:proofErr w:type="spellStart"/>
            <w:r w:rsidRPr="001A76EA">
              <w:rPr>
                <w:szCs w:val="28"/>
                <w:lang w:val="en-US"/>
              </w:rPr>
              <w:t>Mijloacele</w:t>
            </w:r>
            <w:proofErr w:type="spellEnd"/>
            <w:r w:rsidRPr="001A76EA">
              <w:rPr>
                <w:szCs w:val="28"/>
                <w:lang w:val="en-US"/>
              </w:rPr>
              <w:t xml:space="preserve"> de transport operative </w:t>
            </w:r>
            <w:proofErr w:type="spellStart"/>
            <w:r w:rsidRPr="001A76EA">
              <w:rPr>
                <w:szCs w:val="28"/>
                <w:lang w:val="en-US"/>
              </w:rPr>
              <w:t>speciale</w:t>
            </w:r>
            <w:proofErr w:type="spellEnd"/>
            <w:r w:rsidRPr="001A76EA">
              <w:rPr>
                <w:szCs w:val="28"/>
                <w:lang w:val="en-US"/>
              </w:rPr>
              <w:t xml:space="preserve">, </w:t>
            </w:r>
            <w:proofErr w:type="spellStart"/>
            <w:r w:rsidRPr="001A76EA">
              <w:rPr>
                <w:szCs w:val="28"/>
                <w:lang w:val="en-US"/>
              </w:rPr>
              <w:t>operaționale</w:t>
            </w:r>
            <w:proofErr w:type="spellEnd"/>
            <w:r w:rsidRPr="001A76EA">
              <w:rPr>
                <w:szCs w:val="28"/>
                <w:lang w:val="en-US"/>
              </w:rPr>
              <w:t xml:space="preserve">, </w:t>
            </w:r>
            <w:proofErr w:type="spellStart"/>
            <w:r w:rsidRPr="001A76EA">
              <w:rPr>
                <w:szCs w:val="28"/>
                <w:lang w:val="en-US"/>
              </w:rPr>
              <w:t>inclusiv</w:t>
            </w:r>
            <w:proofErr w:type="spellEnd"/>
            <w:r w:rsidRPr="001A76EA">
              <w:rPr>
                <w:szCs w:val="28"/>
                <w:lang w:val="en-US"/>
              </w:rPr>
              <w:t xml:space="preserve"> </w:t>
            </w:r>
            <w:proofErr w:type="spellStart"/>
            <w:r w:rsidRPr="001A76EA">
              <w:rPr>
                <w:szCs w:val="28"/>
                <w:lang w:val="en-US"/>
              </w:rPr>
              <w:t>pe</w:t>
            </w:r>
            <w:proofErr w:type="spellEnd"/>
            <w:r w:rsidRPr="001A76EA">
              <w:rPr>
                <w:szCs w:val="28"/>
                <w:lang w:val="en-US"/>
              </w:rPr>
              <w:t xml:space="preserve"> </w:t>
            </w:r>
            <w:proofErr w:type="spellStart"/>
            <w:r w:rsidRPr="001A76EA">
              <w:rPr>
                <w:szCs w:val="28"/>
                <w:lang w:val="en-US"/>
              </w:rPr>
              <w:t>şasiul</w:t>
            </w:r>
            <w:proofErr w:type="spellEnd"/>
            <w:r w:rsidRPr="001A76EA">
              <w:rPr>
                <w:szCs w:val="28"/>
                <w:lang w:val="en-US"/>
              </w:rPr>
              <w:t xml:space="preserve"> de camion, </w:t>
            </w:r>
            <w:proofErr w:type="spellStart"/>
            <w:r w:rsidRPr="001A76EA">
              <w:rPr>
                <w:szCs w:val="28"/>
                <w:lang w:val="en-US"/>
              </w:rPr>
              <w:t>pe</w:t>
            </w:r>
            <w:proofErr w:type="spellEnd"/>
            <w:r w:rsidRPr="001A76EA">
              <w:rPr>
                <w:szCs w:val="28"/>
                <w:lang w:val="en-US"/>
              </w:rPr>
              <w:t xml:space="preserve"> </w:t>
            </w:r>
            <w:proofErr w:type="spellStart"/>
            <w:r w:rsidRPr="001A76EA">
              <w:rPr>
                <w:szCs w:val="28"/>
                <w:lang w:val="en-US"/>
              </w:rPr>
              <w:t>bază</w:t>
            </w:r>
            <w:proofErr w:type="spellEnd"/>
            <w:r w:rsidRPr="001A76EA">
              <w:rPr>
                <w:szCs w:val="28"/>
                <w:lang w:val="en-US"/>
              </w:rPr>
              <w:t xml:space="preserve"> de </w:t>
            </w:r>
            <w:proofErr w:type="spellStart"/>
            <w:r w:rsidRPr="001A76EA">
              <w:rPr>
                <w:szCs w:val="28"/>
                <w:lang w:val="en-US"/>
              </w:rPr>
              <w:t>autocar</w:t>
            </w:r>
            <w:proofErr w:type="spellEnd"/>
            <w:r w:rsidRPr="001A76EA">
              <w:rPr>
                <w:szCs w:val="28"/>
                <w:lang w:val="en-US"/>
              </w:rPr>
              <w:t xml:space="preserve">, </w:t>
            </w:r>
            <w:proofErr w:type="spellStart"/>
            <w:r w:rsidRPr="001A76EA">
              <w:rPr>
                <w:szCs w:val="28"/>
                <w:lang w:val="en-US"/>
              </w:rPr>
              <w:t>autocamioane</w:t>
            </w:r>
            <w:proofErr w:type="spellEnd"/>
            <w:r w:rsidRPr="001A76EA">
              <w:rPr>
                <w:szCs w:val="28"/>
                <w:lang w:val="en-US"/>
              </w:rPr>
              <w:t xml:space="preserve"> </w:t>
            </w:r>
            <w:proofErr w:type="spellStart"/>
            <w:r w:rsidRPr="001A76EA">
              <w:rPr>
                <w:szCs w:val="28"/>
                <w:lang w:val="en-US"/>
              </w:rPr>
              <w:t>şi</w:t>
            </w:r>
            <w:proofErr w:type="spellEnd"/>
            <w:r w:rsidRPr="001A76EA">
              <w:rPr>
                <w:szCs w:val="28"/>
                <w:lang w:val="en-US"/>
              </w:rPr>
              <w:t xml:space="preserve"> </w:t>
            </w:r>
            <w:proofErr w:type="spellStart"/>
            <w:r w:rsidRPr="001A76EA">
              <w:rPr>
                <w:szCs w:val="28"/>
                <w:lang w:val="en-US"/>
              </w:rPr>
              <w:t>autospeciale</w:t>
            </w:r>
            <w:proofErr w:type="spellEnd"/>
            <w:r w:rsidRPr="001A76EA">
              <w:rPr>
                <w:szCs w:val="28"/>
                <w:lang w:val="en-US"/>
              </w:rPr>
              <w:t xml:space="preserve">, </w:t>
            </w:r>
            <w:proofErr w:type="spellStart"/>
            <w:r w:rsidRPr="001A76EA">
              <w:rPr>
                <w:szCs w:val="28"/>
                <w:lang w:val="en-US"/>
              </w:rPr>
              <w:t>autocare</w:t>
            </w:r>
            <w:proofErr w:type="spellEnd"/>
            <w:r w:rsidR="00335654" w:rsidRPr="001A76EA">
              <w:rPr>
                <w:szCs w:val="28"/>
                <w:lang w:val="ro-RO"/>
              </w:rPr>
              <w:t>.</w:t>
            </w:r>
          </w:p>
          <w:p w:rsidR="00B67BFC" w:rsidRPr="001A76EA" w:rsidRDefault="00335654" w:rsidP="006103CA">
            <w:pPr>
              <w:spacing w:after="60"/>
              <w:ind w:firstLine="596"/>
              <w:jc w:val="both"/>
              <w:rPr>
                <w:szCs w:val="28"/>
                <w:lang w:val="ro-RO" w:eastAsia="ro-RO"/>
              </w:rPr>
            </w:pPr>
            <w:r w:rsidRPr="001A76EA">
              <w:rPr>
                <w:szCs w:val="28"/>
                <w:lang w:val="ro-RO"/>
              </w:rPr>
              <w:t xml:space="preserve">Suplimentar, prin pct. </w:t>
            </w:r>
            <w:r w:rsidR="00C04D98" w:rsidRPr="001A76EA">
              <w:rPr>
                <w:szCs w:val="28"/>
                <w:lang w:val="ro-RO"/>
              </w:rPr>
              <w:t>3</w:t>
            </w:r>
            <w:r w:rsidRPr="001A76EA">
              <w:rPr>
                <w:szCs w:val="28"/>
                <w:lang w:val="ro-RO"/>
              </w:rPr>
              <w:t xml:space="preserve"> al proiectului hotărârii Guvernului se </w:t>
            </w:r>
            <w:r w:rsidR="00C04D98" w:rsidRPr="001A76EA">
              <w:rPr>
                <w:szCs w:val="28"/>
                <w:lang w:val="ro-RO"/>
              </w:rPr>
              <w:t xml:space="preserve">propune </w:t>
            </w:r>
            <w:r w:rsidRPr="001A76EA">
              <w:rPr>
                <w:szCs w:val="28"/>
                <w:lang w:val="ro-RO"/>
              </w:rPr>
              <w:t>abrog</w:t>
            </w:r>
            <w:r w:rsidR="00C04D98" w:rsidRPr="001A76EA">
              <w:rPr>
                <w:szCs w:val="28"/>
                <w:lang w:val="ro-RO"/>
              </w:rPr>
              <w:t>area</w:t>
            </w:r>
            <w:r w:rsidRPr="001A76EA">
              <w:rPr>
                <w:szCs w:val="28"/>
                <w:lang w:val="ro-RO"/>
              </w:rPr>
              <w:t xml:space="preserve"> Hotărârea Guvernului nr. 77/2009, ca fiind desuetă.</w:t>
            </w:r>
          </w:p>
          <w:p w:rsidR="00E138F7" w:rsidRPr="001A76EA" w:rsidRDefault="00BF337D" w:rsidP="006103CA">
            <w:pPr>
              <w:spacing w:after="60"/>
              <w:ind w:firstLine="596"/>
              <w:jc w:val="both"/>
              <w:rPr>
                <w:spacing w:val="4"/>
                <w:szCs w:val="28"/>
                <w:shd w:val="clear" w:color="auto" w:fill="FEFEFE"/>
                <w:lang w:val="ro-RO"/>
              </w:rPr>
            </w:pPr>
            <w:r w:rsidRPr="001A76EA">
              <w:rPr>
                <w:spacing w:val="4"/>
                <w:szCs w:val="28"/>
                <w:shd w:val="clear" w:color="auto" w:fill="FEFEFE"/>
                <w:lang w:val="ro-RO"/>
              </w:rPr>
              <w:t xml:space="preserve">Proiectul este conceput pentru a răspunde necesităților MAI privind </w:t>
            </w:r>
            <w:r w:rsidR="00335654" w:rsidRPr="001A76EA">
              <w:rPr>
                <w:spacing w:val="4"/>
                <w:szCs w:val="28"/>
                <w:shd w:val="clear" w:color="auto" w:fill="FEFEFE"/>
                <w:lang w:val="ro-RO"/>
              </w:rPr>
              <w:t>realizarea</w:t>
            </w:r>
            <w:r w:rsidRPr="001A76EA">
              <w:rPr>
                <w:spacing w:val="4"/>
                <w:szCs w:val="28"/>
                <w:shd w:val="clear" w:color="auto" w:fill="FEFEFE"/>
                <w:lang w:val="ro-RO"/>
              </w:rPr>
              <w:t> </w:t>
            </w:r>
            <w:r w:rsidR="00335654" w:rsidRPr="001A76EA">
              <w:rPr>
                <w:spacing w:val="4"/>
                <w:szCs w:val="28"/>
                <w:shd w:val="clear" w:color="auto" w:fill="FEFEFE"/>
                <w:lang w:val="ro-RO"/>
              </w:rPr>
              <w:t xml:space="preserve">misiunii și funcțiilor de bază, îmbunătățirea capacităților instituționale și operaționale ale MAI pentru gestionarea adecvată a situațiilor apărute în realizarea atribuțiilor de serviciu. </w:t>
            </w:r>
          </w:p>
        </w:tc>
      </w:tr>
      <w:tr w:rsidR="001A76EA" w:rsidRPr="001A76EA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t xml:space="preserve">5. Fundamentarea </w:t>
            </w:r>
            <w:proofErr w:type="spellStart"/>
            <w:r w:rsidRPr="001A76EA">
              <w:rPr>
                <w:b/>
                <w:szCs w:val="28"/>
                <w:lang w:val="ro-RO"/>
              </w:rPr>
              <w:t>economico</w:t>
            </w:r>
            <w:proofErr w:type="spellEnd"/>
            <w:r w:rsidRPr="001A76EA">
              <w:rPr>
                <w:b/>
                <w:szCs w:val="28"/>
                <w:lang w:val="ro-RO"/>
              </w:rPr>
              <w:t>-financiară</w:t>
            </w:r>
          </w:p>
        </w:tc>
      </w:tr>
      <w:tr w:rsidR="001A76EA" w:rsidRPr="005911ED" w:rsidTr="003967AE">
        <w:trPr>
          <w:trHeight w:val="655"/>
        </w:trPr>
        <w:tc>
          <w:tcPr>
            <w:tcW w:w="5000" w:type="pct"/>
          </w:tcPr>
          <w:p w:rsidR="00AD5CDC" w:rsidRPr="001A76EA" w:rsidRDefault="00C401C4" w:rsidP="005911ED">
            <w:pPr>
              <w:spacing w:before="60" w:after="60"/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Aprobarea</w:t>
            </w:r>
            <w:r w:rsidR="009A3427" w:rsidRPr="001A76EA">
              <w:rPr>
                <w:szCs w:val="28"/>
                <w:lang w:val="ro-RO"/>
              </w:rPr>
              <w:t xml:space="preserve"> și implementarea</w:t>
            </w:r>
            <w:r w:rsidRPr="001A76EA">
              <w:rPr>
                <w:szCs w:val="28"/>
                <w:lang w:val="ro-RO"/>
              </w:rPr>
              <w:t xml:space="preserve"> proiectului hotărârii Guvernului pentru aprobarea Normelor </w:t>
            </w:r>
            <w:r w:rsidRPr="001A76EA">
              <w:rPr>
                <w:szCs w:val="28"/>
                <w:shd w:val="clear" w:color="auto" w:fill="FFFFFF"/>
                <w:lang w:val="ro-RO"/>
              </w:rPr>
              <w:t>de dotare a</w:t>
            </w:r>
            <w:r w:rsidR="005911ED">
              <w:rPr>
                <w:szCs w:val="28"/>
                <w:shd w:val="clear" w:color="auto" w:fill="FFFFFF"/>
                <w:lang w:val="ro-RO"/>
              </w:rPr>
              <w:t xml:space="preserve"> aparatului central,</w:t>
            </w:r>
            <w:r w:rsidRPr="001A76EA">
              <w:rPr>
                <w:szCs w:val="28"/>
                <w:shd w:val="clear" w:color="auto" w:fill="FFFFFF"/>
                <w:lang w:val="ro-RO"/>
              </w:rPr>
              <w:t xml:space="preserve"> autorităților administrative și instituțiilor din subordine</w:t>
            </w:r>
            <w:r w:rsidR="005911ED">
              <w:rPr>
                <w:szCs w:val="28"/>
                <w:shd w:val="clear" w:color="auto" w:fill="FFFFFF"/>
                <w:lang w:val="ro-RO"/>
              </w:rPr>
              <w:t>a</w:t>
            </w:r>
            <w:r w:rsidRPr="001A76EA">
              <w:rPr>
                <w:szCs w:val="28"/>
                <w:shd w:val="clear" w:color="auto" w:fill="FFFFFF"/>
                <w:lang w:val="ro-RO"/>
              </w:rPr>
              <w:t xml:space="preserve"> </w:t>
            </w:r>
            <w:r w:rsidR="005911ED" w:rsidRPr="001A76EA">
              <w:rPr>
                <w:szCs w:val="28"/>
                <w:shd w:val="clear" w:color="auto" w:fill="FFFFFF"/>
                <w:lang w:val="ro-RO"/>
              </w:rPr>
              <w:t xml:space="preserve">Ministerului Afacerilor Interne </w:t>
            </w:r>
            <w:r w:rsidRPr="001A76EA">
              <w:rPr>
                <w:szCs w:val="28"/>
                <w:shd w:val="clear" w:color="auto" w:fill="FFFFFF"/>
                <w:lang w:val="ro-RO"/>
              </w:rPr>
              <w:t xml:space="preserve">cu mijloace de transport </w:t>
            </w:r>
            <w:r w:rsidRPr="001A76EA">
              <w:rPr>
                <w:szCs w:val="28"/>
                <w:lang w:val="ro-RO"/>
              </w:rPr>
              <w:t>nu va necesita cheltuieli suplimentare din bugetul de stat</w:t>
            </w:r>
            <w:r w:rsidR="00536B1A" w:rsidRPr="001A76EA">
              <w:rPr>
                <w:szCs w:val="28"/>
                <w:lang w:val="ro-RO"/>
              </w:rPr>
              <w:t>.</w:t>
            </w:r>
            <w:r w:rsidRPr="001A76EA">
              <w:rPr>
                <w:szCs w:val="28"/>
                <w:lang w:val="ro-RO"/>
              </w:rPr>
              <w:t xml:space="preserve"> </w:t>
            </w:r>
            <w:r w:rsidR="00536B1A" w:rsidRPr="001A76EA">
              <w:rPr>
                <w:szCs w:val="28"/>
                <w:lang w:val="ro-RO"/>
              </w:rPr>
              <w:t xml:space="preserve">Eventual în cazul apariției necesităților de </w:t>
            </w:r>
            <w:r w:rsidR="00864AFE" w:rsidRPr="001A76EA">
              <w:rPr>
                <w:szCs w:val="28"/>
                <w:lang w:val="ro-RO"/>
              </w:rPr>
              <w:t>a suplini tehnica din dotare cu mijloace de transport, normele din dotare vor fi completate reieșind din disponibilitatea bugetului Ministerului Afacerilor Interne și autorităților administrative și instituțiilor din subordine.</w:t>
            </w:r>
          </w:p>
        </w:tc>
      </w:tr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lastRenderedPageBreak/>
              <w:t>6. Modul de încorporare a actului în cadrul normativ în vigoare</w:t>
            </w:r>
          </w:p>
        </w:tc>
      </w:tr>
      <w:tr w:rsidR="001A76EA" w:rsidRPr="005911ED" w:rsidTr="003967AE">
        <w:tc>
          <w:tcPr>
            <w:tcW w:w="5000" w:type="pct"/>
          </w:tcPr>
          <w:p w:rsidR="006103CA" w:rsidRPr="001A76EA" w:rsidRDefault="00753CC2" w:rsidP="006103CA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Prezentul proiect</w:t>
            </w:r>
            <w:r w:rsidR="00310FBA" w:rsidRPr="001A76EA">
              <w:rPr>
                <w:szCs w:val="28"/>
                <w:lang w:val="ro-RO"/>
              </w:rPr>
              <w:t xml:space="preserve"> se încadrează în sistemul actelor normative în vigoare, întrucât are drept scop actualizarea </w:t>
            </w:r>
            <w:r w:rsidR="00536B1A" w:rsidRPr="001A76EA">
              <w:rPr>
                <w:szCs w:val="28"/>
                <w:lang w:val="ro-RO"/>
              </w:rPr>
              <w:t>normei necesare de</w:t>
            </w:r>
            <w:r w:rsidR="00310FBA" w:rsidRPr="001A76EA">
              <w:rPr>
                <w:szCs w:val="28"/>
                <w:lang w:val="ro-RO"/>
              </w:rPr>
              <w:t xml:space="preserve"> mijloace de transport din dotarea Ministerului Afacerilor Interne</w:t>
            </w:r>
            <w:r w:rsidR="00F368D0" w:rsidRPr="001A76EA">
              <w:rPr>
                <w:szCs w:val="28"/>
                <w:lang w:val="ro-RO"/>
              </w:rPr>
              <w:t xml:space="preserve">. </w:t>
            </w:r>
          </w:p>
          <w:p w:rsidR="00AD5CDC" w:rsidRPr="001A76EA" w:rsidRDefault="00077040" w:rsidP="00672F84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În partea ce ține de abrogarea</w:t>
            </w:r>
            <w:r w:rsidR="008013AF" w:rsidRPr="001A76EA">
              <w:rPr>
                <w:szCs w:val="28"/>
                <w:lang w:val="ro-RO"/>
              </w:rPr>
              <w:t xml:space="preserve"> Hotărârii Guvernului nr.77/2009 cu privire la aprobarea Normelor de dotare a subdiviziunilor Ministerului Afacerilor Interne cu mijloace de transport de serviciu</w:t>
            </w:r>
            <w:r w:rsidRPr="001A76EA">
              <w:rPr>
                <w:szCs w:val="28"/>
                <w:lang w:val="ro-RO"/>
              </w:rPr>
              <w:t xml:space="preserve">, aceasta se </w:t>
            </w:r>
            <w:r w:rsidR="00672F84" w:rsidRPr="001A76EA">
              <w:rPr>
                <w:szCs w:val="28"/>
                <w:lang w:val="ro-RO"/>
              </w:rPr>
              <w:t>operează</w:t>
            </w:r>
            <w:r w:rsidRPr="001A76EA">
              <w:rPr>
                <w:szCs w:val="28"/>
                <w:lang w:val="ro-RO"/>
              </w:rPr>
              <w:t xml:space="preserve"> reieșind din </w:t>
            </w:r>
            <w:r w:rsidR="00672F84" w:rsidRPr="001A76EA">
              <w:rPr>
                <w:szCs w:val="28"/>
                <w:lang w:val="ro-RO"/>
              </w:rPr>
              <w:t>desuetudinea Hotărârii respective, care a fost elaborată în temeiul unui act normativ abrogat (</w:t>
            </w:r>
            <w:r w:rsidR="00672F84" w:rsidRPr="001A76EA">
              <w:rPr>
                <w:i/>
                <w:szCs w:val="28"/>
                <w:lang w:val="ro-RO"/>
              </w:rPr>
              <w:t>Legea nr. 416/1990 cu privire la poliție</w:t>
            </w:r>
            <w:r w:rsidR="00672F84" w:rsidRPr="001A76EA">
              <w:rPr>
                <w:szCs w:val="28"/>
                <w:lang w:val="ro-RO"/>
              </w:rPr>
              <w:t>).</w:t>
            </w:r>
          </w:p>
        </w:tc>
      </w:tr>
      <w:tr w:rsidR="001A76EA" w:rsidRPr="005911ED" w:rsidTr="003967AE">
        <w:tc>
          <w:tcPr>
            <w:tcW w:w="5000" w:type="pct"/>
            <w:shd w:val="clear" w:color="auto" w:fill="D9D9D9" w:themeFill="background1" w:themeFillShade="D9"/>
          </w:tcPr>
          <w:p w:rsidR="00AD5CDC" w:rsidRPr="001A76EA" w:rsidRDefault="00AD5CDC" w:rsidP="003967AE">
            <w:pPr>
              <w:tabs>
                <w:tab w:val="left" w:pos="884"/>
                <w:tab w:val="left" w:pos="1196"/>
              </w:tabs>
              <w:spacing w:before="60"/>
              <w:jc w:val="both"/>
              <w:rPr>
                <w:b/>
                <w:szCs w:val="28"/>
                <w:lang w:val="ro-RO"/>
              </w:rPr>
            </w:pPr>
            <w:r w:rsidRPr="001A76EA">
              <w:rPr>
                <w:b/>
                <w:szCs w:val="28"/>
                <w:lang w:val="ro-RO"/>
              </w:rPr>
              <w:t xml:space="preserve">7. Avizarea </w:t>
            </w:r>
            <w:proofErr w:type="spellStart"/>
            <w:r w:rsidRPr="001A76EA">
              <w:rPr>
                <w:b/>
                <w:szCs w:val="28"/>
                <w:lang w:val="ro-RO"/>
              </w:rPr>
              <w:t>şi</w:t>
            </w:r>
            <w:proofErr w:type="spellEnd"/>
            <w:r w:rsidRPr="001A76EA">
              <w:rPr>
                <w:b/>
                <w:szCs w:val="28"/>
                <w:lang w:val="ro-RO"/>
              </w:rPr>
              <w:t xml:space="preserve"> consultarea publică a proiectului</w:t>
            </w:r>
          </w:p>
        </w:tc>
      </w:tr>
      <w:tr w:rsidR="001A76EA" w:rsidRPr="005911ED" w:rsidTr="003967AE">
        <w:tc>
          <w:tcPr>
            <w:tcW w:w="5000" w:type="pct"/>
          </w:tcPr>
          <w:p w:rsidR="002007FD" w:rsidRPr="001A76EA" w:rsidRDefault="002007FD" w:rsidP="002007FD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 xml:space="preserve">În conformitate cu prevederile articolelor 8 </w:t>
            </w:r>
            <w:proofErr w:type="spellStart"/>
            <w:r w:rsidRPr="001A76EA">
              <w:rPr>
                <w:szCs w:val="28"/>
                <w:lang w:val="ro-RO"/>
              </w:rPr>
              <w:t>şi</w:t>
            </w:r>
            <w:proofErr w:type="spellEnd"/>
            <w:r w:rsidRPr="001A76EA">
              <w:rPr>
                <w:szCs w:val="28"/>
                <w:lang w:val="ro-RO"/>
              </w:rPr>
              <w:t xml:space="preserve"> 9 din Legea nr. </w:t>
            </w:r>
            <w:bookmarkStart w:id="0" w:name="_GoBack"/>
            <w:r w:rsidRPr="001A76EA">
              <w:rPr>
                <w:szCs w:val="28"/>
                <w:lang w:val="ro-RO"/>
              </w:rPr>
              <w:t xml:space="preserve">239/2008 privind </w:t>
            </w:r>
            <w:proofErr w:type="spellStart"/>
            <w:r w:rsidRPr="001A76EA">
              <w:rPr>
                <w:szCs w:val="28"/>
                <w:lang w:val="ro-RO"/>
              </w:rPr>
              <w:t>transparenţa</w:t>
            </w:r>
            <w:proofErr w:type="spellEnd"/>
            <w:r w:rsidRPr="001A76EA">
              <w:rPr>
                <w:szCs w:val="28"/>
                <w:lang w:val="ro-RO"/>
              </w:rPr>
              <w:t xml:space="preserve"> în procesul decizional</w:t>
            </w:r>
            <w:bookmarkEnd w:id="0"/>
            <w:r w:rsidRPr="001A76EA">
              <w:rPr>
                <w:szCs w:val="28"/>
                <w:lang w:val="ro-RO"/>
              </w:rPr>
              <w:t xml:space="preserve">, publicul a fost informat referitor la </w:t>
            </w:r>
            <w:proofErr w:type="spellStart"/>
            <w:r w:rsidRPr="001A76EA">
              <w:rPr>
                <w:szCs w:val="28"/>
                <w:lang w:val="ro-RO"/>
              </w:rPr>
              <w:t>iniţierea</w:t>
            </w:r>
            <w:proofErr w:type="spellEnd"/>
            <w:r w:rsidRPr="001A76EA">
              <w:rPr>
                <w:szCs w:val="28"/>
                <w:lang w:val="ro-RO"/>
              </w:rPr>
              <w:t xml:space="preserve"> elaborării prezentului proiect, inclusiv prin publicarea acestuia pe pagina web oficială a Ministerului Afacerilor Interne.</w:t>
            </w:r>
          </w:p>
          <w:p w:rsidR="00AD5CDC" w:rsidRPr="001A76EA" w:rsidRDefault="006103CA" w:rsidP="002007FD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Cs w:val="28"/>
                <w:lang w:val="ro-RO"/>
              </w:rPr>
            </w:pPr>
            <w:r w:rsidRPr="001A76EA">
              <w:rPr>
                <w:szCs w:val="28"/>
                <w:lang w:val="ro-RO"/>
              </w:rPr>
              <w:t>În conformitate cu art.32 și 34 din Legea nr.100/2017 cu privire la actele normative, proiectul urmează a fi supus procedurii de avizare, consultare publică și expertizare.</w:t>
            </w:r>
          </w:p>
        </w:tc>
      </w:tr>
    </w:tbl>
    <w:p w:rsidR="00AD5CDC" w:rsidRPr="001A76EA" w:rsidRDefault="00AD5CDC" w:rsidP="00AD5CDC">
      <w:pPr>
        <w:rPr>
          <w:szCs w:val="28"/>
          <w:lang w:val="ro-RO"/>
        </w:rPr>
      </w:pPr>
    </w:p>
    <w:p w:rsidR="00947DCF" w:rsidRPr="001A76EA" w:rsidRDefault="00947DCF" w:rsidP="00AD5CDC">
      <w:pPr>
        <w:rPr>
          <w:szCs w:val="28"/>
          <w:lang w:val="ro-RO"/>
        </w:rPr>
      </w:pPr>
    </w:p>
    <w:p w:rsidR="00E962E2" w:rsidRDefault="00662442" w:rsidP="00AD5CDC">
      <w:pPr>
        <w:ind w:right="-286"/>
        <w:rPr>
          <w:b/>
          <w:szCs w:val="28"/>
          <w:lang w:val="ro-RO"/>
        </w:rPr>
      </w:pPr>
      <w:r w:rsidRPr="001A76EA">
        <w:rPr>
          <w:b/>
          <w:szCs w:val="28"/>
          <w:lang w:val="ro-RO"/>
        </w:rPr>
        <w:t xml:space="preserve">Secretar </w:t>
      </w:r>
      <w:r w:rsidR="000D0EB8" w:rsidRPr="001A76EA">
        <w:rPr>
          <w:b/>
          <w:szCs w:val="28"/>
          <w:lang w:val="ro-RO"/>
        </w:rPr>
        <w:t xml:space="preserve">general </w:t>
      </w:r>
    </w:p>
    <w:p w:rsidR="00AD5CDC" w:rsidRPr="001A76EA" w:rsidRDefault="000D0EB8" w:rsidP="00AD5CDC">
      <w:pPr>
        <w:ind w:right="-286"/>
        <w:rPr>
          <w:szCs w:val="28"/>
          <w:lang w:val="ro-RO"/>
        </w:rPr>
      </w:pPr>
      <w:r w:rsidRPr="001A76EA">
        <w:rPr>
          <w:b/>
          <w:szCs w:val="28"/>
          <w:lang w:val="ro-RO"/>
        </w:rPr>
        <w:t xml:space="preserve">al ministerului                                           </w:t>
      </w:r>
      <w:r w:rsidR="00E962E2">
        <w:rPr>
          <w:b/>
          <w:szCs w:val="28"/>
          <w:lang w:val="ro-RO"/>
        </w:rPr>
        <w:tab/>
      </w:r>
      <w:r w:rsidR="00E962E2">
        <w:rPr>
          <w:b/>
          <w:szCs w:val="28"/>
          <w:lang w:val="ro-RO"/>
        </w:rPr>
        <w:tab/>
      </w:r>
      <w:r w:rsidR="00E962E2">
        <w:rPr>
          <w:b/>
          <w:szCs w:val="28"/>
          <w:lang w:val="ro-RO"/>
        </w:rPr>
        <w:tab/>
      </w:r>
      <w:r w:rsidR="00E962E2">
        <w:rPr>
          <w:b/>
          <w:szCs w:val="28"/>
          <w:lang w:val="ro-RO"/>
        </w:rPr>
        <w:tab/>
        <w:t xml:space="preserve">     </w:t>
      </w:r>
      <w:r w:rsidRPr="001A76EA">
        <w:rPr>
          <w:b/>
          <w:szCs w:val="28"/>
          <w:lang w:val="ro-RO"/>
        </w:rPr>
        <w:t xml:space="preserve"> Serghei DIACONU</w:t>
      </w:r>
      <w:r w:rsidR="00662442" w:rsidRPr="001A76EA">
        <w:rPr>
          <w:b/>
          <w:szCs w:val="28"/>
          <w:lang w:val="ro-RO"/>
        </w:rPr>
        <w:t xml:space="preserve">                                                                </w:t>
      </w:r>
    </w:p>
    <w:p w:rsidR="00256714" w:rsidRPr="001A76EA" w:rsidRDefault="00256714">
      <w:pPr>
        <w:rPr>
          <w:szCs w:val="28"/>
          <w:lang w:val="en-US"/>
        </w:rPr>
      </w:pPr>
    </w:p>
    <w:sectPr w:rsidR="00256714" w:rsidRPr="001A76EA" w:rsidSect="00947DCF">
      <w:pgSz w:w="11906" w:h="16838"/>
      <w:pgMar w:top="1276" w:right="79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50583"/>
    <w:multiLevelType w:val="hybridMultilevel"/>
    <w:tmpl w:val="A476E9C8"/>
    <w:lvl w:ilvl="0" w:tplc="047E8DCE">
      <w:start w:val="4"/>
      <w:numFmt w:val="bullet"/>
      <w:lvlText w:val="-"/>
      <w:lvlJc w:val="left"/>
      <w:pPr>
        <w:ind w:left="95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">
    <w:nsid w:val="11BD2C50"/>
    <w:multiLevelType w:val="multilevel"/>
    <w:tmpl w:val="7C2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B647D6"/>
    <w:multiLevelType w:val="hybridMultilevel"/>
    <w:tmpl w:val="EDD6E7DA"/>
    <w:lvl w:ilvl="0" w:tplc="59744E1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3B5ACF"/>
    <w:multiLevelType w:val="hybridMultilevel"/>
    <w:tmpl w:val="B41C081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A9"/>
    <w:rsid w:val="00002694"/>
    <w:rsid w:val="00007F50"/>
    <w:rsid w:val="0003463D"/>
    <w:rsid w:val="00042F1C"/>
    <w:rsid w:val="00054443"/>
    <w:rsid w:val="00077040"/>
    <w:rsid w:val="000952A9"/>
    <w:rsid w:val="000A58B9"/>
    <w:rsid w:val="000D0EB8"/>
    <w:rsid w:val="001A76EA"/>
    <w:rsid w:val="001C4415"/>
    <w:rsid w:val="001E01A2"/>
    <w:rsid w:val="001F3817"/>
    <w:rsid w:val="002007FD"/>
    <w:rsid w:val="00256714"/>
    <w:rsid w:val="00263DCB"/>
    <w:rsid w:val="002A1DE8"/>
    <w:rsid w:val="002C7B05"/>
    <w:rsid w:val="00310FBA"/>
    <w:rsid w:val="00317A09"/>
    <w:rsid w:val="0032266D"/>
    <w:rsid w:val="00335654"/>
    <w:rsid w:val="00353397"/>
    <w:rsid w:val="003A7DB7"/>
    <w:rsid w:val="003B167D"/>
    <w:rsid w:val="00404569"/>
    <w:rsid w:val="00420643"/>
    <w:rsid w:val="0042318D"/>
    <w:rsid w:val="00457102"/>
    <w:rsid w:val="004703AC"/>
    <w:rsid w:val="0051588B"/>
    <w:rsid w:val="00536B1A"/>
    <w:rsid w:val="005911ED"/>
    <w:rsid w:val="00596CAB"/>
    <w:rsid w:val="00597058"/>
    <w:rsid w:val="005C27DE"/>
    <w:rsid w:val="005E3448"/>
    <w:rsid w:val="006103CA"/>
    <w:rsid w:val="00631436"/>
    <w:rsid w:val="00662442"/>
    <w:rsid w:val="00672F84"/>
    <w:rsid w:val="00685F74"/>
    <w:rsid w:val="00686325"/>
    <w:rsid w:val="00714025"/>
    <w:rsid w:val="00753CC2"/>
    <w:rsid w:val="00772418"/>
    <w:rsid w:val="007A217D"/>
    <w:rsid w:val="008013AF"/>
    <w:rsid w:val="0081178E"/>
    <w:rsid w:val="00830486"/>
    <w:rsid w:val="00864AFE"/>
    <w:rsid w:val="00872ABB"/>
    <w:rsid w:val="00904765"/>
    <w:rsid w:val="009064AD"/>
    <w:rsid w:val="00947DCF"/>
    <w:rsid w:val="00956802"/>
    <w:rsid w:val="009A3427"/>
    <w:rsid w:val="00A804EA"/>
    <w:rsid w:val="00AD09F7"/>
    <w:rsid w:val="00AD5CDC"/>
    <w:rsid w:val="00B47ABA"/>
    <w:rsid w:val="00B67BFC"/>
    <w:rsid w:val="00B70814"/>
    <w:rsid w:val="00B74284"/>
    <w:rsid w:val="00BC0DDF"/>
    <w:rsid w:val="00BF337D"/>
    <w:rsid w:val="00C04D98"/>
    <w:rsid w:val="00C11F16"/>
    <w:rsid w:val="00C161AE"/>
    <w:rsid w:val="00C401C4"/>
    <w:rsid w:val="00C825DA"/>
    <w:rsid w:val="00CE07B6"/>
    <w:rsid w:val="00D33E5D"/>
    <w:rsid w:val="00D96212"/>
    <w:rsid w:val="00E138F7"/>
    <w:rsid w:val="00E962E2"/>
    <w:rsid w:val="00EA5829"/>
    <w:rsid w:val="00EC6F8A"/>
    <w:rsid w:val="00EE369C"/>
    <w:rsid w:val="00F20512"/>
    <w:rsid w:val="00F368D0"/>
    <w:rsid w:val="00F85645"/>
    <w:rsid w:val="00F93437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176D2-7F5D-4881-9E52-8031AE97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DC"/>
    <w:pPr>
      <w:ind w:left="720"/>
      <w:contextualSpacing/>
    </w:pPr>
  </w:style>
  <w:style w:type="paragraph" w:styleId="a4">
    <w:name w:val="No Spacing"/>
    <w:uiPriority w:val="1"/>
    <w:qFormat/>
    <w:rsid w:val="00AD5CDC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styleId="a5">
    <w:name w:val="Emphasis"/>
    <w:uiPriority w:val="20"/>
    <w:qFormat/>
    <w:rsid w:val="00AD5CDC"/>
    <w:rPr>
      <w:b/>
      <w:bCs/>
      <w:i w:val="0"/>
      <w:iCs w:val="0"/>
    </w:rPr>
  </w:style>
  <w:style w:type="paragraph" w:styleId="a6">
    <w:name w:val="header"/>
    <w:basedOn w:val="a"/>
    <w:link w:val="a7"/>
    <w:rsid w:val="00AD5CDC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AD5CD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830486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cn">
    <w:name w:val="cn"/>
    <w:basedOn w:val="a"/>
    <w:rsid w:val="00AD09F7"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6259-9630-451B-9116-A8B3E4A8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User_MAI_747</dc:creator>
  <cp:keywords/>
  <dc:description/>
  <cp:lastModifiedBy>PC</cp:lastModifiedBy>
  <cp:revision>4</cp:revision>
  <cp:lastPrinted>2022-02-16T13:29:00Z</cp:lastPrinted>
  <dcterms:created xsi:type="dcterms:W3CDTF">2022-04-08T12:37:00Z</dcterms:created>
  <dcterms:modified xsi:type="dcterms:W3CDTF">2022-04-12T11:32:00Z</dcterms:modified>
</cp:coreProperties>
</file>