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5C5" w:rsidRPr="00AC4353" w:rsidRDefault="00EB75C5" w:rsidP="00EB75C5">
      <w:pPr>
        <w:spacing w:after="0" w:line="240" w:lineRule="auto"/>
        <w:jc w:val="center"/>
        <w:rPr>
          <w:rFonts w:ascii="Times New Roman" w:hAnsi="Times New Roman" w:cs="Times New Roman"/>
          <w:b/>
          <w:noProof/>
          <w:sz w:val="28"/>
          <w:szCs w:val="28"/>
          <w:lang w:val="ro-RO"/>
        </w:rPr>
      </w:pPr>
      <w:r w:rsidRPr="00AC4353">
        <w:rPr>
          <w:rFonts w:ascii="Times New Roman" w:hAnsi="Times New Roman" w:cs="Times New Roman"/>
          <w:b/>
          <w:noProof/>
          <w:sz w:val="28"/>
          <w:szCs w:val="28"/>
          <w:lang w:val="ro-RO"/>
        </w:rPr>
        <w:t>NOTĂ INFORMATIVĂ</w:t>
      </w:r>
    </w:p>
    <w:p w:rsidR="00EB75C5" w:rsidRPr="00296137" w:rsidRDefault="00EB75C5" w:rsidP="00EB75C5">
      <w:pPr>
        <w:shd w:val="clear" w:color="auto" w:fill="FFFFFF"/>
        <w:spacing w:after="0" w:line="240" w:lineRule="auto"/>
        <w:jc w:val="center"/>
        <w:outlineLvl w:val="4"/>
        <w:rPr>
          <w:rFonts w:ascii="Times New Roman" w:eastAsia="Times New Roman" w:hAnsi="Times New Roman" w:cs="Times New Roman"/>
          <w:b/>
          <w:bCs/>
          <w:noProof/>
          <w:sz w:val="28"/>
          <w:szCs w:val="28"/>
          <w:lang w:val="ro-RO" w:eastAsia="ru-RU"/>
        </w:rPr>
      </w:pPr>
      <w:r w:rsidRPr="00AC4353">
        <w:rPr>
          <w:rFonts w:ascii="Times New Roman" w:eastAsia="Times New Roman" w:hAnsi="Times New Roman" w:cs="Times New Roman"/>
          <w:b/>
          <w:bCs/>
          <w:noProof/>
          <w:sz w:val="28"/>
          <w:szCs w:val="28"/>
          <w:lang w:val="ro-RO" w:eastAsia="ru-RU"/>
        </w:rPr>
        <w:t xml:space="preserve">la proiectul </w:t>
      </w:r>
      <w:r w:rsidRPr="00296137">
        <w:rPr>
          <w:rFonts w:ascii="Times New Roman" w:eastAsia="Times New Roman" w:hAnsi="Times New Roman" w:cs="Times New Roman"/>
          <w:b/>
          <w:bCs/>
          <w:noProof/>
          <w:sz w:val="28"/>
          <w:szCs w:val="28"/>
          <w:lang w:val="ro-RO" w:eastAsia="ru-RU"/>
        </w:rPr>
        <w:t>Hotărârii de Guvern pentru mod</w:t>
      </w:r>
      <w:r>
        <w:rPr>
          <w:rFonts w:ascii="Times New Roman" w:eastAsia="Times New Roman" w:hAnsi="Times New Roman" w:cs="Times New Roman"/>
          <w:b/>
          <w:bCs/>
          <w:noProof/>
          <w:sz w:val="28"/>
          <w:szCs w:val="28"/>
          <w:lang w:val="ro-RO" w:eastAsia="ru-RU"/>
        </w:rPr>
        <w:t xml:space="preserve">ificarea Regulamentului privind </w:t>
      </w:r>
      <w:r w:rsidRPr="00296137">
        <w:rPr>
          <w:rFonts w:ascii="Times New Roman" w:eastAsia="Times New Roman" w:hAnsi="Times New Roman" w:cs="Times New Roman"/>
          <w:b/>
          <w:bCs/>
          <w:noProof/>
          <w:sz w:val="28"/>
          <w:szCs w:val="28"/>
          <w:lang w:val="ro-RO" w:eastAsia="ru-RU"/>
        </w:rPr>
        <w:t>modalitatea de calculare a pensiilor și modalitatea</w:t>
      </w:r>
    </w:p>
    <w:p w:rsidR="00EB75C5" w:rsidRPr="00296137" w:rsidRDefault="00EB75C5" w:rsidP="00EB75C5">
      <w:pPr>
        <w:shd w:val="clear" w:color="auto" w:fill="FFFFFF"/>
        <w:spacing w:after="0" w:line="240" w:lineRule="auto"/>
        <w:jc w:val="center"/>
        <w:outlineLvl w:val="4"/>
        <w:rPr>
          <w:rFonts w:ascii="Times New Roman" w:eastAsia="Times New Roman" w:hAnsi="Times New Roman" w:cs="Times New Roman"/>
          <w:b/>
          <w:bCs/>
          <w:noProof/>
          <w:sz w:val="28"/>
          <w:szCs w:val="28"/>
          <w:lang w:val="ro-RO" w:eastAsia="ru-RU"/>
        </w:rPr>
      </w:pPr>
      <w:r w:rsidRPr="00296137">
        <w:rPr>
          <w:rFonts w:ascii="Times New Roman" w:eastAsia="Times New Roman" w:hAnsi="Times New Roman" w:cs="Times New Roman"/>
          <w:b/>
          <w:bCs/>
          <w:noProof/>
          <w:sz w:val="28"/>
          <w:szCs w:val="28"/>
          <w:lang w:val="ro-RO" w:eastAsia="ru-RU"/>
        </w:rPr>
        <w:t>de confirmare a stagiului de cotizare pentru stabilirea</w:t>
      </w:r>
    </w:p>
    <w:p w:rsidR="00EB75C5" w:rsidRPr="00296137" w:rsidRDefault="00EB75C5" w:rsidP="00EB75C5">
      <w:pPr>
        <w:shd w:val="clear" w:color="auto" w:fill="FFFFFF"/>
        <w:spacing w:after="0" w:line="240" w:lineRule="auto"/>
        <w:jc w:val="center"/>
        <w:outlineLvl w:val="4"/>
        <w:rPr>
          <w:rFonts w:ascii="Times New Roman" w:eastAsia="Times New Roman" w:hAnsi="Times New Roman" w:cs="Times New Roman"/>
          <w:b/>
          <w:bCs/>
          <w:noProof/>
          <w:sz w:val="28"/>
          <w:szCs w:val="28"/>
          <w:lang w:val="ro-RO" w:eastAsia="ru-RU"/>
        </w:rPr>
      </w:pPr>
      <w:r w:rsidRPr="00296137">
        <w:rPr>
          <w:rFonts w:ascii="Times New Roman" w:eastAsia="Times New Roman" w:hAnsi="Times New Roman" w:cs="Times New Roman"/>
          <w:b/>
          <w:bCs/>
          <w:noProof/>
          <w:sz w:val="28"/>
          <w:szCs w:val="28"/>
          <w:lang w:val="ro-RO" w:eastAsia="ru-RU"/>
        </w:rPr>
        <w:t xml:space="preserve"> pensiilor, aprobat prin Hotărârea Guvernului</w:t>
      </w:r>
    </w:p>
    <w:p w:rsidR="00EB75C5" w:rsidRDefault="00EB75C5" w:rsidP="00BA7856">
      <w:pPr>
        <w:shd w:val="clear" w:color="auto" w:fill="FFFFFF"/>
        <w:spacing w:after="0" w:line="240" w:lineRule="auto"/>
        <w:jc w:val="center"/>
        <w:outlineLvl w:val="4"/>
        <w:rPr>
          <w:rFonts w:ascii="Times New Roman" w:eastAsia="Times New Roman" w:hAnsi="Times New Roman" w:cs="Times New Roman"/>
          <w:b/>
          <w:bCs/>
          <w:noProof/>
          <w:sz w:val="28"/>
          <w:szCs w:val="28"/>
          <w:lang w:val="ro-RO" w:eastAsia="ru-RU"/>
        </w:rPr>
      </w:pPr>
      <w:r w:rsidRPr="00296137">
        <w:rPr>
          <w:rFonts w:ascii="Times New Roman" w:eastAsia="Times New Roman" w:hAnsi="Times New Roman" w:cs="Times New Roman"/>
          <w:b/>
          <w:bCs/>
          <w:noProof/>
          <w:sz w:val="28"/>
          <w:szCs w:val="28"/>
          <w:lang w:val="ro-RO" w:eastAsia="ru-RU"/>
        </w:rPr>
        <w:t>nr. 165/2017</w:t>
      </w:r>
    </w:p>
    <w:p w:rsidR="00BA7856" w:rsidRPr="00BA7856" w:rsidRDefault="00BA7856" w:rsidP="00BA7856">
      <w:pPr>
        <w:shd w:val="clear" w:color="auto" w:fill="FFFFFF"/>
        <w:spacing w:after="0" w:line="240" w:lineRule="auto"/>
        <w:jc w:val="center"/>
        <w:outlineLvl w:val="4"/>
        <w:rPr>
          <w:rFonts w:ascii="Times New Roman" w:eastAsia="Times New Roman" w:hAnsi="Times New Roman" w:cs="Times New Roman"/>
          <w:b/>
          <w:bCs/>
          <w:noProof/>
          <w:sz w:val="28"/>
          <w:szCs w:val="28"/>
          <w:lang w:val="ro-RO" w:eastAsia="ru-RU"/>
        </w:rPr>
      </w:pPr>
    </w:p>
    <w:tbl>
      <w:tblPr>
        <w:tblW w:w="10166" w:type="dxa"/>
        <w:tblInd w:w="-351" w:type="dxa"/>
        <w:tblLayout w:type="fixed"/>
        <w:tblCellMar>
          <w:left w:w="10" w:type="dxa"/>
          <w:right w:w="10" w:type="dxa"/>
        </w:tblCellMar>
        <w:tblLook w:val="0000" w:firstRow="0" w:lastRow="0" w:firstColumn="0" w:lastColumn="0" w:noHBand="0" w:noVBand="0"/>
      </w:tblPr>
      <w:tblGrid>
        <w:gridCol w:w="10166"/>
      </w:tblGrid>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B75C5" w:rsidRPr="005B2F83" w:rsidRDefault="00EB75C5" w:rsidP="00C91F8C">
            <w:pPr>
              <w:pStyle w:val="Standard"/>
              <w:spacing w:after="0" w:line="240" w:lineRule="auto"/>
              <w:ind w:right="-18"/>
              <w:jc w:val="both"/>
              <w:rPr>
                <w:rFonts w:ascii="Times New Roman" w:hAnsi="Times New Roman"/>
                <w:sz w:val="28"/>
                <w:szCs w:val="28"/>
              </w:rPr>
            </w:pPr>
            <w:r>
              <w:rPr>
                <w:rFonts w:ascii="Times New Roman" w:hAnsi="Times New Roman"/>
                <w:b/>
                <w:sz w:val="28"/>
                <w:szCs w:val="28"/>
              </w:rPr>
              <w:t xml:space="preserve">1. </w:t>
            </w:r>
            <w:r w:rsidRPr="005B2F83">
              <w:rPr>
                <w:rFonts w:ascii="Times New Roman" w:hAnsi="Times New Roman"/>
                <w:b/>
                <w:sz w:val="28"/>
                <w:szCs w:val="28"/>
              </w:rPr>
              <w:t>Denumirea autorului şi, după caz, a participanţilor la elaborarea proiectului</w:t>
            </w: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5C5" w:rsidRDefault="00EB75C5" w:rsidP="00C91F8C">
            <w:pPr>
              <w:pStyle w:val="Standard"/>
              <w:spacing w:after="0" w:line="240" w:lineRule="auto"/>
              <w:jc w:val="both"/>
              <w:rPr>
                <w:rFonts w:ascii="Times New Roman" w:hAnsi="Times New Roman"/>
                <w:sz w:val="28"/>
                <w:szCs w:val="28"/>
              </w:rPr>
            </w:pPr>
            <w:r w:rsidRPr="005B2F83">
              <w:rPr>
                <w:rFonts w:ascii="Times New Roman" w:hAnsi="Times New Roman"/>
                <w:noProof/>
                <w:sz w:val="28"/>
                <w:szCs w:val="28"/>
                <w:lang w:eastAsia="ru-RU"/>
              </w:rPr>
              <w:t xml:space="preserve">Proiectul Hotărârii de Guvern pentru modificarea Regulamentului privind modalitatea de calculare a pensiilor și modalitatea de confirmare a stagiului de cotizare pentru stabilirea pensiilor, aprobat prin Hotărârea Guvernului nr. 165/2017 </w:t>
            </w:r>
            <w:r w:rsidRPr="005B2F83">
              <w:rPr>
                <w:rFonts w:ascii="Times New Roman" w:eastAsia="Times New Roman" w:hAnsi="Times New Roman"/>
                <w:bCs/>
                <w:noProof/>
                <w:sz w:val="28"/>
                <w:szCs w:val="28"/>
                <w:lang w:eastAsia="ru-RU"/>
              </w:rPr>
              <w:t xml:space="preserve">a fost elaborat de către </w:t>
            </w:r>
            <w:r w:rsidRPr="005B2F83">
              <w:rPr>
                <w:rFonts w:ascii="Times New Roman" w:hAnsi="Times New Roman"/>
                <w:noProof/>
                <w:sz w:val="28"/>
                <w:szCs w:val="28"/>
              </w:rPr>
              <w:t>Ministerul Muncii și Protecției Sociale</w:t>
            </w:r>
            <w:r w:rsidRPr="005B2F83">
              <w:rPr>
                <w:rFonts w:ascii="Times New Roman" w:hAnsi="Times New Roman"/>
                <w:sz w:val="28"/>
                <w:szCs w:val="28"/>
              </w:rPr>
              <w:t>.</w:t>
            </w:r>
          </w:p>
          <w:p w:rsidR="00BA7856" w:rsidRPr="005B2F83" w:rsidRDefault="00BA7856" w:rsidP="00C91F8C">
            <w:pPr>
              <w:pStyle w:val="Standard"/>
              <w:spacing w:after="0" w:line="240" w:lineRule="auto"/>
              <w:jc w:val="both"/>
              <w:rPr>
                <w:rFonts w:ascii="Times New Roman" w:hAnsi="Times New Roman"/>
                <w:sz w:val="28"/>
                <w:szCs w:val="28"/>
              </w:rPr>
            </w:pP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B75C5" w:rsidRPr="005B2F83" w:rsidRDefault="00EB75C5" w:rsidP="00C91F8C">
            <w:pPr>
              <w:pStyle w:val="Standard"/>
              <w:spacing w:after="0" w:line="240" w:lineRule="auto"/>
              <w:ind w:left="-18" w:right="-108" w:firstLine="18"/>
              <w:jc w:val="both"/>
              <w:rPr>
                <w:rFonts w:ascii="Times New Roman" w:hAnsi="Times New Roman"/>
                <w:b/>
                <w:sz w:val="28"/>
                <w:szCs w:val="28"/>
              </w:rPr>
            </w:pPr>
            <w:r>
              <w:rPr>
                <w:rFonts w:ascii="Times New Roman" w:hAnsi="Times New Roman"/>
                <w:b/>
                <w:sz w:val="28"/>
                <w:szCs w:val="28"/>
              </w:rPr>
              <w:t xml:space="preserve">2. </w:t>
            </w:r>
            <w:r w:rsidRPr="005B2F83">
              <w:rPr>
                <w:rFonts w:ascii="Times New Roman" w:hAnsi="Times New Roman"/>
                <w:b/>
                <w:sz w:val="28"/>
                <w:szCs w:val="28"/>
              </w:rPr>
              <w:t>Condiţiile ce au impus elaborarea proiectului de act nor</w:t>
            </w:r>
            <w:r>
              <w:rPr>
                <w:rFonts w:ascii="Times New Roman" w:hAnsi="Times New Roman"/>
                <w:b/>
                <w:sz w:val="28"/>
                <w:szCs w:val="28"/>
              </w:rPr>
              <w:t>mativ şi finalităţile urmărite</w:t>
            </w:r>
          </w:p>
        </w:tc>
      </w:tr>
      <w:tr w:rsidR="00EB75C5" w:rsidRPr="00DB7350" w:rsidTr="00C91F8C">
        <w:tc>
          <w:tcPr>
            <w:tcW w:w="10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5C5" w:rsidRDefault="00EB75C5" w:rsidP="00C91F8C">
            <w:pPr>
              <w:spacing w:before="120" w:after="0" w:line="240" w:lineRule="auto"/>
              <w:jc w:val="both"/>
              <w:rPr>
                <w:rFonts w:ascii="Times New Roman" w:hAnsi="Times New Roman" w:cs="Times New Roman"/>
                <w:bCs/>
                <w:sz w:val="28"/>
                <w:szCs w:val="28"/>
                <w:lang w:val="ro-RO"/>
              </w:rPr>
            </w:pPr>
            <w:r w:rsidRPr="00DB7350">
              <w:rPr>
                <w:rFonts w:ascii="Times New Roman" w:hAnsi="Times New Roman" w:cs="Times New Roman"/>
                <w:sz w:val="28"/>
                <w:szCs w:val="28"/>
                <w:lang w:val="ro-MD"/>
              </w:rPr>
              <w:t xml:space="preserve">Proiectul de Hotărâre de Guvern a fost elaborat în vederea </w:t>
            </w:r>
            <w:r w:rsidRPr="00DB7350">
              <w:rPr>
                <w:rFonts w:ascii="Times New Roman" w:hAnsi="Times New Roman" w:cs="Times New Roman"/>
                <w:sz w:val="28"/>
                <w:szCs w:val="28"/>
                <w:lang w:val="ro-RO"/>
              </w:rPr>
              <w:t xml:space="preserve">aducerii în concordanță a actelor normative ale Guvernului cu prevederile </w:t>
            </w:r>
            <w:r w:rsidRPr="00DB7350">
              <w:rPr>
                <w:rFonts w:ascii="Times New Roman" w:hAnsi="Times New Roman" w:cs="Times New Roman"/>
                <w:bCs/>
                <w:sz w:val="28"/>
                <w:szCs w:val="28"/>
                <w:lang w:val="ro-RO"/>
              </w:rPr>
              <w:t>Legii nr. 63/2022 privind susținerea participanților la acțiunile de luptă pentru apărarea integrității teritoriale și a independenței Republicii Moldova și a membrilor familiilor lor în contextul comemorării a 30 de ani de la acțiunile de luptă de pe Nistru și pentru modificarea unor acte normative.</w:t>
            </w:r>
          </w:p>
          <w:p w:rsidR="00AD06D7" w:rsidRPr="00DB7350" w:rsidRDefault="00AD06D7" w:rsidP="00C91F8C">
            <w:pPr>
              <w:spacing w:before="120" w:after="0" w:line="240" w:lineRule="auto"/>
              <w:jc w:val="both"/>
              <w:rPr>
                <w:rFonts w:ascii="Times New Roman" w:hAnsi="Times New Roman" w:cs="Times New Roman"/>
                <w:bCs/>
                <w:sz w:val="28"/>
                <w:szCs w:val="28"/>
                <w:lang w:val="ro-RO"/>
              </w:rPr>
            </w:pP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B75C5" w:rsidRPr="005B2F83" w:rsidRDefault="00EB75C5" w:rsidP="00C91F8C">
            <w:pPr>
              <w:pStyle w:val="Standard"/>
              <w:spacing w:after="0" w:line="240" w:lineRule="auto"/>
              <w:ind w:left="-18" w:right="-108" w:firstLine="18"/>
              <w:rPr>
                <w:rFonts w:ascii="Times New Roman" w:hAnsi="Times New Roman"/>
                <w:b/>
                <w:sz w:val="28"/>
                <w:szCs w:val="28"/>
              </w:rPr>
            </w:pPr>
            <w:r>
              <w:rPr>
                <w:rFonts w:ascii="Times New Roman" w:hAnsi="Times New Roman"/>
                <w:b/>
                <w:sz w:val="28"/>
                <w:szCs w:val="28"/>
              </w:rPr>
              <w:t xml:space="preserve">3. </w:t>
            </w:r>
            <w:r w:rsidRPr="00DB7350">
              <w:rPr>
                <w:rFonts w:ascii="Times New Roman" w:hAnsi="Times New Roman"/>
                <w:b/>
                <w:sz w:val="28"/>
                <w:szCs w:val="28"/>
              </w:rPr>
              <w:t>Descrierea gradului de compatibilitate pentru proiectele care au ca scop</w:t>
            </w:r>
            <w:r>
              <w:rPr>
                <w:rFonts w:ascii="Times New Roman" w:hAnsi="Times New Roman"/>
                <w:b/>
                <w:sz w:val="28"/>
                <w:szCs w:val="28"/>
              </w:rPr>
              <w:t xml:space="preserve"> </w:t>
            </w:r>
            <w:r w:rsidRPr="00DB7350">
              <w:rPr>
                <w:rFonts w:ascii="Times New Roman" w:hAnsi="Times New Roman"/>
                <w:b/>
                <w:sz w:val="28"/>
                <w:szCs w:val="28"/>
              </w:rPr>
              <w:t>armonizarea legislaţiei naţionale cu legislaţia Uniunii Europene</w:t>
            </w: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5C5" w:rsidRDefault="00EB75C5" w:rsidP="00C91F8C">
            <w:pPr>
              <w:pStyle w:val="Standard"/>
              <w:spacing w:after="0" w:line="240" w:lineRule="auto"/>
              <w:ind w:left="-18" w:right="-108" w:firstLine="18"/>
              <w:jc w:val="both"/>
              <w:rPr>
                <w:rFonts w:ascii="Times New Roman" w:hAnsi="Times New Roman"/>
                <w:sz w:val="28"/>
                <w:szCs w:val="28"/>
              </w:rPr>
            </w:pPr>
            <w:r w:rsidRPr="00DB7350">
              <w:rPr>
                <w:rFonts w:ascii="Times New Roman" w:hAnsi="Times New Roman"/>
                <w:sz w:val="28"/>
                <w:szCs w:val="28"/>
              </w:rPr>
              <w:t>Proiectul de hotărâre nu are drept scop armonizarea legislației naționale cu legislația Uniunii Europene.</w:t>
            </w:r>
          </w:p>
          <w:p w:rsidR="00AD06D7" w:rsidRPr="00DB7350" w:rsidRDefault="00AD06D7" w:rsidP="00C91F8C">
            <w:pPr>
              <w:pStyle w:val="Standard"/>
              <w:spacing w:after="0" w:line="240" w:lineRule="auto"/>
              <w:ind w:left="-18" w:right="-108" w:firstLine="18"/>
              <w:jc w:val="both"/>
              <w:rPr>
                <w:rFonts w:ascii="Times New Roman" w:hAnsi="Times New Roman"/>
                <w:sz w:val="28"/>
                <w:szCs w:val="28"/>
              </w:rPr>
            </w:pP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B75C5" w:rsidRPr="005B2F83" w:rsidRDefault="00EB75C5" w:rsidP="00C91F8C">
            <w:pPr>
              <w:pStyle w:val="Standard"/>
              <w:spacing w:after="0" w:line="240" w:lineRule="auto"/>
              <w:ind w:left="-18" w:right="-108" w:firstLine="18"/>
              <w:jc w:val="both"/>
              <w:rPr>
                <w:rFonts w:ascii="Times New Roman" w:hAnsi="Times New Roman"/>
                <w:b/>
                <w:sz w:val="28"/>
                <w:szCs w:val="28"/>
              </w:rPr>
            </w:pPr>
            <w:r>
              <w:rPr>
                <w:rFonts w:ascii="Times New Roman" w:hAnsi="Times New Roman"/>
                <w:b/>
                <w:sz w:val="28"/>
                <w:szCs w:val="28"/>
              </w:rPr>
              <w:t xml:space="preserve">4. </w:t>
            </w:r>
            <w:r w:rsidRPr="005B2F83">
              <w:rPr>
                <w:rFonts w:ascii="Times New Roman" w:hAnsi="Times New Roman"/>
                <w:b/>
                <w:sz w:val="28"/>
                <w:szCs w:val="28"/>
              </w:rPr>
              <w:t>Principalele prevederi ale proiectului şi evidenţierea elementelor noi</w:t>
            </w: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5C5" w:rsidRPr="00E83762" w:rsidRDefault="00EB75C5" w:rsidP="00C91F8C">
            <w:pPr>
              <w:spacing w:before="120" w:after="0" w:line="240" w:lineRule="auto"/>
              <w:jc w:val="both"/>
              <w:rPr>
                <w:rFonts w:ascii="Times New Roman" w:hAnsi="Times New Roman" w:cs="Times New Roman"/>
                <w:sz w:val="28"/>
                <w:szCs w:val="28"/>
                <w:lang w:val="ro-MD"/>
              </w:rPr>
            </w:pPr>
            <w:r w:rsidRPr="00AD6DEE">
              <w:rPr>
                <w:rFonts w:ascii="Times New Roman" w:hAnsi="Times New Roman" w:cs="Times New Roman"/>
                <w:sz w:val="28"/>
                <w:szCs w:val="28"/>
                <w:lang w:val="ro-MD"/>
              </w:rPr>
              <w:t xml:space="preserve">Proiectul de hotărâre vizează </w:t>
            </w:r>
            <w:r w:rsidRPr="005B2F83">
              <w:rPr>
                <w:rFonts w:ascii="Times New Roman" w:hAnsi="Times New Roman" w:cs="Times New Roman"/>
                <w:sz w:val="28"/>
                <w:szCs w:val="28"/>
                <w:lang w:val="ro-MD"/>
              </w:rPr>
              <w:t xml:space="preserve">stabilirea </w:t>
            </w:r>
            <w:r>
              <w:rPr>
                <w:rFonts w:ascii="Times New Roman" w:eastAsia="Calibri" w:hAnsi="Times New Roman" w:cs="Times New Roman"/>
                <w:noProof/>
                <w:sz w:val="28"/>
                <w:szCs w:val="28"/>
                <w:lang w:val="ro-RO" w:eastAsia="ru-RU"/>
              </w:rPr>
              <w:t>modalității</w:t>
            </w:r>
            <w:r w:rsidRPr="005B2F83">
              <w:rPr>
                <w:rFonts w:ascii="Times New Roman" w:eastAsia="Calibri" w:hAnsi="Times New Roman" w:cs="Times New Roman"/>
                <w:noProof/>
                <w:sz w:val="28"/>
                <w:szCs w:val="28"/>
                <w:lang w:val="ro-RO" w:eastAsia="ru-RU"/>
              </w:rPr>
              <w:t xml:space="preserve"> </w:t>
            </w:r>
            <w:r>
              <w:rPr>
                <w:rFonts w:ascii="Times New Roman" w:eastAsia="Calibri" w:hAnsi="Times New Roman" w:cs="Times New Roman"/>
                <w:noProof/>
                <w:sz w:val="28"/>
                <w:szCs w:val="28"/>
                <w:lang w:val="ro-RO" w:eastAsia="ru-RU"/>
              </w:rPr>
              <w:t xml:space="preserve">de asimilare a </w:t>
            </w:r>
            <w:r w:rsidRPr="00B14DC0">
              <w:rPr>
                <w:rFonts w:ascii="Times New Roman" w:hAnsi="Times New Roman" w:cs="Times New Roman"/>
                <w:i/>
                <w:sz w:val="28"/>
                <w:szCs w:val="28"/>
                <w:lang w:val="ro-MD"/>
              </w:rPr>
              <w:t>perioadei de participare la acțiunile de luptă pentru apărarea integrității teritoriale și a independenței Republicii Moldova în perioada 2 martie – 13 august 1992</w:t>
            </w:r>
            <w:r>
              <w:rPr>
                <w:rFonts w:ascii="Times New Roman" w:eastAsia="Calibri" w:hAnsi="Times New Roman" w:cs="Times New Roman"/>
                <w:noProof/>
                <w:sz w:val="28"/>
                <w:szCs w:val="28"/>
                <w:lang w:val="ro-RO" w:eastAsia="ru-RU"/>
              </w:rPr>
              <w:t xml:space="preserve"> ca perioada necontributivă</w:t>
            </w:r>
            <w:r>
              <w:t xml:space="preserve"> </w:t>
            </w:r>
            <w:r>
              <w:rPr>
                <w:rFonts w:ascii="Times New Roman" w:eastAsia="Calibri" w:hAnsi="Times New Roman" w:cs="Times New Roman"/>
                <w:noProof/>
                <w:sz w:val="28"/>
                <w:szCs w:val="28"/>
                <w:lang w:val="ro-RO" w:eastAsia="ru-RU"/>
              </w:rPr>
              <w:t>a</w:t>
            </w:r>
            <w:r w:rsidRPr="00E83762">
              <w:rPr>
                <w:rFonts w:ascii="Times New Roman" w:eastAsia="Calibri" w:hAnsi="Times New Roman" w:cs="Times New Roman"/>
                <w:noProof/>
                <w:sz w:val="28"/>
                <w:szCs w:val="28"/>
                <w:lang w:val="ro-RO" w:eastAsia="ru-RU"/>
              </w:rPr>
              <w:t xml:space="preserve"> asiguratului</w:t>
            </w:r>
            <w:r>
              <w:rPr>
                <w:rFonts w:ascii="Times New Roman" w:eastAsia="Calibri" w:hAnsi="Times New Roman" w:cs="Times New Roman"/>
                <w:noProof/>
                <w:sz w:val="28"/>
                <w:szCs w:val="28"/>
                <w:lang w:val="ro-RO" w:eastAsia="ru-RU"/>
              </w:rPr>
              <w:t>, în mărime triplă, la stagiul</w:t>
            </w:r>
            <w:r w:rsidRPr="005B2F83">
              <w:rPr>
                <w:rFonts w:ascii="Times New Roman" w:eastAsia="Calibri" w:hAnsi="Times New Roman" w:cs="Times New Roman"/>
                <w:noProof/>
                <w:sz w:val="28"/>
                <w:szCs w:val="28"/>
                <w:lang w:val="ro-RO" w:eastAsia="ru-RU"/>
              </w:rPr>
              <w:t xml:space="preserve"> </w:t>
            </w:r>
            <w:r>
              <w:rPr>
                <w:rFonts w:ascii="Times New Roman" w:eastAsia="Calibri" w:hAnsi="Times New Roman" w:cs="Times New Roman"/>
                <w:noProof/>
                <w:sz w:val="28"/>
                <w:szCs w:val="28"/>
                <w:lang w:val="ro-RO" w:eastAsia="ru-RU"/>
              </w:rPr>
              <w:t xml:space="preserve">total </w:t>
            </w:r>
            <w:r w:rsidRPr="005B2F83">
              <w:rPr>
                <w:rFonts w:ascii="Times New Roman" w:eastAsia="Calibri" w:hAnsi="Times New Roman" w:cs="Times New Roman"/>
                <w:noProof/>
                <w:sz w:val="28"/>
                <w:szCs w:val="28"/>
                <w:lang w:val="ro-RO" w:eastAsia="ru-RU"/>
              </w:rPr>
              <w:t>de cotizare</w:t>
            </w:r>
            <w:r w:rsidRPr="00526EB9">
              <w:rPr>
                <w:rFonts w:ascii="Times New Roman" w:hAnsi="Times New Roman" w:cs="Times New Roman"/>
                <w:sz w:val="28"/>
                <w:szCs w:val="28"/>
                <w:lang w:val="ro-RO" w:eastAsia="ru-RU"/>
              </w:rPr>
              <w:t xml:space="preserve"> necesar acordării </w:t>
            </w:r>
            <w:r>
              <w:rPr>
                <w:rFonts w:ascii="Times New Roman" w:hAnsi="Times New Roman" w:cs="Times New Roman"/>
                <w:sz w:val="28"/>
                <w:szCs w:val="28"/>
                <w:lang w:val="ro-RO" w:eastAsia="ru-RU"/>
              </w:rPr>
              <w:t>dreptului la pensie în temeiul Legii nr. 156/1998</w:t>
            </w:r>
            <w:r>
              <w:t xml:space="preserve"> </w:t>
            </w:r>
            <w:r w:rsidRPr="00D31B66">
              <w:rPr>
                <w:rFonts w:ascii="Times New Roman" w:hAnsi="Times New Roman" w:cs="Times New Roman"/>
                <w:sz w:val="28"/>
                <w:szCs w:val="28"/>
                <w:lang w:val="ro-RO" w:eastAsia="ru-RU"/>
              </w:rPr>
              <w:t>privind sistemul public de pensii</w:t>
            </w:r>
            <w:r>
              <w:rPr>
                <w:rFonts w:ascii="Times New Roman" w:eastAsia="Calibri" w:hAnsi="Times New Roman" w:cs="Times New Roman"/>
                <w:noProof/>
                <w:sz w:val="28"/>
                <w:szCs w:val="28"/>
                <w:lang w:val="ro-RO" w:eastAsia="ru-RU"/>
              </w:rPr>
              <w:t>.</w:t>
            </w:r>
          </w:p>
          <w:p w:rsidR="00EB75C5" w:rsidRDefault="00EB75C5" w:rsidP="00C91F8C">
            <w:pPr>
              <w:spacing w:before="120" w:after="0" w:line="240" w:lineRule="auto"/>
              <w:jc w:val="both"/>
              <w:rPr>
                <w:rFonts w:ascii="Times New Roman" w:eastAsia="Calibri" w:hAnsi="Times New Roman" w:cs="Times New Roman"/>
                <w:noProof/>
                <w:sz w:val="28"/>
                <w:szCs w:val="28"/>
                <w:lang w:val="ro-RO" w:eastAsia="ru-RU"/>
              </w:rPr>
            </w:pPr>
            <w:r>
              <w:rPr>
                <w:rFonts w:ascii="Times New Roman" w:hAnsi="Times New Roman" w:cs="Times New Roman"/>
                <w:sz w:val="28"/>
                <w:szCs w:val="28"/>
                <w:lang w:val="ro-MD"/>
              </w:rPr>
              <w:t>Totodată, p</w:t>
            </w:r>
            <w:r w:rsidRPr="005B2F83">
              <w:rPr>
                <w:rFonts w:ascii="Times New Roman" w:hAnsi="Times New Roman" w:cs="Times New Roman"/>
                <w:sz w:val="28"/>
                <w:szCs w:val="28"/>
                <w:lang w:val="ro-MD"/>
              </w:rPr>
              <w:t>roiectul de Hotărâre de Guvern prevede</w:t>
            </w:r>
            <w:r>
              <w:rPr>
                <w:rFonts w:ascii="Times New Roman" w:hAnsi="Times New Roman" w:cs="Times New Roman"/>
                <w:sz w:val="28"/>
                <w:szCs w:val="28"/>
                <w:lang w:val="ro-MD"/>
              </w:rPr>
              <w:t xml:space="preserve"> </w:t>
            </w:r>
            <w:r w:rsidRPr="00DD4970">
              <w:rPr>
                <w:rFonts w:ascii="Times New Roman" w:hAnsi="Times New Roman" w:cs="Times New Roman"/>
                <w:sz w:val="28"/>
                <w:szCs w:val="28"/>
                <w:lang w:val="ro-MD"/>
              </w:rPr>
              <w:t>mecanismul pr</w:t>
            </w:r>
            <w:r>
              <w:rPr>
                <w:rFonts w:ascii="Times New Roman" w:hAnsi="Times New Roman" w:cs="Times New Roman"/>
                <w:sz w:val="28"/>
                <w:szCs w:val="28"/>
                <w:lang w:val="ro-MD"/>
              </w:rPr>
              <w:t xml:space="preserve">ivind modalitatea de confirmare a perioadei sus-menționate </w:t>
            </w:r>
            <w:r w:rsidRPr="00C90614">
              <w:rPr>
                <w:rFonts w:ascii="Times New Roman" w:hAnsi="Times New Roman" w:cs="Times New Roman"/>
                <w:sz w:val="28"/>
                <w:szCs w:val="28"/>
                <w:lang w:val="ro-MD"/>
              </w:rPr>
              <w:t xml:space="preserve">prin certificatul eliberat de organele corespunzătoare, care atestă drepturile participanţilor la acţiunile de luptă și confirmă faptul că persoana a fost </w:t>
            </w:r>
            <w:r w:rsidRPr="00B14DC0">
              <w:rPr>
                <w:rFonts w:ascii="Times New Roman" w:hAnsi="Times New Roman" w:cs="Times New Roman"/>
                <w:sz w:val="28"/>
                <w:szCs w:val="28"/>
                <w:lang w:val="ro-MD"/>
              </w:rPr>
              <w:t xml:space="preserve">participantă </w:t>
            </w:r>
            <w:r w:rsidRPr="00C90614">
              <w:rPr>
                <w:rFonts w:ascii="Times New Roman" w:hAnsi="Times New Roman" w:cs="Times New Roman"/>
                <w:sz w:val="28"/>
                <w:szCs w:val="28"/>
                <w:lang w:val="ro-MD"/>
              </w:rPr>
              <w:t>la acţiunile de luptă în timp de pace sau la acţiunile de luptă pentru apărarea integrităţii teritoriale şi independenţei Republicii Moldova.</w:t>
            </w:r>
          </w:p>
          <w:p w:rsidR="00EB75C5" w:rsidRDefault="00EB75C5" w:rsidP="00C91F8C">
            <w:pPr>
              <w:spacing w:before="120" w:after="0" w:line="240" w:lineRule="auto"/>
              <w:jc w:val="both"/>
              <w:rPr>
                <w:rFonts w:ascii="Times New Roman" w:hAnsi="Times New Roman" w:cs="Times New Roman"/>
                <w:sz w:val="28"/>
                <w:szCs w:val="28"/>
                <w:lang w:val="ro-MD"/>
              </w:rPr>
            </w:pPr>
            <w:r>
              <w:rPr>
                <w:rFonts w:ascii="Times New Roman" w:eastAsia="Calibri" w:hAnsi="Times New Roman" w:cs="Times New Roman"/>
                <w:noProof/>
                <w:sz w:val="28"/>
                <w:szCs w:val="28"/>
                <w:lang w:val="ro-RO" w:eastAsia="ru-RU"/>
              </w:rPr>
              <w:t xml:space="preserve">Este de menționat că </w:t>
            </w:r>
            <w:r>
              <w:rPr>
                <w:rFonts w:ascii="Times New Roman" w:hAnsi="Times New Roman" w:cs="Times New Roman"/>
                <w:sz w:val="28"/>
                <w:szCs w:val="28"/>
                <w:lang w:val="ro-MD"/>
              </w:rPr>
              <w:t>p</w:t>
            </w:r>
            <w:r w:rsidRPr="00526EB9">
              <w:rPr>
                <w:rFonts w:ascii="Times New Roman" w:hAnsi="Times New Roman" w:cs="Times New Roman"/>
                <w:sz w:val="28"/>
                <w:szCs w:val="28"/>
                <w:lang w:val="ro-MD"/>
              </w:rPr>
              <w:t xml:space="preserve">articiparea la acțiunile de luptă pentru apărarea integrității teritoriale și a independenței Republicii Moldova în perioada 2 martie – 13 august 1992 se </w:t>
            </w:r>
            <w:r>
              <w:rPr>
                <w:rFonts w:ascii="Times New Roman" w:hAnsi="Times New Roman" w:cs="Times New Roman"/>
                <w:sz w:val="28"/>
                <w:szCs w:val="28"/>
                <w:lang w:val="ro-MD"/>
              </w:rPr>
              <w:t xml:space="preserve">asimilează </w:t>
            </w:r>
            <w:r w:rsidRPr="00526EB9">
              <w:rPr>
                <w:rFonts w:ascii="Times New Roman" w:hAnsi="Times New Roman" w:cs="Times New Roman"/>
                <w:sz w:val="28"/>
                <w:szCs w:val="28"/>
                <w:lang w:val="ro-MD"/>
              </w:rPr>
              <w:t xml:space="preserve">ca perioadă necontributivă la </w:t>
            </w:r>
            <w:r w:rsidRPr="00526EB9">
              <w:rPr>
                <w:rFonts w:ascii="Times New Roman" w:hAnsi="Times New Roman" w:cs="Times New Roman"/>
                <w:sz w:val="28"/>
                <w:szCs w:val="28"/>
                <w:lang w:val="ro-RO" w:eastAsia="ru-RU"/>
              </w:rPr>
              <w:t xml:space="preserve">stagiului </w:t>
            </w:r>
            <w:r>
              <w:rPr>
                <w:rFonts w:ascii="Times New Roman" w:hAnsi="Times New Roman" w:cs="Times New Roman"/>
                <w:sz w:val="28"/>
                <w:szCs w:val="28"/>
                <w:lang w:val="ro-RO" w:eastAsia="ru-RU"/>
              </w:rPr>
              <w:t xml:space="preserve">total </w:t>
            </w:r>
            <w:r w:rsidRPr="00526EB9">
              <w:rPr>
                <w:rFonts w:ascii="Times New Roman" w:hAnsi="Times New Roman" w:cs="Times New Roman"/>
                <w:sz w:val="28"/>
                <w:szCs w:val="28"/>
                <w:lang w:val="ro-RO" w:eastAsia="ru-RU"/>
              </w:rPr>
              <w:t>de cotizare</w:t>
            </w:r>
            <w:r>
              <w:t xml:space="preserve"> </w:t>
            </w:r>
            <w:r w:rsidRPr="00526EB9">
              <w:rPr>
                <w:rFonts w:ascii="Times New Roman" w:hAnsi="Times New Roman" w:cs="Times New Roman"/>
                <w:sz w:val="28"/>
                <w:szCs w:val="28"/>
                <w:lang w:val="ro-RO" w:eastAsia="ru-RU"/>
              </w:rPr>
              <w:t>necesar acordării pensiei</w:t>
            </w:r>
            <w:r>
              <w:rPr>
                <w:rFonts w:ascii="Times New Roman" w:hAnsi="Times New Roman" w:cs="Times New Roman"/>
                <w:sz w:val="28"/>
                <w:szCs w:val="28"/>
                <w:lang w:val="ro-RO" w:eastAsia="ru-RU"/>
              </w:rPr>
              <w:t xml:space="preserve"> în temeiul Legii nr. 156/1998</w:t>
            </w:r>
            <w:r w:rsidRPr="00526EB9">
              <w:rPr>
                <w:rFonts w:ascii="Times New Roman" w:hAnsi="Times New Roman" w:cs="Times New Roman"/>
                <w:sz w:val="28"/>
                <w:szCs w:val="28"/>
                <w:lang w:val="ro-RO" w:eastAsia="ru-RU"/>
              </w:rPr>
              <w:t xml:space="preserve"> </w:t>
            </w:r>
            <w:r w:rsidRPr="00526EB9">
              <w:rPr>
                <w:rFonts w:ascii="Times New Roman" w:hAnsi="Times New Roman" w:cs="Times New Roman"/>
                <w:sz w:val="28"/>
                <w:szCs w:val="28"/>
                <w:lang w:val="ro-MD"/>
              </w:rPr>
              <w:t>începând cu 22 martie 2022.</w:t>
            </w:r>
          </w:p>
          <w:p w:rsidR="00AD06D7" w:rsidRPr="00B14DC0" w:rsidRDefault="00AD06D7" w:rsidP="00C91F8C">
            <w:pPr>
              <w:spacing w:before="120" w:after="0" w:line="240" w:lineRule="auto"/>
              <w:jc w:val="both"/>
              <w:rPr>
                <w:rFonts w:ascii="Times New Roman" w:eastAsia="Calibri" w:hAnsi="Times New Roman" w:cs="Times New Roman"/>
                <w:noProof/>
                <w:sz w:val="28"/>
                <w:szCs w:val="28"/>
                <w:lang w:val="ro-RO" w:eastAsia="ru-RU"/>
              </w:rPr>
            </w:pPr>
          </w:p>
        </w:tc>
      </w:tr>
      <w:tr w:rsidR="00EB75C5" w:rsidRPr="005B2F83" w:rsidTr="00C91F8C">
        <w:tc>
          <w:tcPr>
            <w:tcW w:w="10166" w:type="dxa"/>
            <w:tcBorders>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B75C5" w:rsidRPr="005B2F83" w:rsidRDefault="00EB75C5" w:rsidP="00C91F8C">
            <w:pPr>
              <w:pStyle w:val="Standard"/>
              <w:spacing w:after="0" w:line="240" w:lineRule="auto"/>
              <w:jc w:val="both"/>
              <w:rPr>
                <w:rFonts w:ascii="Times New Roman" w:hAnsi="Times New Roman"/>
                <w:b/>
                <w:bCs/>
                <w:sz w:val="28"/>
                <w:szCs w:val="28"/>
              </w:rPr>
            </w:pPr>
            <w:r>
              <w:rPr>
                <w:rFonts w:ascii="Times New Roman" w:hAnsi="Times New Roman"/>
                <w:b/>
                <w:bCs/>
                <w:sz w:val="28"/>
                <w:szCs w:val="28"/>
              </w:rPr>
              <w:t xml:space="preserve">5. </w:t>
            </w:r>
            <w:r w:rsidRPr="005B2F83">
              <w:rPr>
                <w:rFonts w:ascii="Times New Roman" w:hAnsi="Times New Roman"/>
                <w:b/>
                <w:bCs/>
                <w:sz w:val="28"/>
                <w:szCs w:val="28"/>
              </w:rPr>
              <w:t>Fundamentarea economico-financiară</w:t>
            </w: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6D7" w:rsidRPr="008A010E" w:rsidRDefault="008A010E" w:rsidP="00B97C78">
            <w:pPr>
              <w:pStyle w:val="4"/>
              <w:shd w:val="clear" w:color="auto" w:fill="FFFFFF"/>
              <w:spacing w:before="165" w:beforeAutospacing="0" w:after="165" w:afterAutospacing="0"/>
              <w:jc w:val="both"/>
              <w:rPr>
                <w:b w:val="0"/>
                <w:bCs w:val="0"/>
                <w:sz w:val="28"/>
                <w:szCs w:val="28"/>
                <w:lang w:val="ro-RO"/>
              </w:rPr>
            </w:pPr>
            <w:r w:rsidRPr="008A010E">
              <w:rPr>
                <w:b w:val="0"/>
                <w:spacing w:val="-1"/>
                <w:sz w:val="28"/>
                <w:szCs w:val="28"/>
              </w:rPr>
              <w:lastRenderedPageBreak/>
              <w:t>M</w:t>
            </w:r>
            <w:r>
              <w:rPr>
                <w:b w:val="0"/>
                <w:spacing w:val="-1"/>
                <w:sz w:val="28"/>
                <w:szCs w:val="28"/>
              </w:rPr>
              <w:t>ijloacele</w:t>
            </w:r>
            <w:r w:rsidR="00647BA1" w:rsidRPr="008A010E">
              <w:rPr>
                <w:b w:val="0"/>
                <w:spacing w:val="-1"/>
                <w:sz w:val="28"/>
                <w:szCs w:val="28"/>
              </w:rPr>
              <w:t xml:space="preserve"> financiare necesare</w:t>
            </w:r>
            <w:r w:rsidR="00647BA1" w:rsidRPr="008A010E">
              <w:rPr>
                <w:b w:val="0"/>
                <w:bCs w:val="0"/>
                <w:sz w:val="28"/>
                <w:szCs w:val="28"/>
                <w:lang w:val="ro-RO"/>
              </w:rPr>
              <w:t xml:space="preserve"> pentru implementarea </w:t>
            </w:r>
            <w:r w:rsidR="00647BA1" w:rsidRPr="008A010E">
              <w:rPr>
                <w:b w:val="0"/>
                <w:color w:val="000000"/>
                <w:sz w:val="28"/>
                <w:szCs w:val="28"/>
              </w:rPr>
              <w:t xml:space="preserve">prezentului proiect de hotărâre sunt estimate </w:t>
            </w:r>
            <w:r w:rsidRPr="008A010E">
              <w:rPr>
                <w:b w:val="0"/>
                <w:color w:val="000000"/>
                <w:sz w:val="28"/>
                <w:szCs w:val="28"/>
              </w:rPr>
              <w:t xml:space="preserve">la art. </w:t>
            </w:r>
            <w:r w:rsidR="00B97C78">
              <w:rPr>
                <w:b w:val="0"/>
                <w:color w:val="000000"/>
                <w:sz w:val="28"/>
                <w:szCs w:val="28"/>
              </w:rPr>
              <w:t>II</w:t>
            </w:r>
            <w:r w:rsidRPr="008A010E">
              <w:rPr>
                <w:b w:val="0"/>
                <w:color w:val="000000"/>
                <w:sz w:val="28"/>
                <w:szCs w:val="28"/>
              </w:rPr>
              <w:t xml:space="preserve">I al </w:t>
            </w:r>
            <w:r w:rsidR="00647BA1" w:rsidRPr="008A010E">
              <w:rPr>
                <w:b w:val="0"/>
                <w:sz w:val="28"/>
                <w:szCs w:val="28"/>
                <w:lang w:val="ro-RO"/>
              </w:rPr>
              <w:t>Avizului asupra proiect</w:t>
            </w:r>
            <w:r w:rsidR="00647BA1" w:rsidRPr="008A010E">
              <w:rPr>
                <w:b w:val="0"/>
                <w:bCs w:val="0"/>
                <w:sz w:val="28"/>
                <w:szCs w:val="28"/>
                <w:lang w:val="ro-RO"/>
              </w:rPr>
              <w:t xml:space="preserve">ului de lege privind susținerea </w:t>
            </w:r>
            <w:r w:rsidR="00647BA1" w:rsidRPr="008A010E">
              <w:rPr>
                <w:b w:val="0"/>
                <w:sz w:val="28"/>
                <w:szCs w:val="28"/>
                <w:lang w:val="ro-RO"/>
              </w:rPr>
              <w:t>participanților la acț</w:t>
            </w:r>
            <w:r w:rsidR="00647BA1" w:rsidRPr="008A010E">
              <w:rPr>
                <w:b w:val="0"/>
                <w:bCs w:val="0"/>
                <w:sz w:val="28"/>
                <w:szCs w:val="28"/>
                <w:lang w:val="ro-RO"/>
              </w:rPr>
              <w:t xml:space="preserve">iunile de luptă pentru apărarea </w:t>
            </w:r>
            <w:r w:rsidR="00647BA1" w:rsidRPr="008A010E">
              <w:rPr>
                <w:b w:val="0"/>
                <w:sz w:val="28"/>
                <w:szCs w:val="28"/>
                <w:lang w:val="ro-RO"/>
              </w:rPr>
              <w:t>integrității teritoriale și i</w:t>
            </w:r>
            <w:r w:rsidR="00647BA1" w:rsidRPr="008A010E">
              <w:rPr>
                <w:b w:val="0"/>
                <w:bCs w:val="0"/>
                <w:sz w:val="28"/>
                <w:szCs w:val="28"/>
                <w:lang w:val="ro-RO"/>
              </w:rPr>
              <w:t xml:space="preserve">ndependenței Republicii Moldova </w:t>
            </w:r>
            <w:r w:rsidR="00647BA1" w:rsidRPr="008A010E">
              <w:rPr>
                <w:b w:val="0"/>
                <w:sz w:val="28"/>
                <w:szCs w:val="28"/>
                <w:lang w:val="ro-RO"/>
              </w:rPr>
              <w:t>și a membrilor familiilor</w:t>
            </w:r>
            <w:r w:rsidR="00647BA1" w:rsidRPr="008A010E">
              <w:rPr>
                <w:b w:val="0"/>
                <w:bCs w:val="0"/>
                <w:sz w:val="28"/>
                <w:szCs w:val="28"/>
                <w:lang w:val="ro-RO"/>
              </w:rPr>
              <w:t xml:space="preserve"> lor în contextul comemorării a </w:t>
            </w:r>
            <w:r w:rsidR="00647BA1" w:rsidRPr="008A010E">
              <w:rPr>
                <w:b w:val="0"/>
                <w:sz w:val="28"/>
                <w:szCs w:val="28"/>
                <w:lang w:val="ro-RO"/>
              </w:rPr>
              <w:t xml:space="preserve">30 de ani de la războiul de </w:t>
            </w:r>
            <w:r w:rsidR="00647BA1" w:rsidRPr="008A010E">
              <w:rPr>
                <w:b w:val="0"/>
                <w:bCs w:val="0"/>
                <w:sz w:val="28"/>
                <w:szCs w:val="28"/>
                <w:lang w:val="ro-RO"/>
              </w:rPr>
              <w:t xml:space="preserve">pe Nistru și pentru modificarea </w:t>
            </w:r>
            <w:r w:rsidR="00647BA1" w:rsidRPr="008A010E">
              <w:rPr>
                <w:b w:val="0"/>
                <w:sz w:val="28"/>
                <w:szCs w:val="28"/>
                <w:lang w:val="ro-RO"/>
              </w:rPr>
              <w:t>unor acte normative</w:t>
            </w:r>
            <w:r w:rsidR="00647BA1" w:rsidRPr="008A010E">
              <w:rPr>
                <w:b w:val="0"/>
                <w:bCs w:val="0"/>
                <w:sz w:val="28"/>
                <w:szCs w:val="28"/>
                <w:lang w:val="ro-RO"/>
              </w:rPr>
              <w:t>, aprobat prin Hotărârea Guvernului nr. 123/2022</w:t>
            </w:r>
            <w:r w:rsidRPr="008A010E">
              <w:rPr>
                <w:b w:val="0"/>
                <w:bCs w:val="0"/>
                <w:sz w:val="28"/>
                <w:szCs w:val="28"/>
                <w:lang w:val="ro-RO"/>
              </w:rPr>
              <w:t xml:space="preserve">, în sumă </w:t>
            </w:r>
            <w:r w:rsidR="00647BA1" w:rsidRPr="008A010E">
              <w:rPr>
                <w:b w:val="0"/>
                <w:color w:val="000000"/>
                <w:sz w:val="28"/>
                <w:szCs w:val="28"/>
              </w:rPr>
              <w:t>de 1 200 000 de lei din bugetul de stat.</w:t>
            </w: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B75C5" w:rsidRPr="005B2F83" w:rsidRDefault="00EB75C5" w:rsidP="00C91F8C">
            <w:pPr>
              <w:pStyle w:val="Standard"/>
              <w:spacing w:after="0" w:line="240" w:lineRule="auto"/>
              <w:jc w:val="both"/>
              <w:rPr>
                <w:rFonts w:ascii="Times New Roman" w:hAnsi="Times New Roman"/>
                <w:b/>
                <w:sz w:val="28"/>
                <w:szCs w:val="28"/>
              </w:rPr>
            </w:pPr>
            <w:r>
              <w:rPr>
                <w:rFonts w:ascii="Times New Roman" w:hAnsi="Times New Roman"/>
                <w:b/>
                <w:sz w:val="28"/>
                <w:szCs w:val="28"/>
              </w:rPr>
              <w:t xml:space="preserve">6. </w:t>
            </w:r>
            <w:r w:rsidRPr="005B2F83">
              <w:rPr>
                <w:rFonts w:ascii="Times New Roman" w:hAnsi="Times New Roman"/>
                <w:b/>
                <w:sz w:val="28"/>
                <w:szCs w:val="28"/>
              </w:rPr>
              <w:t>Modul de încorporare a actului în cadrul normativ în vigoare</w:t>
            </w: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5C5" w:rsidRDefault="00EB75C5" w:rsidP="00C91F8C">
            <w:pPr>
              <w:pStyle w:val="Standard"/>
              <w:spacing w:after="0" w:line="240" w:lineRule="auto"/>
              <w:jc w:val="both"/>
              <w:rPr>
                <w:rFonts w:ascii="Times New Roman" w:hAnsi="Times New Roman"/>
                <w:sz w:val="28"/>
                <w:szCs w:val="28"/>
              </w:rPr>
            </w:pPr>
            <w:r w:rsidRPr="005B2F83">
              <w:rPr>
                <w:rFonts w:ascii="Times New Roman" w:hAnsi="Times New Roman"/>
                <w:sz w:val="28"/>
                <w:szCs w:val="28"/>
              </w:rPr>
              <w:t>Aprobarea proiectului respectiv de Hotărâre nu implică operarea anumitor modificări și completări în actele normative în vigoare din domeniu.</w:t>
            </w:r>
          </w:p>
          <w:p w:rsidR="00AD06D7" w:rsidRPr="005B2F83" w:rsidRDefault="00AD06D7" w:rsidP="00C91F8C">
            <w:pPr>
              <w:pStyle w:val="Standard"/>
              <w:spacing w:after="0" w:line="240" w:lineRule="auto"/>
              <w:jc w:val="both"/>
              <w:rPr>
                <w:rFonts w:ascii="Times New Roman" w:hAnsi="Times New Roman"/>
                <w:sz w:val="28"/>
                <w:szCs w:val="28"/>
              </w:rPr>
            </w:pP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B75C5" w:rsidRPr="005B2F83" w:rsidRDefault="00EB75C5" w:rsidP="00C91F8C">
            <w:pPr>
              <w:pStyle w:val="Standard"/>
              <w:spacing w:after="0" w:line="240" w:lineRule="auto"/>
              <w:jc w:val="both"/>
              <w:rPr>
                <w:rFonts w:ascii="Times New Roman" w:hAnsi="Times New Roman"/>
                <w:b/>
                <w:sz w:val="28"/>
                <w:szCs w:val="28"/>
              </w:rPr>
            </w:pPr>
            <w:r>
              <w:rPr>
                <w:rFonts w:ascii="Times New Roman" w:hAnsi="Times New Roman"/>
                <w:b/>
                <w:sz w:val="28"/>
                <w:szCs w:val="28"/>
              </w:rPr>
              <w:t>7. Avizarea și c</w:t>
            </w:r>
            <w:r w:rsidRPr="005B2F83">
              <w:rPr>
                <w:rFonts w:ascii="Times New Roman" w:hAnsi="Times New Roman"/>
                <w:b/>
                <w:sz w:val="28"/>
                <w:szCs w:val="28"/>
              </w:rPr>
              <w:t>onsultarea publică a proiectului</w:t>
            </w: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5C5" w:rsidRDefault="00EB75C5" w:rsidP="00AD06D7">
            <w:pPr>
              <w:pStyle w:val="Standard"/>
              <w:spacing w:before="120" w:after="0" w:line="240" w:lineRule="auto"/>
              <w:jc w:val="both"/>
              <w:rPr>
                <w:rFonts w:ascii="Times New Roman" w:hAnsi="Times New Roman"/>
                <w:i/>
                <w:sz w:val="28"/>
                <w:szCs w:val="28"/>
              </w:rPr>
            </w:pPr>
            <w:r w:rsidRPr="005B2F83">
              <w:rPr>
                <w:rFonts w:ascii="Times New Roman" w:hAnsi="Times New Roman"/>
                <w:sz w:val="28"/>
                <w:szCs w:val="28"/>
                <w:lang w:val="ro-MD"/>
              </w:rPr>
              <w:t>În scopul respectării prevederilor</w:t>
            </w:r>
            <w:r>
              <w:rPr>
                <w:rFonts w:ascii="Times New Roman" w:hAnsi="Times New Roman"/>
                <w:sz w:val="28"/>
                <w:szCs w:val="28"/>
                <w:lang w:val="ro-MD"/>
              </w:rPr>
              <w:t xml:space="preserve"> Legii nr. 239/</w:t>
            </w:r>
            <w:r w:rsidRPr="005B2F83">
              <w:rPr>
                <w:rFonts w:ascii="Times New Roman" w:hAnsi="Times New Roman"/>
                <w:sz w:val="28"/>
                <w:szCs w:val="28"/>
                <w:lang w:val="ro-MD"/>
              </w:rPr>
              <w:t>2008 privind transparenţa în procesul decizional</w:t>
            </w:r>
            <w:r w:rsidRPr="005B2F83">
              <w:rPr>
                <w:rFonts w:ascii="Times New Roman" w:hAnsi="Times New Roman"/>
                <w:sz w:val="28"/>
                <w:szCs w:val="28"/>
              </w:rPr>
              <w:t xml:space="preserve">, proiectul Hotărârii de Guvern a fost plasat pe pagina web oficială a Ministerului Muncii și Protecției Sociale </w:t>
            </w:r>
            <w:r>
              <w:rPr>
                <w:rFonts w:ascii="Times New Roman" w:hAnsi="Times New Roman"/>
                <w:sz w:val="28"/>
                <w:szCs w:val="28"/>
                <w:u w:val="single"/>
              </w:rPr>
              <w:t>www.social</w:t>
            </w:r>
            <w:r w:rsidRPr="005B2F83">
              <w:rPr>
                <w:rFonts w:ascii="Times New Roman" w:hAnsi="Times New Roman"/>
                <w:sz w:val="28"/>
                <w:szCs w:val="28"/>
                <w:u w:val="single"/>
              </w:rPr>
              <w:t>.gov.md</w:t>
            </w:r>
            <w:r w:rsidRPr="005B2F83">
              <w:rPr>
                <w:rFonts w:ascii="Times New Roman" w:hAnsi="Times New Roman"/>
                <w:sz w:val="28"/>
                <w:szCs w:val="28"/>
              </w:rPr>
              <w:t xml:space="preserve">, la compartimentul </w:t>
            </w:r>
            <w:r w:rsidRPr="005B2F83">
              <w:rPr>
                <w:rFonts w:ascii="Times New Roman" w:hAnsi="Times New Roman"/>
                <w:i/>
                <w:sz w:val="28"/>
                <w:szCs w:val="28"/>
              </w:rPr>
              <w:t>Transparența decizional</w:t>
            </w:r>
            <w:r>
              <w:rPr>
                <w:rFonts w:ascii="Times New Roman" w:hAnsi="Times New Roman"/>
                <w:i/>
                <w:sz w:val="28"/>
                <w:szCs w:val="28"/>
              </w:rPr>
              <w:t>ă.</w:t>
            </w:r>
          </w:p>
          <w:p w:rsidR="00EB75C5" w:rsidRPr="00DB7350" w:rsidRDefault="00EB75C5" w:rsidP="00AD06D7">
            <w:pPr>
              <w:pStyle w:val="Standard"/>
              <w:spacing w:before="120" w:after="0" w:line="240" w:lineRule="auto"/>
              <w:jc w:val="both"/>
              <w:rPr>
                <w:rFonts w:ascii="Times New Roman" w:hAnsi="Times New Roman"/>
                <w:sz w:val="28"/>
                <w:szCs w:val="28"/>
              </w:rPr>
            </w:pPr>
            <w:r w:rsidRPr="00DB7350">
              <w:rPr>
                <w:rFonts w:ascii="Times New Roman" w:hAnsi="Times New Roman"/>
                <w:sz w:val="28"/>
                <w:szCs w:val="28"/>
              </w:rPr>
              <w:t>În conformitate cu prevederile Regulamentului Guvernului, aprobat prin Hotărârea</w:t>
            </w:r>
            <w:r>
              <w:rPr>
                <w:rFonts w:ascii="Times New Roman" w:hAnsi="Times New Roman"/>
                <w:sz w:val="28"/>
                <w:szCs w:val="28"/>
              </w:rPr>
              <w:t xml:space="preserve"> </w:t>
            </w:r>
            <w:r w:rsidRPr="00DB7350">
              <w:rPr>
                <w:rFonts w:ascii="Times New Roman" w:hAnsi="Times New Roman"/>
                <w:sz w:val="28"/>
                <w:szCs w:val="28"/>
              </w:rPr>
              <w:t>Guvernului nr.</w:t>
            </w:r>
            <w:r>
              <w:rPr>
                <w:rFonts w:ascii="Times New Roman" w:hAnsi="Times New Roman"/>
                <w:sz w:val="28"/>
                <w:szCs w:val="28"/>
              </w:rPr>
              <w:t xml:space="preserve"> </w:t>
            </w:r>
            <w:r w:rsidRPr="00DB7350">
              <w:rPr>
                <w:rFonts w:ascii="Times New Roman" w:hAnsi="Times New Roman"/>
                <w:sz w:val="28"/>
                <w:szCs w:val="28"/>
              </w:rPr>
              <w:t>610/2018, prezentul proiect urmează a fi remis Cancelariei de Stat pentru</w:t>
            </w:r>
          </w:p>
          <w:p w:rsidR="00EB75C5" w:rsidRDefault="00EB75C5" w:rsidP="00C91F8C">
            <w:pPr>
              <w:pStyle w:val="Standard"/>
              <w:spacing w:after="0" w:line="240" w:lineRule="auto"/>
              <w:jc w:val="both"/>
              <w:rPr>
                <w:rFonts w:ascii="Times New Roman" w:hAnsi="Times New Roman"/>
                <w:sz w:val="28"/>
                <w:szCs w:val="28"/>
              </w:rPr>
            </w:pPr>
            <w:r w:rsidRPr="00DB7350">
              <w:rPr>
                <w:rFonts w:ascii="Times New Roman" w:hAnsi="Times New Roman"/>
                <w:sz w:val="28"/>
                <w:szCs w:val="28"/>
              </w:rPr>
              <w:t>înregistrare.</w:t>
            </w:r>
          </w:p>
          <w:p w:rsidR="00AD06D7" w:rsidRPr="005B2F83" w:rsidRDefault="00AD06D7" w:rsidP="00C91F8C">
            <w:pPr>
              <w:pStyle w:val="Standard"/>
              <w:spacing w:after="0" w:line="240" w:lineRule="auto"/>
              <w:jc w:val="both"/>
              <w:rPr>
                <w:rFonts w:ascii="Times New Roman" w:hAnsi="Times New Roman"/>
                <w:b/>
                <w:sz w:val="28"/>
                <w:szCs w:val="28"/>
              </w:rPr>
            </w:pP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B75C5" w:rsidRPr="00DB7350" w:rsidRDefault="00EB75C5" w:rsidP="00C91F8C">
            <w:pPr>
              <w:pStyle w:val="Standard"/>
              <w:tabs>
                <w:tab w:val="left" w:pos="9015"/>
              </w:tabs>
              <w:spacing w:after="0" w:line="240" w:lineRule="auto"/>
              <w:jc w:val="both"/>
              <w:rPr>
                <w:rFonts w:ascii="Times New Roman" w:hAnsi="Times New Roman"/>
                <w:b/>
                <w:sz w:val="28"/>
                <w:szCs w:val="28"/>
                <w:lang w:val="ro-MD"/>
              </w:rPr>
            </w:pPr>
            <w:r w:rsidRPr="00AD6DEE">
              <w:rPr>
                <w:rFonts w:ascii="Times New Roman" w:hAnsi="Times New Roman"/>
                <w:b/>
                <w:sz w:val="28"/>
                <w:szCs w:val="28"/>
                <w:lang w:val="ro-MD"/>
              </w:rPr>
              <w:t>8. Constatările expertizei anticorupție</w:t>
            </w:r>
            <w:r>
              <w:rPr>
                <w:rFonts w:ascii="Times New Roman" w:hAnsi="Times New Roman"/>
                <w:b/>
                <w:sz w:val="28"/>
                <w:szCs w:val="28"/>
                <w:lang w:val="ro-MD"/>
              </w:rPr>
              <w:tab/>
            </w: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5C5" w:rsidRDefault="00EB75C5" w:rsidP="00C91F8C">
            <w:pPr>
              <w:pStyle w:val="Standard"/>
              <w:spacing w:after="0" w:line="240" w:lineRule="auto"/>
              <w:jc w:val="both"/>
              <w:rPr>
                <w:rFonts w:ascii="Times New Roman" w:hAnsi="Times New Roman"/>
                <w:sz w:val="28"/>
                <w:szCs w:val="28"/>
              </w:rPr>
            </w:pPr>
            <w:r w:rsidRPr="00DB7350">
              <w:rPr>
                <w:rFonts w:ascii="Times New Roman" w:hAnsi="Times New Roman"/>
                <w:sz w:val="28"/>
                <w:szCs w:val="28"/>
              </w:rPr>
              <w:t>Informația privind rezultatele expertizei anticorupție va fi inclusă după recepționarea raportului de expertiză anticorupție în sinteza obiecțiilor și propunerilor/recomandărilor la proiectul de hotărâre.</w:t>
            </w:r>
          </w:p>
          <w:p w:rsidR="00AD06D7" w:rsidRPr="00DB7350" w:rsidRDefault="00AD06D7" w:rsidP="00C91F8C">
            <w:pPr>
              <w:pStyle w:val="Standard"/>
              <w:spacing w:after="0" w:line="240" w:lineRule="auto"/>
              <w:jc w:val="both"/>
              <w:rPr>
                <w:rFonts w:ascii="Times New Roman" w:hAnsi="Times New Roman"/>
                <w:b/>
                <w:sz w:val="28"/>
                <w:szCs w:val="28"/>
                <w:lang w:val="ro-MD"/>
              </w:rPr>
            </w:pP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B75C5" w:rsidRPr="00AD6DEE" w:rsidRDefault="00EB75C5" w:rsidP="00C91F8C">
            <w:pPr>
              <w:pStyle w:val="Standard"/>
              <w:spacing w:after="0" w:line="240" w:lineRule="auto"/>
              <w:jc w:val="both"/>
              <w:rPr>
                <w:rFonts w:ascii="Times New Roman" w:hAnsi="Times New Roman"/>
                <w:b/>
                <w:sz w:val="28"/>
                <w:szCs w:val="28"/>
              </w:rPr>
            </w:pPr>
            <w:r w:rsidRPr="00AD6DEE">
              <w:rPr>
                <w:rFonts w:ascii="Times New Roman" w:hAnsi="Times New Roman"/>
                <w:b/>
                <w:sz w:val="28"/>
                <w:szCs w:val="28"/>
              </w:rPr>
              <w:t>9. Constatările expertizei de compatibilitate</w:t>
            </w: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5C5" w:rsidRDefault="00EB75C5" w:rsidP="00C91F8C">
            <w:pPr>
              <w:pStyle w:val="Standard"/>
              <w:spacing w:after="0" w:line="240" w:lineRule="auto"/>
              <w:jc w:val="both"/>
              <w:rPr>
                <w:rFonts w:ascii="Times New Roman" w:hAnsi="Times New Roman"/>
                <w:sz w:val="28"/>
                <w:szCs w:val="28"/>
              </w:rPr>
            </w:pPr>
            <w:r w:rsidRPr="00DB7350">
              <w:rPr>
                <w:rFonts w:ascii="Times New Roman" w:hAnsi="Times New Roman"/>
                <w:sz w:val="28"/>
                <w:szCs w:val="28"/>
              </w:rPr>
              <w:t>Proiectul de hotărâre nu conține norme privind armonizarea legislației naționale cu legislația Uniunii Europene.</w:t>
            </w:r>
          </w:p>
          <w:p w:rsidR="00AD06D7" w:rsidRPr="00DB7350" w:rsidRDefault="00AD06D7" w:rsidP="00C91F8C">
            <w:pPr>
              <w:pStyle w:val="Standard"/>
              <w:spacing w:after="0" w:line="240" w:lineRule="auto"/>
              <w:jc w:val="both"/>
              <w:rPr>
                <w:rFonts w:ascii="Times New Roman" w:hAnsi="Times New Roman"/>
                <w:sz w:val="28"/>
                <w:szCs w:val="28"/>
              </w:rPr>
            </w:pP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B75C5" w:rsidRPr="00AD6DEE" w:rsidRDefault="00EB75C5" w:rsidP="00C91F8C">
            <w:pPr>
              <w:pStyle w:val="Standard"/>
              <w:spacing w:after="0" w:line="240" w:lineRule="auto"/>
              <w:jc w:val="both"/>
              <w:rPr>
                <w:rFonts w:ascii="Times New Roman" w:hAnsi="Times New Roman"/>
                <w:b/>
                <w:sz w:val="28"/>
                <w:szCs w:val="28"/>
              </w:rPr>
            </w:pPr>
            <w:r w:rsidRPr="00AD6DEE">
              <w:rPr>
                <w:rFonts w:ascii="Times New Roman" w:hAnsi="Times New Roman"/>
                <w:b/>
                <w:sz w:val="28"/>
                <w:szCs w:val="28"/>
              </w:rPr>
              <w:t>10. Constatările expertizei juridice</w:t>
            </w: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5C5" w:rsidRDefault="00EB75C5" w:rsidP="00C91F8C">
            <w:pPr>
              <w:pStyle w:val="Standard"/>
              <w:spacing w:after="0" w:line="240" w:lineRule="auto"/>
              <w:jc w:val="both"/>
              <w:rPr>
                <w:rFonts w:ascii="Times New Roman" w:hAnsi="Times New Roman"/>
                <w:sz w:val="28"/>
                <w:szCs w:val="28"/>
              </w:rPr>
            </w:pPr>
            <w:r w:rsidRPr="00DB7350">
              <w:rPr>
                <w:rFonts w:ascii="Times New Roman" w:hAnsi="Times New Roman"/>
                <w:sz w:val="28"/>
                <w:szCs w:val="28"/>
              </w:rPr>
              <w:t>Informația referitoare la concluziile expertizei juridice privind compatibilitatea proiectului de hotărâre cu alte acte normative în vigoare, precum şi respectarea normelor de tehnică legislativă va fi inclusă în sinteza obiecțiilor şi propunerilor/recomandărilor după recepționarea raportului de expertiză juridică.</w:t>
            </w:r>
          </w:p>
          <w:p w:rsidR="00AD06D7" w:rsidRPr="00DB7350" w:rsidRDefault="00AD06D7" w:rsidP="00C91F8C">
            <w:pPr>
              <w:pStyle w:val="Standard"/>
              <w:spacing w:after="0" w:line="240" w:lineRule="auto"/>
              <w:jc w:val="both"/>
              <w:rPr>
                <w:rFonts w:ascii="Times New Roman" w:hAnsi="Times New Roman"/>
                <w:sz w:val="28"/>
                <w:szCs w:val="28"/>
              </w:rPr>
            </w:pP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EB75C5" w:rsidRPr="00AD6DEE" w:rsidRDefault="00EB75C5" w:rsidP="00C91F8C">
            <w:pPr>
              <w:pStyle w:val="Standard"/>
              <w:spacing w:after="0" w:line="240" w:lineRule="auto"/>
              <w:jc w:val="both"/>
              <w:rPr>
                <w:rFonts w:ascii="Times New Roman" w:hAnsi="Times New Roman"/>
                <w:b/>
                <w:sz w:val="28"/>
                <w:szCs w:val="28"/>
              </w:rPr>
            </w:pPr>
            <w:r w:rsidRPr="00AD6DEE">
              <w:rPr>
                <w:rFonts w:ascii="Times New Roman" w:hAnsi="Times New Roman"/>
                <w:b/>
                <w:sz w:val="28"/>
                <w:szCs w:val="28"/>
              </w:rPr>
              <w:t>11. Constatările altor expertize</w:t>
            </w:r>
          </w:p>
        </w:tc>
      </w:tr>
      <w:tr w:rsidR="00EB75C5" w:rsidRPr="005B2F83" w:rsidTr="00C91F8C">
        <w:tc>
          <w:tcPr>
            <w:tcW w:w="10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75C5" w:rsidRDefault="00EB75C5" w:rsidP="00C91F8C">
            <w:pPr>
              <w:pStyle w:val="Standard"/>
              <w:spacing w:after="0" w:line="240" w:lineRule="auto"/>
              <w:jc w:val="both"/>
              <w:rPr>
                <w:rFonts w:ascii="Times New Roman" w:hAnsi="Times New Roman"/>
                <w:sz w:val="28"/>
                <w:szCs w:val="28"/>
              </w:rPr>
            </w:pPr>
            <w:r w:rsidRPr="00DB7350">
              <w:rPr>
                <w:rFonts w:ascii="Times New Roman" w:hAnsi="Times New Roman"/>
                <w:sz w:val="28"/>
                <w:szCs w:val="28"/>
              </w:rPr>
              <w:t>Informația referitoare la concluziile altor expertizei va fi inclusă în sinteza obiecțiilor şi propunerilor/recomandărilor în măsura existenței acestora.</w:t>
            </w:r>
          </w:p>
          <w:p w:rsidR="00AD06D7" w:rsidRPr="00DB7350" w:rsidRDefault="00AD06D7" w:rsidP="00C91F8C">
            <w:pPr>
              <w:pStyle w:val="Standard"/>
              <w:spacing w:after="0" w:line="240" w:lineRule="auto"/>
              <w:jc w:val="both"/>
              <w:rPr>
                <w:rFonts w:ascii="Times New Roman" w:hAnsi="Times New Roman"/>
                <w:sz w:val="28"/>
                <w:szCs w:val="28"/>
              </w:rPr>
            </w:pPr>
          </w:p>
        </w:tc>
      </w:tr>
    </w:tbl>
    <w:p w:rsidR="00EB75C5" w:rsidRDefault="00EB75C5" w:rsidP="00EB75C5">
      <w:pPr>
        <w:pStyle w:val="Standard"/>
        <w:spacing w:after="0" w:line="240" w:lineRule="auto"/>
        <w:ind w:right="165"/>
        <w:jc w:val="both"/>
        <w:rPr>
          <w:rFonts w:ascii="Times New Roman" w:hAnsi="Times New Roman"/>
          <w:b/>
          <w:sz w:val="28"/>
          <w:szCs w:val="28"/>
        </w:rPr>
      </w:pPr>
    </w:p>
    <w:p w:rsidR="00397371" w:rsidRDefault="00397371" w:rsidP="00397371">
      <w:pPr>
        <w:spacing w:after="0" w:line="240" w:lineRule="auto"/>
        <w:rPr>
          <w:rFonts w:ascii="Times New Roman" w:eastAsia="Calibri" w:hAnsi="Times New Roman" w:cs="Times New Roman"/>
          <w:b/>
          <w:kern w:val="3"/>
          <w:sz w:val="28"/>
          <w:szCs w:val="28"/>
          <w:lang w:val="ro-RO" w:eastAsia="zh-CN"/>
        </w:rPr>
      </w:pPr>
    </w:p>
    <w:p w:rsidR="00F5725C" w:rsidRPr="00752EAB" w:rsidRDefault="00057D15" w:rsidP="00752EAB">
      <w:pPr>
        <w:pStyle w:val="a3"/>
        <w:shd w:val="clear" w:color="auto" w:fill="FFFFFF"/>
        <w:spacing w:before="0" w:beforeAutospacing="0" w:after="0" w:afterAutospacing="0"/>
        <w:ind w:hanging="426"/>
        <w:jc w:val="both"/>
        <w:rPr>
          <w:sz w:val="28"/>
          <w:szCs w:val="28"/>
        </w:rPr>
      </w:pPr>
      <w:r>
        <w:rPr>
          <w:rStyle w:val="a4"/>
          <w:sz w:val="28"/>
          <w:szCs w:val="28"/>
        </w:rPr>
        <w:t xml:space="preserve">    Sec</w:t>
      </w:r>
      <w:r w:rsidR="00F24BF6">
        <w:rPr>
          <w:rStyle w:val="a4"/>
          <w:sz w:val="28"/>
          <w:szCs w:val="28"/>
        </w:rPr>
        <w:t>retar</w:t>
      </w:r>
      <w:r>
        <w:rPr>
          <w:rStyle w:val="a4"/>
          <w:sz w:val="28"/>
          <w:szCs w:val="28"/>
        </w:rPr>
        <w:t xml:space="preserve"> de stat                  </w:t>
      </w:r>
      <w:bookmarkStart w:id="0" w:name="_GoBack"/>
      <w:bookmarkEnd w:id="0"/>
      <w:r>
        <w:rPr>
          <w:rStyle w:val="a4"/>
          <w:sz w:val="28"/>
          <w:szCs w:val="28"/>
        </w:rPr>
        <w:t xml:space="preserve">                                                             Corina AJDER</w:t>
      </w:r>
    </w:p>
    <w:sectPr w:rsidR="00F5725C" w:rsidRPr="00752EAB" w:rsidSect="00AB417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ADF"/>
    <w:rsid w:val="00057D15"/>
    <w:rsid w:val="00397371"/>
    <w:rsid w:val="00647BA1"/>
    <w:rsid w:val="00752EAB"/>
    <w:rsid w:val="008A010E"/>
    <w:rsid w:val="00AD06D7"/>
    <w:rsid w:val="00B97C78"/>
    <w:rsid w:val="00BA7856"/>
    <w:rsid w:val="00C33ADF"/>
    <w:rsid w:val="00EB75C5"/>
    <w:rsid w:val="00F24BF6"/>
    <w:rsid w:val="00F5725C"/>
    <w:rsid w:val="00F578A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4AC72-F8AE-45D0-A671-BACFC5E7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M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5C5"/>
    <w:rPr>
      <w:lang w:val="ru-RU"/>
    </w:rPr>
  </w:style>
  <w:style w:type="paragraph" w:styleId="4">
    <w:name w:val="heading 4"/>
    <w:basedOn w:val="a"/>
    <w:link w:val="40"/>
    <w:uiPriority w:val="9"/>
    <w:qFormat/>
    <w:rsid w:val="00647BA1"/>
    <w:pPr>
      <w:spacing w:before="100" w:beforeAutospacing="1" w:after="100" w:afterAutospacing="1" w:line="240" w:lineRule="auto"/>
      <w:outlineLvl w:val="3"/>
    </w:pPr>
    <w:rPr>
      <w:rFonts w:ascii="Times New Roman" w:eastAsia="Times New Roman" w:hAnsi="Times New Roman" w:cs="Times New Roman"/>
      <w:b/>
      <w:bCs/>
      <w:sz w:val="24"/>
      <w:szCs w:val="24"/>
      <w:lang w:val="ro-MD" w:eastAsia="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B75C5"/>
    <w:pPr>
      <w:suppressAutoHyphens/>
      <w:autoSpaceDN w:val="0"/>
      <w:textAlignment w:val="baseline"/>
    </w:pPr>
    <w:rPr>
      <w:rFonts w:ascii="Calibri" w:eastAsia="Calibri" w:hAnsi="Calibri" w:cs="Times New Roman"/>
      <w:kern w:val="3"/>
      <w:lang w:val="ro-RO" w:eastAsia="zh-CN"/>
    </w:rPr>
  </w:style>
  <w:style w:type="paragraph" w:styleId="a3">
    <w:name w:val="Normal (Web)"/>
    <w:basedOn w:val="a"/>
    <w:uiPriority w:val="99"/>
    <w:unhideWhenUsed/>
    <w:rsid w:val="00752EAB"/>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a4">
    <w:name w:val="Strong"/>
    <w:basedOn w:val="a0"/>
    <w:uiPriority w:val="22"/>
    <w:qFormat/>
    <w:rsid w:val="00752EAB"/>
    <w:rPr>
      <w:b/>
      <w:bCs/>
    </w:rPr>
  </w:style>
  <w:style w:type="character" w:customStyle="1" w:styleId="40">
    <w:name w:val="Заголовок 4 Знак"/>
    <w:basedOn w:val="a0"/>
    <w:link w:val="4"/>
    <w:uiPriority w:val="9"/>
    <w:rsid w:val="00647BA1"/>
    <w:rPr>
      <w:rFonts w:ascii="Times New Roman" w:eastAsia="Times New Roman" w:hAnsi="Times New Roman" w:cs="Times New Roman"/>
      <w:b/>
      <w:bCs/>
      <w:sz w:val="24"/>
      <w:szCs w:val="24"/>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30823">
      <w:bodyDiv w:val="1"/>
      <w:marLeft w:val="0"/>
      <w:marRight w:val="0"/>
      <w:marTop w:val="0"/>
      <w:marBottom w:val="0"/>
      <w:divBdr>
        <w:top w:val="none" w:sz="0" w:space="0" w:color="auto"/>
        <w:left w:val="none" w:sz="0" w:space="0" w:color="auto"/>
        <w:bottom w:val="none" w:sz="0" w:space="0" w:color="auto"/>
        <w:right w:val="none" w:sz="0" w:space="0" w:color="auto"/>
      </w:divBdr>
    </w:div>
    <w:div w:id="15258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4286</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2022-04-20T05:53:00Z</cp:lastPrinted>
  <dcterms:created xsi:type="dcterms:W3CDTF">2022-05-06T13:40:00Z</dcterms:created>
  <dcterms:modified xsi:type="dcterms:W3CDTF">2022-05-06T13:42:00Z</dcterms:modified>
</cp:coreProperties>
</file>