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20" w:rsidRPr="00AD541A" w:rsidRDefault="009F3F20" w:rsidP="00FB3145">
      <w:pPr>
        <w:spacing w:after="0" w:line="276" w:lineRule="auto"/>
        <w:jc w:val="center"/>
        <w:rPr>
          <w:rFonts w:ascii="Times New Roman" w:hAnsi="Times New Roman"/>
          <w:b/>
          <w:color w:val="000000" w:themeColor="text1"/>
          <w:sz w:val="26"/>
          <w:szCs w:val="26"/>
        </w:rPr>
      </w:pPr>
      <w:r w:rsidRPr="00AD541A">
        <w:rPr>
          <w:rFonts w:ascii="Times New Roman" w:hAnsi="Times New Roman"/>
          <w:b/>
          <w:color w:val="000000" w:themeColor="text1"/>
          <w:sz w:val="26"/>
          <w:szCs w:val="26"/>
        </w:rPr>
        <w:t>NOTĂ INFORMATIVĂ</w:t>
      </w:r>
    </w:p>
    <w:p w:rsidR="009F3F20" w:rsidRPr="00AD541A" w:rsidRDefault="009F3F20" w:rsidP="00FB3145">
      <w:pPr>
        <w:spacing w:after="0" w:line="276" w:lineRule="auto"/>
        <w:ind w:left="-284"/>
        <w:jc w:val="center"/>
        <w:rPr>
          <w:rFonts w:ascii="Times New Roman" w:hAnsi="Times New Roman"/>
          <w:b/>
          <w:i/>
          <w:color w:val="000000" w:themeColor="text1"/>
          <w:sz w:val="26"/>
          <w:szCs w:val="26"/>
        </w:rPr>
      </w:pPr>
      <w:r w:rsidRPr="00AD541A">
        <w:rPr>
          <w:rFonts w:ascii="Times New Roman" w:hAnsi="Times New Roman"/>
          <w:b/>
          <w:color w:val="000000" w:themeColor="text1"/>
          <w:sz w:val="26"/>
          <w:szCs w:val="26"/>
        </w:rPr>
        <w:t xml:space="preserve">la proiectul </w:t>
      </w:r>
      <w:r w:rsidR="004A652A" w:rsidRPr="00AD541A">
        <w:rPr>
          <w:rFonts w:ascii="Times New Roman" w:hAnsi="Times New Roman"/>
          <w:b/>
          <w:color w:val="000000" w:themeColor="text1"/>
          <w:sz w:val="26"/>
          <w:szCs w:val="26"/>
        </w:rPr>
        <w:t xml:space="preserve">Hotărârii de Guvern </w:t>
      </w:r>
      <w:r w:rsidR="008D7308" w:rsidRPr="00AD541A">
        <w:rPr>
          <w:rFonts w:ascii="Times New Roman" w:hAnsi="Times New Roman"/>
          <w:b/>
          <w:color w:val="000000" w:themeColor="text1"/>
          <w:sz w:val="26"/>
          <w:szCs w:val="26"/>
        </w:rPr>
        <w:t>cu privire la transmiterea unor bunuri imobile</w:t>
      </w:r>
    </w:p>
    <w:p w:rsidR="009F3F20" w:rsidRPr="00AD541A" w:rsidRDefault="009F3F20" w:rsidP="00FB3145">
      <w:pPr>
        <w:spacing w:after="0" w:line="276" w:lineRule="auto"/>
        <w:rPr>
          <w:rFonts w:ascii="Times New Roman" w:hAnsi="Times New Roman"/>
          <w:color w:val="000000" w:themeColor="text1"/>
          <w:sz w:val="26"/>
          <w:szCs w:val="26"/>
        </w:rPr>
      </w:pP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3"/>
      </w:tblGrid>
      <w:tr w:rsidR="00585F53" w:rsidRPr="00AD541A" w:rsidTr="00877104">
        <w:trPr>
          <w:trHeight w:val="432"/>
        </w:trPr>
        <w:tc>
          <w:tcPr>
            <w:tcW w:w="5000" w:type="pct"/>
            <w:vAlign w:val="center"/>
          </w:tcPr>
          <w:p w:rsidR="009F3F20" w:rsidRPr="00AD541A" w:rsidRDefault="009F3F20" w:rsidP="00FB3145">
            <w:pPr>
              <w:numPr>
                <w:ilvl w:val="3"/>
                <w:numId w:val="1"/>
              </w:numPr>
              <w:tabs>
                <w:tab w:val="left" w:pos="284"/>
                <w:tab w:val="left" w:pos="1196"/>
              </w:tabs>
              <w:spacing w:after="0" w:line="276" w:lineRule="auto"/>
              <w:ind w:left="313" w:right="33" w:hanging="313"/>
              <w:jc w:val="both"/>
              <w:rPr>
                <w:rFonts w:ascii="Times New Roman" w:hAnsi="Times New Roman"/>
                <w:b/>
                <w:color w:val="000000" w:themeColor="text1"/>
                <w:sz w:val="26"/>
                <w:szCs w:val="26"/>
              </w:rPr>
            </w:pPr>
            <w:r w:rsidRPr="00AD541A">
              <w:rPr>
                <w:rFonts w:ascii="Times New Roman" w:hAnsi="Times New Roman"/>
                <w:b/>
                <w:color w:val="000000" w:themeColor="text1"/>
                <w:sz w:val="26"/>
                <w:szCs w:val="26"/>
              </w:rPr>
              <w:t xml:space="preserve">Denumirea autorului şi, după caz, a </w:t>
            </w:r>
            <w:r w:rsidR="00571201" w:rsidRPr="00AD541A">
              <w:rPr>
                <w:rFonts w:ascii="Times New Roman" w:hAnsi="Times New Roman"/>
                <w:b/>
                <w:color w:val="000000" w:themeColor="text1"/>
                <w:sz w:val="26"/>
                <w:szCs w:val="26"/>
              </w:rPr>
              <w:t>participanților</w:t>
            </w:r>
            <w:r w:rsidRPr="00AD541A">
              <w:rPr>
                <w:rFonts w:ascii="Times New Roman" w:hAnsi="Times New Roman"/>
                <w:b/>
                <w:color w:val="000000" w:themeColor="text1"/>
                <w:sz w:val="26"/>
                <w:szCs w:val="26"/>
              </w:rPr>
              <w:t xml:space="preserve"> la elaborarea proiectului</w:t>
            </w:r>
          </w:p>
        </w:tc>
      </w:tr>
      <w:tr w:rsidR="00585F53" w:rsidRPr="00AD541A" w:rsidTr="00877104">
        <w:trPr>
          <w:trHeight w:val="432"/>
        </w:trPr>
        <w:tc>
          <w:tcPr>
            <w:tcW w:w="5000" w:type="pct"/>
            <w:vAlign w:val="center"/>
          </w:tcPr>
          <w:p w:rsidR="009F3F20" w:rsidRPr="00AD541A" w:rsidRDefault="004A652A" w:rsidP="00FB3145">
            <w:pPr>
              <w:spacing w:after="0" w:line="276" w:lineRule="auto"/>
              <w:ind w:firstLine="379"/>
              <w:jc w:val="both"/>
              <w:rPr>
                <w:rFonts w:ascii="Times New Roman" w:hAnsi="Times New Roman"/>
                <w:color w:val="000000" w:themeColor="text1"/>
                <w:sz w:val="26"/>
                <w:szCs w:val="26"/>
              </w:rPr>
            </w:pPr>
            <w:r w:rsidRPr="00AD541A">
              <w:rPr>
                <w:rFonts w:ascii="Times New Roman" w:hAnsi="Times New Roman"/>
                <w:color w:val="000000" w:themeColor="text1"/>
                <w:sz w:val="26"/>
                <w:szCs w:val="26"/>
              </w:rPr>
              <w:t xml:space="preserve">Proiectul </w:t>
            </w:r>
            <w:r w:rsidR="0038195B" w:rsidRPr="00AD541A">
              <w:rPr>
                <w:rFonts w:ascii="Times New Roman" w:hAnsi="Times New Roman"/>
                <w:color w:val="000000" w:themeColor="text1"/>
                <w:sz w:val="26"/>
                <w:szCs w:val="26"/>
              </w:rPr>
              <w:t xml:space="preserve">prezentei </w:t>
            </w:r>
            <w:r w:rsidR="000B6596" w:rsidRPr="00AD541A">
              <w:rPr>
                <w:rFonts w:ascii="Times New Roman" w:hAnsi="Times New Roman"/>
                <w:color w:val="000000" w:themeColor="text1"/>
                <w:sz w:val="26"/>
                <w:szCs w:val="26"/>
              </w:rPr>
              <w:t>Hotărâri</w:t>
            </w:r>
            <w:r w:rsidRPr="00AD541A">
              <w:rPr>
                <w:rFonts w:ascii="Times New Roman" w:hAnsi="Times New Roman"/>
                <w:color w:val="000000" w:themeColor="text1"/>
                <w:sz w:val="26"/>
                <w:szCs w:val="26"/>
              </w:rPr>
              <w:t xml:space="preserve"> de Guvern </w:t>
            </w:r>
            <w:r w:rsidR="00585F53" w:rsidRPr="00AD541A">
              <w:rPr>
                <w:rFonts w:ascii="Times New Roman" w:hAnsi="Times New Roman"/>
                <w:color w:val="000000" w:themeColor="text1"/>
                <w:sz w:val="26"/>
                <w:szCs w:val="26"/>
              </w:rPr>
              <w:t xml:space="preserve">cu privire la transmiterea unor bunuri imobile </w:t>
            </w:r>
            <w:r w:rsidR="009F3F20" w:rsidRPr="00AD541A">
              <w:rPr>
                <w:rFonts w:ascii="Times New Roman" w:hAnsi="Times New Roman"/>
                <w:color w:val="000000" w:themeColor="text1"/>
                <w:sz w:val="26"/>
                <w:szCs w:val="26"/>
              </w:rPr>
              <w:t>este elaborat de către Ministerul Ed</w:t>
            </w:r>
            <w:r w:rsidR="00666DA2" w:rsidRPr="00AD541A">
              <w:rPr>
                <w:rFonts w:ascii="Times New Roman" w:hAnsi="Times New Roman"/>
                <w:color w:val="000000" w:themeColor="text1"/>
                <w:sz w:val="26"/>
                <w:szCs w:val="26"/>
              </w:rPr>
              <w:t>ucației și Cercetării.</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313" w:right="33" w:hanging="313"/>
              <w:jc w:val="both"/>
              <w:rPr>
                <w:rFonts w:ascii="Times New Roman" w:hAnsi="Times New Roman"/>
                <w:sz w:val="26"/>
                <w:szCs w:val="26"/>
              </w:rPr>
            </w:pPr>
            <w:r w:rsidRPr="00AD541A">
              <w:rPr>
                <w:rFonts w:ascii="Times New Roman" w:hAnsi="Times New Roman"/>
                <w:b/>
                <w:sz w:val="26"/>
                <w:szCs w:val="26"/>
              </w:rPr>
              <w:t xml:space="preserve">2. </w:t>
            </w:r>
            <w:r w:rsidR="00FC1FE1" w:rsidRPr="00AD541A">
              <w:rPr>
                <w:rFonts w:ascii="Times New Roman" w:hAnsi="Times New Roman"/>
                <w:b/>
                <w:sz w:val="26"/>
                <w:szCs w:val="26"/>
              </w:rPr>
              <w:t>Condițiile</w:t>
            </w:r>
            <w:r w:rsidRPr="00AD541A">
              <w:rPr>
                <w:rFonts w:ascii="Times New Roman" w:hAnsi="Times New Roman"/>
                <w:b/>
                <w:sz w:val="26"/>
                <w:szCs w:val="26"/>
              </w:rPr>
              <w:t xml:space="preserve"> ce au impus elaborarea proiectului de act normativ </w:t>
            </w:r>
            <w:r w:rsidR="00FC1FE1" w:rsidRPr="00AD541A">
              <w:rPr>
                <w:rFonts w:ascii="Times New Roman" w:hAnsi="Times New Roman"/>
                <w:b/>
                <w:sz w:val="26"/>
                <w:szCs w:val="26"/>
              </w:rPr>
              <w:t>și</w:t>
            </w:r>
            <w:r w:rsidRPr="00AD541A">
              <w:rPr>
                <w:rFonts w:ascii="Times New Roman" w:hAnsi="Times New Roman"/>
                <w:b/>
                <w:sz w:val="26"/>
                <w:szCs w:val="26"/>
              </w:rPr>
              <w:t xml:space="preserve"> </w:t>
            </w:r>
            <w:r w:rsidR="00FC1FE1" w:rsidRPr="00AD541A">
              <w:rPr>
                <w:rFonts w:ascii="Times New Roman" w:hAnsi="Times New Roman"/>
                <w:b/>
                <w:sz w:val="26"/>
                <w:szCs w:val="26"/>
              </w:rPr>
              <w:t>finalitățile</w:t>
            </w:r>
            <w:r w:rsidRPr="00AD541A">
              <w:rPr>
                <w:rFonts w:ascii="Times New Roman" w:hAnsi="Times New Roman"/>
                <w:b/>
                <w:sz w:val="26"/>
                <w:szCs w:val="26"/>
              </w:rPr>
              <w:t xml:space="preserve"> urmărite</w:t>
            </w:r>
          </w:p>
        </w:tc>
      </w:tr>
      <w:tr w:rsidR="00B97A7E" w:rsidRPr="00AD541A" w:rsidTr="00877104">
        <w:trPr>
          <w:trHeight w:val="432"/>
        </w:trPr>
        <w:tc>
          <w:tcPr>
            <w:tcW w:w="5000" w:type="pct"/>
            <w:vAlign w:val="center"/>
          </w:tcPr>
          <w:p w:rsidR="00CF0A2F" w:rsidRPr="00AD541A" w:rsidRDefault="00CF0A2F"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Potrivit pct.</w:t>
            </w:r>
            <w:r w:rsidR="00732007" w:rsidRPr="00AD541A">
              <w:rPr>
                <w:rFonts w:ascii="Times New Roman" w:hAnsi="Times New Roman"/>
                <w:sz w:val="26"/>
                <w:szCs w:val="26"/>
              </w:rPr>
              <w:t>259</w:t>
            </w:r>
            <w:r w:rsidRPr="00AD541A">
              <w:rPr>
                <w:rFonts w:ascii="Times New Roman" w:hAnsi="Times New Roman"/>
                <w:sz w:val="26"/>
                <w:szCs w:val="26"/>
              </w:rPr>
              <w:t xml:space="preserve"> din Anexa nr.22</w:t>
            </w:r>
            <w:r w:rsidRPr="00AD541A">
              <w:rPr>
                <w:rFonts w:ascii="Times New Roman" w:hAnsi="Times New Roman"/>
                <w:sz w:val="26"/>
                <w:szCs w:val="26"/>
                <w:vertAlign w:val="superscript"/>
              </w:rPr>
              <w:t xml:space="preserve">12 </w:t>
            </w:r>
            <w:r w:rsidRPr="00AD541A">
              <w:rPr>
                <w:rFonts w:ascii="Times New Roman" w:hAnsi="Times New Roman"/>
                <w:sz w:val="26"/>
                <w:szCs w:val="26"/>
              </w:rPr>
              <w:t xml:space="preserve"> a Hotărârii Guvernului nr.351/2005 cu privire la aprobarea listelor bunurilor imobile proprietate publică a statului și la transmiterea unor bunuri imobile, cu modificările ulterioare,</w:t>
            </w:r>
            <w:r w:rsidR="007C1393" w:rsidRPr="00AD541A">
              <w:rPr>
                <w:rFonts w:ascii="Times New Roman" w:hAnsi="Times New Roman"/>
                <w:sz w:val="26"/>
                <w:szCs w:val="26"/>
              </w:rPr>
              <w:t xml:space="preserve"> 8 construcții cu un nivel, situate terenul cu numărul cadastral 4132106.215 din</w:t>
            </w:r>
            <w:r w:rsidRPr="00AD541A">
              <w:rPr>
                <w:rFonts w:ascii="Times New Roman" w:hAnsi="Times New Roman"/>
                <w:sz w:val="26"/>
                <w:szCs w:val="26"/>
              </w:rPr>
              <w:t xml:space="preserve"> </w:t>
            </w:r>
            <w:r w:rsidR="007C1393" w:rsidRPr="00AD541A">
              <w:rPr>
                <w:rFonts w:ascii="Times New Roman" w:hAnsi="Times New Roman"/>
                <w:sz w:val="26"/>
                <w:szCs w:val="26"/>
              </w:rPr>
              <w:t xml:space="preserve">r-nul </w:t>
            </w:r>
            <w:r w:rsidR="00D742FB" w:rsidRPr="00AD541A">
              <w:rPr>
                <w:rFonts w:ascii="Times New Roman" w:hAnsi="Times New Roman"/>
                <w:sz w:val="26"/>
                <w:szCs w:val="26"/>
              </w:rPr>
              <w:t>Edineț</w:t>
            </w:r>
            <w:r w:rsidR="007C1393" w:rsidRPr="00AD541A">
              <w:rPr>
                <w:rFonts w:ascii="Times New Roman" w:hAnsi="Times New Roman"/>
                <w:sz w:val="26"/>
                <w:szCs w:val="26"/>
              </w:rPr>
              <w:t xml:space="preserve">, com. </w:t>
            </w:r>
            <w:r w:rsidR="00D742FB" w:rsidRPr="00AD541A">
              <w:rPr>
                <w:rFonts w:ascii="Times New Roman" w:hAnsi="Times New Roman"/>
                <w:sz w:val="26"/>
                <w:szCs w:val="26"/>
              </w:rPr>
              <w:t>Hincăuți</w:t>
            </w:r>
            <w:r w:rsidR="007C1393" w:rsidRPr="00AD541A">
              <w:rPr>
                <w:rFonts w:ascii="Times New Roman" w:hAnsi="Times New Roman"/>
                <w:sz w:val="26"/>
                <w:szCs w:val="26"/>
              </w:rPr>
              <w:t>, s. Poiana</w:t>
            </w:r>
            <w:r w:rsidRPr="00AD541A">
              <w:rPr>
                <w:rFonts w:ascii="Times New Roman" w:hAnsi="Times New Roman"/>
                <w:sz w:val="26"/>
                <w:szCs w:val="26"/>
              </w:rPr>
              <w:t xml:space="preserve">, se află în administrarea Ministerului Educației și Cercetării și în gestiunea Instituției Publice </w:t>
            </w:r>
            <w:r w:rsidR="00732007" w:rsidRPr="00AD541A">
              <w:rPr>
                <w:rFonts w:ascii="Times New Roman" w:hAnsi="Times New Roman"/>
                <w:sz w:val="26"/>
                <w:szCs w:val="26"/>
              </w:rPr>
              <w:t xml:space="preserve">Universitatea Pedagogică de Stat „Ion Creangă” din </w:t>
            </w:r>
            <w:r w:rsidR="002F3404" w:rsidRPr="00AD541A">
              <w:rPr>
                <w:rFonts w:ascii="Times New Roman" w:hAnsi="Times New Roman"/>
                <w:sz w:val="26"/>
                <w:szCs w:val="26"/>
              </w:rPr>
              <w:t>Chișinău</w:t>
            </w:r>
            <w:r w:rsidRPr="00AD541A">
              <w:rPr>
                <w:rFonts w:ascii="Times New Roman" w:hAnsi="Times New Roman"/>
                <w:sz w:val="26"/>
                <w:szCs w:val="26"/>
              </w:rPr>
              <w:t xml:space="preserve">. </w:t>
            </w:r>
          </w:p>
          <w:p w:rsidR="001E7721" w:rsidRPr="00AD541A" w:rsidRDefault="001E7721"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Bunurile imobile menționate fac parte din </w:t>
            </w:r>
            <w:r w:rsidR="00D742FB" w:rsidRPr="00AD541A">
              <w:rPr>
                <w:rFonts w:ascii="Times New Roman" w:hAnsi="Times New Roman"/>
                <w:sz w:val="26"/>
                <w:szCs w:val="26"/>
              </w:rPr>
              <w:t xml:space="preserve">complexul </w:t>
            </w:r>
            <w:r w:rsidRPr="00AD541A">
              <w:rPr>
                <w:rFonts w:ascii="Times New Roman" w:hAnsi="Times New Roman"/>
                <w:sz w:val="26"/>
                <w:szCs w:val="26"/>
              </w:rPr>
              <w:t xml:space="preserve">Conacul cu parc al lui Cantacuzino din s. Poiana, r-nul Edineț, datează din secolul XIX și </w:t>
            </w:r>
            <w:r w:rsidR="00D742FB" w:rsidRPr="00AD541A">
              <w:rPr>
                <w:rFonts w:ascii="Times New Roman" w:hAnsi="Times New Roman"/>
                <w:sz w:val="26"/>
                <w:szCs w:val="26"/>
              </w:rPr>
              <w:t>sunt</w:t>
            </w:r>
            <w:r w:rsidRPr="00AD541A">
              <w:rPr>
                <w:rFonts w:ascii="Times New Roman" w:hAnsi="Times New Roman"/>
                <w:sz w:val="26"/>
                <w:szCs w:val="26"/>
              </w:rPr>
              <w:t xml:space="preserve"> inclus</w:t>
            </w:r>
            <w:r w:rsidR="00D742FB" w:rsidRPr="00AD541A">
              <w:rPr>
                <w:rFonts w:ascii="Times New Roman" w:hAnsi="Times New Roman"/>
                <w:sz w:val="26"/>
                <w:szCs w:val="26"/>
              </w:rPr>
              <w:t>e</w:t>
            </w:r>
            <w:r w:rsidRPr="00AD541A">
              <w:rPr>
                <w:rFonts w:ascii="Times New Roman" w:hAnsi="Times New Roman"/>
                <w:sz w:val="26"/>
                <w:szCs w:val="26"/>
              </w:rPr>
              <w:t xml:space="preserve"> cu numărul de înregistrare 972, zona de nord, în Registrul monumentelor Republicii Moldova ocrotite de stat, aprobat prin Hotărârea Parlamentului nr.1531/1993. Astfel că, potrivit Legii nr.1530/1993 privind ocrotirea monumentelor, toate monumentele situate pe teritoriul Republicii Moldova fac parte din patrimoniul ei cultural și natural și se află sub protecția statului. Totodată, condiția exercitării dreptului de proprietate asupra monumentelor, inclusiv restricțiile stabilite prin lege, sunt obligatorii și se extind asupra tuturor subiectelor dreptului de proprietate, indiferent de tipul de proprietate și de titlul juridic al deținătorului. </w:t>
            </w:r>
          </w:p>
          <w:p w:rsidR="001E7721" w:rsidRPr="00AD541A" w:rsidRDefault="00D742FB"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Indicăm </w:t>
            </w:r>
            <w:r w:rsidR="001E7721" w:rsidRPr="00AD541A">
              <w:rPr>
                <w:rFonts w:ascii="Times New Roman" w:hAnsi="Times New Roman"/>
                <w:sz w:val="26"/>
                <w:szCs w:val="26"/>
              </w:rPr>
              <w:t>că, la 28 ianuarie 2021, a fost recepționat răspunsul președintelui raionului Edineț și copia Deciziei nr.12/1 din 30 decembrie 2020 privind introducerea unor modificări în decizia Consiliului raional Edineț nr.7/10 din 10.07.2020 „Cu privire la transmiterea cu titlu gratuit a unor bunuri imobile”, fiind anunțată intenția preluării Conacului Cantacuzino în scopul restaurării, valorificării științifice a patrimoniului cultural și includerii lui în traseul turistic raional și al țării. În același timp, la solicitarea Ministerul Educației și Cercetării, autoritățile locale au confirmat recent posibilitatea punerii în aplicare a deciziei invocate.</w:t>
            </w:r>
          </w:p>
          <w:p w:rsidR="001E7721" w:rsidRPr="00AD541A" w:rsidRDefault="001E7721"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În ceea ce privește procedura de transmitere, în conformitate cu art.6 alin.(1) lit. a) al Legii nr.121/2007 privind administrarea și deetatizarea proprietății publice, în domeniul administrării proprietății publice, este de competența Guvernului adoptarea hotărârilor privind trecerea bunurilor proprietate de stat în proprietatea unităților administrativ-teritoriale. Articolul 14 din aceiași lege dispune că, procedura transmiterii cu titlu gratuit a bunurilor proprietate publică dintr-un domeniu al proprietății publice în altul sau din proprietatea statului în proprietatea unității administrativ-teritoriale și invers, precum și din subordinea unei autorități publice în subordinea unei alte autorități publice, se stabilește de Guvern.</w:t>
            </w:r>
          </w:p>
          <w:p w:rsidR="001E7721" w:rsidRPr="00AD541A" w:rsidRDefault="001E7721"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În temeiul pct.10 subpct.1) lit. b) din Regulamentul cu privire la modul de transmitere a bunurilor proprietate publică, aprobat prin Hotărârea Guvernului nr.901/2015, decizia de transmitere a bunurilor proprietate publică se adoptă de Guvern – în cazul transmiterii bunurilor din proprietatea publică a statului în proprietatea publică a unităților </w:t>
            </w:r>
            <w:r w:rsidRPr="00AD541A">
              <w:rPr>
                <w:rFonts w:ascii="Times New Roman" w:hAnsi="Times New Roman"/>
                <w:sz w:val="26"/>
                <w:szCs w:val="26"/>
              </w:rPr>
              <w:lastRenderedPageBreak/>
              <w:t>administrativ-teritoriale/ Unității teritoriale autonome Găgăuzia, cu acordul consiliului local respectiv /Adunării Populare.</w:t>
            </w:r>
          </w:p>
          <w:p w:rsidR="001E7721" w:rsidRPr="00AD541A" w:rsidRDefault="001E7721"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Concomitent, potrivit art.79 alin.(4) lit. d) coroborat cu art.104 alin.(1) lit. e) și art.106 din Codul educației al Republicii Moldova nr.152/2014, subiectele referitoare la baza materială a instituției de învățământ superior care activează în condiții de autonomie universitară necesită avizul pozitiv al Consiliului pentru dezvoltare strategică instituțională.</w:t>
            </w:r>
          </w:p>
          <w:p w:rsidR="001E7721" w:rsidRPr="00AD541A" w:rsidRDefault="00357459"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Din informația relatată de către administrația Instituției Publice </w:t>
            </w:r>
            <w:r w:rsidR="00732007" w:rsidRPr="00AD541A">
              <w:rPr>
                <w:rFonts w:ascii="Times New Roman" w:hAnsi="Times New Roman"/>
                <w:sz w:val="26"/>
                <w:szCs w:val="26"/>
              </w:rPr>
              <w:t xml:space="preserve">Universitatea Pedagogică de Stat „Ion Creangă” din </w:t>
            </w:r>
            <w:r w:rsidR="002F3404" w:rsidRPr="00AD541A">
              <w:rPr>
                <w:rFonts w:ascii="Times New Roman" w:hAnsi="Times New Roman"/>
                <w:sz w:val="26"/>
                <w:szCs w:val="26"/>
              </w:rPr>
              <w:t>Chișinău</w:t>
            </w:r>
            <w:r w:rsidR="001E7721" w:rsidRPr="00AD541A">
              <w:rPr>
                <w:rFonts w:ascii="Times New Roman" w:hAnsi="Times New Roman"/>
                <w:sz w:val="26"/>
                <w:szCs w:val="26"/>
              </w:rPr>
              <w:t xml:space="preserve">, Conacul Cantacuzino este în gestiunea instituției din 01.08.1995 și nu a beneficiat timp de 26 de ani de nici o sursă de finanțare, acesta rămânând un spațiu nefuncțional, într-un grad avansat de deteriorare. În consecință, Universitatea suportă cheltuieli mari de întreținere, peste 250 mii lei anual, la moment nedispunând de mijloace necesare pentru restabilirea acestui edificiu, inclusiv pentru conservarea, gestionarea și finanțarea în continuare a serviciilor de întreținere a acestuia, Conacul fiind un patrimoniu național care necesită protecție din partea statului. Senatul Universității și Consiliul de </w:t>
            </w:r>
            <w:r w:rsidR="00D742FB" w:rsidRPr="00AD541A">
              <w:rPr>
                <w:rFonts w:ascii="Times New Roman" w:hAnsi="Times New Roman"/>
                <w:sz w:val="26"/>
                <w:szCs w:val="26"/>
              </w:rPr>
              <w:t>d</w:t>
            </w:r>
            <w:r w:rsidR="001E7721" w:rsidRPr="00AD541A">
              <w:rPr>
                <w:rFonts w:ascii="Times New Roman" w:hAnsi="Times New Roman"/>
                <w:sz w:val="26"/>
                <w:szCs w:val="26"/>
              </w:rPr>
              <w:t xml:space="preserve">ezvoltare </w:t>
            </w:r>
            <w:r w:rsidR="00D742FB" w:rsidRPr="00AD541A">
              <w:rPr>
                <w:rFonts w:ascii="Times New Roman" w:hAnsi="Times New Roman"/>
                <w:sz w:val="26"/>
                <w:szCs w:val="26"/>
              </w:rPr>
              <w:t>s</w:t>
            </w:r>
            <w:r w:rsidR="001E7721" w:rsidRPr="00AD541A">
              <w:rPr>
                <w:rFonts w:ascii="Times New Roman" w:hAnsi="Times New Roman"/>
                <w:sz w:val="26"/>
                <w:szCs w:val="26"/>
              </w:rPr>
              <w:t xml:space="preserve">trategică </w:t>
            </w:r>
            <w:r w:rsidR="00D742FB" w:rsidRPr="00AD541A">
              <w:rPr>
                <w:rFonts w:ascii="Times New Roman" w:hAnsi="Times New Roman"/>
                <w:sz w:val="26"/>
                <w:szCs w:val="26"/>
              </w:rPr>
              <w:t>i</w:t>
            </w:r>
            <w:r w:rsidR="001E7721" w:rsidRPr="00AD541A">
              <w:rPr>
                <w:rFonts w:ascii="Times New Roman" w:hAnsi="Times New Roman"/>
                <w:sz w:val="26"/>
                <w:szCs w:val="26"/>
              </w:rPr>
              <w:t xml:space="preserve">nstituțională au decis a susține transmiterea </w:t>
            </w:r>
            <w:r w:rsidR="00D742FB" w:rsidRPr="00AD541A">
              <w:rPr>
                <w:rFonts w:ascii="Times New Roman" w:hAnsi="Times New Roman"/>
                <w:sz w:val="26"/>
                <w:szCs w:val="26"/>
              </w:rPr>
              <w:t>C</w:t>
            </w:r>
            <w:r w:rsidR="001E7721" w:rsidRPr="00AD541A">
              <w:rPr>
                <w:rFonts w:ascii="Times New Roman" w:hAnsi="Times New Roman"/>
                <w:sz w:val="26"/>
                <w:szCs w:val="26"/>
              </w:rPr>
              <w:t>onacului Cantacuzino din s. Poiana, r-nul Edineț.</w:t>
            </w:r>
          </w:p>
          <w:p w:rsidR="007D0576" w:rsidRPr="00AD541A" w:rsidRDefault="007D0576" w:rsidP="00633C30">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color w:val="000000" w:themeColor="text1"/>
                <w:sz w:val="26"/>
                <w:szCs w:val="26"/>
              </w:rPr>
              <w:t xml:space="preserve">În circumstanțele expuse </w:t>
            </w:r>
            <w:r w:rsidR="00D742FB" w:rsidRPr="00AD541A">
              <w:rPr>
                <w:rFonts w:ascii="Times New Roman" w:hAnsi="Times New Roman"/>
                <w:color w:val="000000" w:themeColor="text1"/>
                <w:sz w:val="26"/>
                <w:szCs w:val="26"/>
              </w:rPr>
              <w:t>considerăm justificată și oportună promovarea</w:t>
            </w:r>
            <w:r w:rsidRPr="00AD541A">
              <w:rPr>
                <w:rFonts w:ascii="Times New Roman" w:hAnsi="Times New Roman"/>
                <w:color w:val="000000" w:themeColor="text1"/>
                <w:sz w:val="26"/>
                <w:szCs w:val="26"/>
              </w:rPr>
              <w:t xml:space="preserve"> proiectului Hotărârii de Guvern cu privire la t</w:t>
            </w:r>
            <w:r w:rsidR="00D742FB" w:rsidRPr="00AD541A">
              <w:rPr>
                <w:rFonts w:ascii="Times New Roman" w:hAnsi="Times New Roman"/>
                <w:color w:val="000000" w:themeColor="text1"/>
                <w:sz w:val="26"/>
                <w:szCs w:val="26"/>
              </w:rPr>
              <w:t>ransmiterea unor bunuri imobile. Urmare a aprobării,</w:t>
            </w:r>
            <w:r w:rsidR="00D742FB" w:rsidRPr="00AD541A">
              <w:rPr>
                <w:rFonts w:ascii="Times New Roman" w:hAnsi="Times New Roman"/>
                <w:sz w:val="26"/>
                <w:szCs w:val="26"/>
              </w:rPr>
              <w:t xml:space="preserve"> Conacul Cantacuzino</w:t>
            </w:r>
            <w:r w:rsidR="00D742FB" w:rsidRPr="00AD541A">
              <w:rPr>
                <w:rFonts w:ascii="Times New Roman" w:hAnsi="Times New Roman"/>
                <w:color w:val="000000" w:themeColor="text1"/>
                <w:sz w:val="26"/>
                <w:szCs w:val="26"/>
              </w:rPr>
              <w:t xml:space="preserve"> va fi transmis </w:t>
            </w:r>
            <w:r w:rsidRPr="00AD541A">
              <w:rPr>
                <w:rFonts w:ascii="Times New Roman" w:hAnsi="Times New Roman"/>
                <w:color w:val="000000" w:themeColor="text1"/>
                <w:sz w:val="26"/>
                <w:szCs w:val="26"/>
              </w:rPr>
              <w:t xml:space="preserve">din рrорriеtаtеа statului în proprietatea </w:t>
            </w:r>
            <w:bookmarkStart w:id="0" w:name="_GoBack"/>
            <w:bookmarkEnd w:id="0"/>
            <w:r w:rsidR="002F3404" w:rsidRPr="00AD541A">
              <w:rPr>
                <w:rFonts w:ascii="Times New Roman" w:hAnsi="Times New Roman"/>
                <w:color w:val="000000" w:themeColor="text1"/>
                <w:sz w:val="26"/>
                <w:szCs w:val="26"/>
              </w:rPr>
              <w:t>raionului</w:t>
            </w:r>
            <w:r w:rsidR="00732007" w:rsidRPr="00AD541A">
              <w:rPr>
                <w:rFonts w:ascii="Times New Roman" w:hAnsi="Times New Roman"/>
                <w:color w:val="000000" w:themeColor="text1"/>
                <w:sz w:val="26"/>
                <w:szCs w:val="26"/>
              </w:rPr>
              <w:t xml:space="preserve"> Edineț</w:t>
            </w:r>
            <w:r w:rsidRPr="00AD541A">
              <w:rPr>
                <w:rFonts w:ascii="Times New Roman" w:hAnsi="Times New Roman"/>
                <w:color w:val="000000" w:themeColor="text1"/>
                <w:sz w:val="26"/>
                <w:szCs w:val="26"/>
              </w:rPr>
              <w:t xml:space="preserve"> </w:t>
            </w:r>
            <w:r w:rsidR="00D742FB" w:rsidRPr="00AD541A">
              <w:rPr>
                <w:rFonts w:ascii="Times New Roman" w:hAnsi="Times New Roman"/>
                <w:color w:val="000000" w:themeColor="text1"/>
                <w:sz w:val="26"/>
                <w:szCs w:val="26"/>
              </w:rPr>
              <w:t>în scopul restaurării și valorificării științifice, culturale, educative și turistice, cu respectarea statutului de monument ocrotit</w:t>
            </w:r>
            <w:r w:rsidRPr="00AD541A">
              <w:rPr>
                <w:rFonts w:ascii="Times New Roman" w:hAnsi="Times New Roman"/>
                <w:color w:val="000000" w:themeColor="text1"/>
                <w:sz w:val="26"/>
                <w:szCs w:val="26"/>
              </w:rPr>
              <w:t>.</w:t>
            </w:r>
          </w:p>
        </w:tc>
      </w:tr>
      <w:tr w:rsidR="00B97A7E" w:rsidRPr="00AD541A" w:rsidTr="00877104">
        <w:trPr>
          <w:trHeight w:val="432"/>
        </w:trPr>
        <w:tc>
          <w:tcPr>
            <w:tcW w:w="5000" w:type="pct"/>
            <w:vAlign w:val="center"/>
          </w:tcPr>
          <w:p w:rsidR="009F3F20" w:rsidRPr="00AD541A" w:rsidRDefault="009F3F20" w:rsidP="00FB3145">
            <w:pPr>
              <w:spacing w:after="0" w:line="276" w:lineRule="auto"/>
              <w:ind w:right="8"/>
              <w:jc w:val="both"/>
              <w:rPr>
                <w:rFonts w:ascii="Times New Roman" w:eastAsia="Times New Roman" w:hAnsi="Times New Roman"/>
                <w:b/>
                <w:noProof/>
                <w:sz w:val="26"/>
                <w:szCs w:val="26"/>
                <w:lang w:eastAsia="ru-RU"/>
              </w:rPr>
            </w:pPr>
            <w:r w:rsidRPr="00AD541A">
              <w:rPr>
                <w:rFonts w:ascii="Times New Roman" w:eastAsia="Times New Roman" w:hAnsi="Times New Roman"/>
                <w:b/>
                <w:noProof/>
                <w:sz w:val="26"/>
                <w:szCs w:val="26"/>
                <w:lang w:eastAsia="ru-RU"/>
              </w:rPr>
              <w:lastRenderedPageBreak/>
              <w:t>3. Descrierea gradului de compatibilitate pentru proiectele care au ca scop armonizarea legislaţiei naţionale cu legislaţia Uniunii Europene</w:t>
            </w:r>
          </w:p>
        </w:tc>
      </w:tr>
      <w:tr w:rsidR="00B97A7E" w:rsidRPr="00AD541A" w:rsidTr="00877104">
        <w:trPr>
          <w:trHeight w:val="432"/>
        </w:trPr>
        <w:tc>
          <w:tcPr>
            <w:tcW w:w="5000" w:type="pct"/>
            <w:vAlign w:val="center"/>
          </w:tcPr>
          <w:p w:rsidR="009F3F20" w:rsidRPr="00AD541A" w:rsidRDefault="009F3F20" w:rsidP="00FB3145">
            <w:pPr>
              <w:spacing w:after="0" w:line="276" w:lineRule="auto"/>
              <w:ind w:right="8" w:firstLine="313"/>
              <w:jc w:val="both"/>
              <w:rPr>
                <w:rFonts w:ascii="Times New Roman" w:eastAsia="Times New Roman" w:hAnsi="Times New Roman"/>
                <w:noProof/>
                <w:sz w:val="26"/>
                <w:szCs w:val="26"/>
                <w:lang w:eastAsia="ru-RU"/>
              </w:rPr>
            </w:pPr>
            <w:r w:rsidRPr="00AD541A">
              <w:rPr>
                <w:rFonts w:ascii="Times New Roman" w:eastAsia="Times New Roman" w:hAnsi="Times New Roman"/>
                <w:noProof/>
                <w:sz w:val="26"/>
                <w:szCs w:val="26"/>
                <w:lang w:eastAsia="ru-RU"/>
              </w:rPr>
              <w:t xml:space="preserve">Actul normativ </w:t>
            </w:r>
            <w:r w:rsidR="00512F0F" w:rsidRPr="00AD541A">
              <w:rPr>
                <w:rFonts w:ascii="Times New Roman" w:eastAsia="Times New Roman" w:hAnsi="Times New Roman"/>
                <w:noProof/>
                <w:sz w:val="26"/>
                <w:szCs w:val="26"/>
                <w:lang w:eastAsia="ru-RU"/>
              </w:rPr>
              <w:t>nu conține norme privind armonizarea legislației naționale cu legislația Uniunii Europene.</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jc w:val="both"/>
              <w:rPr>
                <w:rFonts w:ascii="Times New Roman" w:hAnsi="Times New Roman"/>
                <w:b/>
                <w:sz w:val="26"/>
                <w:szCs w:val="26"/>
              </w:rPr>
            </w:pPr>
            <w:r w:rsidRPr="00AD541A">
              <w:rPr>
                <w:rFonts w:ascii="Times New Roman" w:hAnsi="Times New Roman"/>
                <w:b/>
                <w:sz w:val="26"/>
                <w:szCs w:val="26"/>
              </w:rPr>
              <w:t xml:space="preserve">4. Principalele prevederi ale proiectului </w:t>
            </w:r>
            <w:r w:rsidR="008A5B8B" w:rsidRPr="00AD541A">
              <w:rPr>
                <w:rFonts w:ascii="Times New Roman" w:hAnsi="Times New Roman"/>
                <w:b/>
                <w:sz w:val="26"/>
                <w:szCs w:val="26"/>
              </w:rPr>
              <w:t>și</w:t>
            </w:r>
            <w:r w:rsidRPr="00AD541A">
              <w:rPr>
                <w:rFonts w:ascii="Times New Roman" w:hAnsi="Times New Roman"/>
                <w:b/>
                <w:sz w:val="26"/>
                <w:szCs w:val="26"/>
              </w:rPr>
              <w:t xml:space="preserve"> </w:t>
            </w:r>
            <w:r w:rsidR="002B6606" w:rsidRPr="00AD541A">
              <w:rPr>
                <w:rFonts w:ascii="Times New Roman" w:hAnsi="Times New Roman"/>
                <w:b/>
                <w:sz w:val="26"/>
                <w:szCs w:val="26"/>
              </w:rPr>
              <w:t>evidențierea</w:t>
            </w:r>
            <w:r w:rsidRPr="00AD541A">
              <w:rPr>
                <w:rFonts w:ascii="Times New Roman" w:hAnsi="Times New Roman"/>
                <w:b/>
                <w:sz w:val="26"/>
                <w:szCs w:val="26"/>
              </w:rPr>
              <w:t xml:space="preserve"> elementelor noi</w:t>
            </w:r>
          </w:p>
        </w:tc>
      </w:tr>
      <w:tr w:rsidR="00B97A7E" w:rsidRPr="00AD541A" w:rsidTr="00877104">
        <w:trPr>
          <w:trHeight w:val="432"/>
        </w:trPr>
        <w:tc>
          <w:tcPr>
            <w:tcW w:w="5000" w:type="pct"/>
            <w:vAlign w:val="center"/>
          </w:tcPr>
          <w:p w:rsidR="00B02ADA" w:rsidRPr="00AD541A" w:rsidRDefault="00051494" w:rsidP="00FB3145">
            <w:pPr>
              <w:pStyle w:val="Default"/>
              <w:spacing w:line="276" w:lineRule="auto"/>
              <w:ind w:firstLine="379"/>
              <w:jc w:val="both"/>
              <w:rPr>
                <w:color w:val="000000" w:themeColor="text1"/>
                <w:sz w:val="26"/>
                <w:szCs w:val="26"/>
                <w:lang w:val="ro-RO"/>
              </w:rPr>
            </w:pPr>
            <w:r w:rsidRPr="00AD541A">
              <w:rPr>
                <w:color w:val="000000" w:themeColor="text1"/>
                <w:sz w:val="26"/>
                <w:szCs w:val="26"/>
                <w:lang w:val="ro-RO"/>
              </w:rPr>
              <w:t>P</w:t>
            </w:r>
            <w:r w:rsidR="00FB3145" w:rsidRPr="00AD541A">
              <w:rPr>
                <w:color w:val="000000" w:themeColor="text1"/>
                <w:sz w:val="26"/>
                <w:szCs w:val="26"/>
                <w:lang w:val="ro-RO"/>
              </w:rPr>
              <w:t>rezentul p</w:t>
            </w:r>
            <w:r w:rsidRPr="00AD541A">
              <w:rPr>
                <w:color w:val="000000" w:themeColor="text1"/>
                <w:sz w:val="26"/>
                <w:szCs w:val="26"/>
                <w:lang w:val="ro-RO"/>
              </w:rPr>
              <w:t xml:space="preserve">roiect se referă la transmiterea cu acordul Consiliului </w:t>
            </w:r>
            <w:r w:rsidR="00732007" w:rsidRPr="00AD541A">
              <w:rPr>
                <w:color w:val="000000" w:themeColor="text1"/>
                <w:sz w:val="26"/>
                <w:szCs w:val="26"/>
                <w:lang w:val="ro-RO"/>
              </w:rPr>
              <w:t>raional Edineț</w:t>
            </w:r>
            <w:r w:rsidRPr="00AD541A">
              <w:rPr>
                <w:color w:val="000000" w:themeColor="text1"/>
                <w:sz w:val="26"/>
                <w:szCs w:val="26"/>
                <w:lang w:val="ro-RO"/>
              </w:rPr>
              <w:t>, din proprietatea statului, administrarea Ministerului Educaţiei și Cercetării și gestiunea</w:t>
            </w:r>
            <w:r w:rsidR="007C1393" w:rsidRPr="00AD541A">
              <w:rPr>
                <w:color w:val="000000" w:themeColor="text1"/>
                <w:sz w:val="26"/>
                <w:szCs w:val="26"/>
                <w:lang w:val="ro-RO"/>
              </w:rPr>
              <w:t xml:space="preserve"> Instituției Publice Universitatea Pedagogică de Stat „Ion Creangă” din Chișinău</w:t>
            </w:r>
            <w:r w:rsidRPr="00AD541A">
              <w:rPr>
                <w:color w:val="000000" w:themeColor="text1"/>
                <w:sz w:val="26"/>
                <w:szCs w:val="26"/>
                <w:lang w:val="ro-RO"/>
              </w:rPr>
              <w:t xml:space="preserve">, în proprietatea </w:t>
            </w:r>
            <w:r w:rsidR="00732007" w:rsidRPr="00AD541A">
              <w:rPr>
                <w:color w:val="000000" w:themeColor="text1"/>
                <w:sz w:val="26"/>
                <w:szCs w:val="26"/>
                <w:lang w:val="ro-RO"/>
              </w:rPr>
              <w:t>raionului Edineț</w:t>
            </w:r>
            <w:r w:rsidR="002F3404" w:rsidRPr="00AD541A">
              <w:rPr>
                <w:color w:val="000000" w:themeColor="text1"/>
                <w:sz w:val="26"/>
                <w:szCs w:val="26"/>
                <w:lang w:val="ro-RO"/>
              </w:rPr>
              <w:t xml:space="preserve">, </w:t>
            </w:r>
            <w:r w:rsidR="00AD541A">
              <w:rPr>
                <w:color w:val="000000" w:themeColor="text1"/>
                <w:sz w:val="26"/>
                <w:szCs w:val="26"/>
                <w:lang w:val="ro-RO"/>
              </w:rPr>
              <w:t xml:space="preserve">a </w:t>
            </w:r>
            <w:r w:rsidR="00732007" w:rsidRPr="00AD541A">
              <w:rPr>
                <w:color w:val="000000" w:themeColor="text1"/>
                <w:sz w:val="26"/>
                <w:szCs w:val="26"/>
                <w:lang w:val="ro-RO"/>
              </w:rPr>
              <w:t>8 construcții cu un nivel</w:t>
            </w:r>
            <w:r w:rsidR="007C1393" w:rsidRPr="00AD541A">
              <w:rPr>
                <w:color w:val="000000" w:themeColor="text1"/>
                <w:sz w:val="26"/>
                <w:szCs w:val="26"/>
                <w:lang w:val="ro-RO"/>
              </w:rPr>
              <w:t>,</w:t>
            </w:r>
            <w:r w:rsidR="00732007" w:rsidRPr="00AD541A">
              <w:rPr>
                <w:color w:val="000000" w:themeColor="text1"/>
                <w:sz w:val="26"/>
                <w:szCs w:val="26"/>
                <w:lang w:val="ro-RO"/>
              </w:rPr>
              <w:t xml:space="preserve"> situate pe </w:t>
            </w:r>
            <w:r w:rsidR="002F3404" w:rsidRPr="00AD541A">
              <w:rPr>
                <w:color w:val="000000" w:themeColor="text1"/>
                <w:sz w:val="26"/>
                <w:szCs w:val="26"/>
                <w:lang w:val="ro-RO"/>
              </w:rPr>
              <w:t>terenul cu numărul cadastral 4132106.215</w:t>
            </w:r>
            <w:r w:rsidR="007C1393" w:rsidRPr="00AD541A">
              <w:rPr>
                <w:color w:val="000000" w:themeColor="text1"/>
                <w:sz w:val="26"/>
                <w:szCs w:val="26"/>
                <w:lang w:val="ro-RO"/>
              </w:rPr>
              <w:t>,</w:t>
            </w:r>
            <w:r w:rsidRPr="00AD541A">
              <w:rPr>
                <w:color w:val="000000" w:themeColor="text1"/>
                <w:sz w:val="26"/>
                <w:szCs w:val="26"/>
                <w:lang w:val="ro-RO"/>
              </w:rPr>
              <w:t xml:space="preserve"> </w:t>
            </w:r>
            <w:r w:rsidR="007C1393" w:rsidRPr="00AD541A">
              <w:rPr>
                <w:color w:val="000000" w:themeColor="text1"/>
                <w:sz w:val="26"/>
                <w:szCs w:val="26"/>
                <w:lang w:val="ro-RO"/>
              </w:rPr>
              <w:t>în scopul restaurării, valorificării științifice a patrimoniului cultural și includerii acestuia în traseul turistic</w:t>
            </w:r>
            <w:r w:rsidRPr="00AD541A">
              <w:rPr>
                <w:color w:val="000000" w:themeColor="text1"/>
                <w:sz w:val="26"/>
                <w:szCs w:val="26"/>
                <w:lang w:val="ro-RO"/>
              </w:rPr>
              <w:t>.</w:t>
            </w:r>
            <w:r w:rsidR="002F3404" w:rsidRPr="00AD541A">
              <w:rPr>
                <w:color w:val="000000" w:themeColor="text1"/>
                <w:sz w:val="26"/>
                <w:szCs w:val="26"/>
                <w:lang w:val="ro-RO"/>
              </w:rPr>
              <w:t xml:space="preserve"> La fel, se transmite cu acordul Consiliului raional Edineț, din proprietatea statului, administrarea Agenției Proprietății Publice și gestiunea Instituției Publice Universitatea Pedagogică de Stat „Ion Creangă” din Chișinău, în proprietatea raionului Edineț</w:t>
            </w:r>
            <w:r w:rsidR="009528A7" w:rsidRPr="00AD541A">
              <w:rPr>
                <w:color w:val="000000" w:themeColor="text1"/>
                <w:sz w:val="26"/>
                <w:szCs w:val="26"/>
                <w:lang w:val="ro-RO"/>
              </w:rPr>
              <w:t xml:space="preserve"> </w:t>
            </w:r>
            <w:r w:rsidR="002F3404" w:rsidRPr="00AD541A">
              <w:rPr>
                <w:color w:val="000000" w:themeColor="text1"/>
                <w:sz w:val="26"/>
                <w:szCs w:val="26"/>
                <w:lang w:val="ro-RO"/>
              </w:rPr>
              <w:t>terenul cu numărul cadastral 4132106.215</w:t>
            </w:r>
            <w:r w:rsidR="009528A7" w:rsidRPr="00AD541A">
              <w:rPr>
                <w:color w:val="000000" w:themeColor="text1"/>
                <w:sz w:val="26"/>
                <w:szCs w:val="26"/>
                <w:lang w:val="ro-RO"/>
              </w:rPr>
              <w:t>.</w:t>
            </w:r>
          </w:p>
          <w:p w:rsidR="00051494" w:rsidRPr="00AD541A" w:rsidRDefault="004626C5" w:rsidP="00FB3145">
            <w:pPr>
              <w:pStyle w:val="Default"/>
              <w:spacing w:line="276" w:lineRule="auto"/>
              <w:ind w:firstLine="379"/>
              <w:jc w:val="both"/>
              <w:rPr>
                <w:color w:val="000000" w:themeColor="text1"/>
                <w:sz w:val="26"/>
                <w:szCs w:val="26"/>
                <w:lang w:val="ro-RO"/>
              </w:rPr>
            </w:pPr>
            <w:r w:rsidRPr="00AD541A">
              <w:rPr>
                <w:color w:val="000000" w:themeColor="text1"/>
                <w:sz w:val="26"/>
                <w:szCs w:val="26"/>
                <w:lang w:val="ro-RO"/>
              </w:rPr>
              <w:t xml:space="preserve">Potrivit pct.2 din proiectul de Hotărâre de Guvern, </w:t>
            </w:r>
            <w:r w:rsidR="00051494" w:rsidRPr="00AD541A">
              <w:rPr>
                <w:color w:val="000000" w:themeColor="text1"/>
                <w:sz w:val="26"/>
                <w:szCs w:val="26"/>
                <w:lang w:val="ro-RO"/>
              </w:rPr>
              <w:t>Ministerul Educației și Cercetării</w:t>
            </w:r>
            <w:r w:rsidR="009528A7" w:rsidRPr="00AD541A">
              <w:rPr>
                <w:color w:val="000000" w:themeColor="text1"/>
                <w:sz w:val="26"/>
                <w:szCs w:val="26"/>
                <w:lang w:val="ro-RO"/>
              </w:rPr>
              <w:t xml:space="preserve"> și Agenția Proprietății Publice</w:t>
            </w:r>
            <w:r w:rsidR="00051494" w:rsidRPr="00AD541A">
              <w:rPr>
                <w:color w:val="000000" w:themeColor="text1"/>
                <w:sz w:val="26"/>
                <w:szCs w:val="26"/>
                <w:lang w:val="ro-RO"/>
              </w:rPr>
              <w:t xml:space="preserve">, în comun cu Consiliul </w:t>
            </w:r>
            <w:r w:rsidR="00732007" w:rsidRPr="00AD541A">
              <w:rPr>
                <w:color w:val="000000" w:themeColor="text1"/>
                <w:sz w:val="26"/>
                <w:szCs w:val="26"/>
                <w:lang w:val="ro-RO"/>
              </w:rPr>
              <w:t>raional Edineț</w:t>
            </w:r>
            <w:r w:rsidR="009528A7" w:rsidRPr="00AD541A">
              <w:rPr>
                <w:color w:val="000000" w:themeColor="text1"/>
                <w:sz w:val="26"/>
                <w:szCs w:val="26"/>
                <w:lang w:val="ro-RO"/>
              </w:rPr>
              <w:t>, vor</w:t>
            </w:r>
            <w:r w:rsidR="00051494" w:rsidRPr="00AD541A">
              <w:rPr>
                <w:color w:val="000000" w:themeColor="text1"/>
                <w:sz w:val="26"/>
                <w:szCs w:val="26"/>
                <w:lang w:val="ro-RO"/>
              </w:rPr>
              <w:t xml:space="preserve"> institui comisi</w:t>
            </w:r>
            <w:r w:rsidR="009528A7" w:rsidRPr="00AD541A">
              <w:rPr>
                <w:color w:val="000000" w:themeColor="text1"/>
                <w:sz w:val="26"/>
                <w:szCs w:val="26"/>
                <w:lang w:val="ro-RO"/>
              </w:rPr>
              <w:t>ile</w:t>
            </w:r>
            <w:r w:rsidR="00051494" w:rsidRPr="00AD541A">
              <w:rPr>
                <w:color w:val="000000" w:themeColor="text1"/>
                <w:sz w:val="26"/>
                <w:szCs w:val="26"/>
                <w:lang w:val="ro-RO"/>
              </w:rPr>
              <w:t xml:space="preserve"> de transmitere și v</w:t>
            </w:r>
            <w:r w:rsidR="009528A7" w:rsidRPr="00AD541A">
              <w:rPr>
                <w:color w:val="000000" w:themeColor="text1"/>
                <w:sz w:val="26"/>
                <w:szCs w:val="26"/>
                <w:lang w:val="ro-RO"/>
              </w:rPr>
              <w:t>or</w:t>
            </w:r>
            <w:r w:rsidR="00051494" w:rsidRPr="00AD541A">
              <w:rPr>
                <w:color w:val="000000" w:themeColor="text1"/>
                <w:sz w:val="26"/>
                <w:szCs w:val="26"/>
                <w:lang w:val="ro-RO"/>
              </w:rPr>
              <w:t xml:space="preserve"> asigura, în termen de 30 zile, </w:t>
            </w:r>
            <w:r w:rsidR="00732007" w:rsidRPr="00AD541A">
              <w:rPr>
                <w:color w:val="000000" w:themeColor="text1"/>
                <w:sz w:val="26"/>
                <w:szCs w:val="26"/>
                <w:lang w:val="ro-RO"/>
              </w:rPr>
              <w:t>transmiterea bunurilor imobile menționate în hotărâre</w:t>
            </w:r>
            <w:r w:rsidR="00051494" w:rsidRPr="00AD541A">
              <w:rPr>
                <w:color w:val="000000" w:themeColor="text1"/>
                <w:sz w:val="26"/>
                <w:szCs w:val="26"/>
                <w:lang w:val="ro-RO"/>
              </w:rPr>
              <w:t>, în conformitate cu prevederile Regulamentului cu privire la modul de transmitere a bunurilor proprietate publică, aprobat prin Hotărîrea Guvernului nr.901/2015.</w:t>
            </w:r>
          </w:p>
          <w:p w:rsidR="00051494" w:rsidRPr="00AD541A" w:rsidRDefault="004626C5" w:rsidP="00FB3145">
            <w:pPr>
              <w:pStyle w:val="Default"/>
              <w:spacing w:line="276" w:lineRule="auto"/>
              <w:ind w:firstLine="379"/>
              <w:jc w:val="both"/>
              <w:rPr>
                <w:color w:val="000000" w:themeColor="text1"/>
                <w:sz w:val="26"/>
                <w:szCs w:val="26"/>
                <w:lang w:val="ro-RO"/>
              </w:rPr>
            </w:pPr>
            <w:r w:rsidRPr="00AD541A">
              <w:rPr>
                <w:color w:val="000000" w:themeColor="text1"/>
                <w:sz w:val="26"/>
                <w:szCs w:val="26"/>
                <w:lang w:val="ro-RO"/>
              </w:rPr>
              <w:t>În corespundere cu pct.3 din proiectul de Hotărâre de Guvern,</w:t>
            </w:r>
            <w:r w:rsidR="00051494" w:rsidRPr="00AD541A">
              <w:rPr>
                <w:color w:val="000000" w:themeColor="text1"/>
                <w:sz w:val="26"/>
                <w:szCs w:val="26"/>
                <w:lang w:val="ro-RO"/>
              </w:rPr>
              <w:t xml:space="preserve"> </w:t>
            </w:r>
            <w:r w:rsidRPr="00AD541A">
              <w:rPr>
                <w:color w:val="000000" w:themeColor="text1"/>
                <w:sz w:val="26"/>
                <w:szCs w:val="26"/>
                <w:lang w:val="ro-RO"/>
              </w:rPr>
              <w:t xml:space="preserve">se propune excluderea poziției </w:t>
            </w:r>
            <w:r w:rsidR="00732007" w:rsidRPr="00AD541A">
              <w:rPr>
                <w:color w:val="000000" w:themeColor="text1"/>
                <w:sz w:val="26"/>
                <w:szCs w:val="26"/>
                <w:lang w:val="ro-RO"/>
              </w:rPr>
              <w:t>259</w:t>
            </w:r>
            <w:r w:rsidRPr="00AD541A">
              <w:rPr>
                <w:color w:val="000000" w:themeColor="text1"/>
                <w:sz w:val="26"/>
                <w:szCs w:val="26"/>
                <w:lang w:val="ro-RO"/>
              </w:rPr>
              <w:t xml:space="preserve"> d</w:t>
            </w:r>
            <w:r w:rsidR="00051494" w:rsidRPr="00AD541A">
              <w:rPr>
                <w:color w:val="000000" w:themeColor="text1"/>
                <w:sz w:val="26"/>
                <w:szCs w:val="26"/>
                <w:lang w:val="ro-RO"/>
              </w:rPr>
              <w:t>in anexa nr.22</w:t>
            </w:r>
            <w:r w:rsidR="00051494" w:rsidRPr="00AD541A">
              <w:rPr>
                <w:color w:val="000000" w:themeColor="text1"/>
                <w:sz w:val="26"/>
                <w:szCs w:val="26"/>
                <w:vertAlign w:val="superscript"/>
                <w:lang w:val="ro-RO"/>
              </w:rPr>
              <w:t>12</w:t>
            </w:r>
            <w:r w:rsidR="00051494" w:rsidRPr="00AD541A">
              <w:rPr>
                <w:color w:val="000000" w:themeColor="text1"/>
                <w:sz w:val="26"/>
                <w:szCs w:val="26"/>
                <w:lang w:val="ro-RO"/>
              </w:rPr>
              <w:t xml:space="preserve"> la Hotărârea Guvernului nr.351/2005 cu privire la aprobarea listelor bunurilor imobile proprietate publică a statului și la transmiterea unor bunuri </w:t>
            </w:r>
            <w:r w:rsidR="00051494" w:rsidRPr="00AD541A">
              <w:rPr>
                <w:color w:val="000000" w:themeColor="text1"/>
                <w:sz w:val="26"/>
                <w:szCs w:val="26"/>
                <w:lang w:val="ro-RO"/>
              </w:rPr>
              <w:lastRenderedPageBreak/>
              <w:t>imob</w:t>
            </w:r>
            <w:r w:rsidRPr="00AD541A">
              <w:rPr>
                <w:color w:val="000000" w:themeColor="text1"/>
                <w:sz w:val="26"/>
                <w:szCs w:val="26"/>
                <w:lang w:val="ro-RO"/>
              </w:rPr>
              <w:t>ile, cu modificările ulterioare</w:t>
            </w:r>
            <w:r w:rsidR="00051494" w:rsidRPr="00AD541A">
              <w:rPr>
                <w:color w:val="000000" w:themeColor="text1"/>
                <w:sz w:val="26"/>
                <w:szCs w:val="26"/>
                <w:lang w:val="ro-RO"/>
              </w:rPr>
              <w:t>.</w:t>
            </w:r>
          </w:p>
          <w:p w:rsidR="005475D7" w:rsidRPr="00AD541A" w:rsidRDefault="004626C5" w:rsidP="00FB3145">
            <w:pPr>
              <w:pStyle w:val="Default"/>
              <w:spacing w:line="276" w:lineRule="auto"/>
              <w:ind w:firstLine="379"/>
              <w:jc w:val="both"/>
              <w:rPr>
                <w:color w:val="000000" w:themeColor="text1"/>
                <w:sz w:val="26"/>
                <w:szCs w:val="26"/>
                <w:lang w:val="ro-RO"/>
              </w:rPr>
            </w:pPr>
            <w:r w:rsidRPr="00AD541A">
              <w:rPr>
                <w:color w:val="000000" w:themeColor="text1"/>
                <w:sz w:val="26"/>
                <w:szCs w:val="26"/>
                <w:lang w:val="ro-RO"/>
              </w:rPr>
              <w:t>Conform pct.</w:t>
            </w:r>
            <w:r w:rsidR="00051494" w:rsidRPr="00AD541A">
              <w:rPr>
                <w:color w:val="000000" w:themeColor="text1"/>
                <w:sz w:val="26"/>
                <w:szCs w:val="26"/>
                <w:lang w:val="ro-RO"/>
              </w:rPr>
              <w:t>4</w:t>
            </w:r>
            <w:r w:rsidRPr="00AD541A">
              <w:rPr>
                <w:color w:val="000000" w:themeColor="text1"/>
                <w:sz w:val="26"/>
                <w:szCs w:val="26"/>
                <w:lang w:val="ro-RO"/>
              </w:rPr>
              <w:t xml:space="preserve"> din proiectul de Hotărâre de Guvern</w:t>
            </w:r>
            <w:r w:rsidR="00051494" w:rsidRPr="00AD541A">
              <w:rPr>
                <w:color w:val="000000" w:themeColor="text1"/>
                <w:sz w:val="26"/>
                <w:szCs w:val="26"/>
                <w:lang w:val="ro-RO"/>
              </w:rPr>
              <w:t xml:space="preserve"> </w:t>
            </w:r>
            <w:r w:rsidRPr="00AD541A">
              <w:rPr>
                <w:color w:val="000000" w:themeColor="text1"/>
                <w:sz w:val="26"/>
                <w:szCs w:val="26"/>
                <w:lang w:val="ro-RO"/>
              </w:rPr>
              <w:t>s</w:t>
            </w:r>
            <w:r w:rsidR="00732007" w:rsidRPr="00AD541A">
              <w:rPr>
                <w:color w:val="000000" w:themeColor="text1"/>
                <w:sz w:val="26"/>
                <w:szCs w:val="26"/>
                <w:lang w:val="ro-RO"/>
              </w:rPr>
              <w:t>e propune excluderea poziției 9</w:t>
            </w:r>
            <w:r w:rsidRPr="00AD541A">
              <w:rPr>
                <w:color w:val="000000" w:themeColor="text1"/>
                <w:sz w:val="26"/>
                <w:szCs w:val="26"/>
                <w:lang w:val="ro-RO"/>
              </w:rPr>
              <w:t>2</w:t>
            </w:r>
            <w:r w:rsidR="00732007" w:rsidRPr="00AD541A">
              <w:rPr>
                <w:color w:val="000000" w:themeColor="text1"/>
                <w:sz w:val="26"/>
                <w:szCs w:val="26"/>
                <w:lang w:val="ro-RO"/>
              </w:rPr>
              <w:t>6</w:t>
            </w:r>
            <w:r w:rsidRPr="00AD541A">
              <w:rPr>
                <w:color w:val="000000" w:themeColor="text1"/>
                <w:sz w:val="26"/>
                <w:szCs w:val="26"/>
                <w:lang w:val="ro-RO"/>
              </w:rPr>
              <w:t xml:space="preserve"> d</w:t>
            </w:r>
            <w:r w:rsidR="00051494" w:rsidRPr="00AD541A">
              <w:rPr>
                <w:color w:val="000000" w:themeColor="text1"/>
                <w:sz w:val="26"/>
                <w:szCs w:val="26"/>
                <w:lang w:val="ro-RO"/>
              </w:rPr>
              <w:t>in anexa nr.1 la Hotărârea Guvernului nr.161/2019 cu privire la aprobarea listei terenurilor proprietate publică a statului din administrarea Agenției Proprietății Publi</w:t>
            </w:r>
            <w:r w:rsidRPr="00AD541A">
              <w:rPr>
                <w:color w:val="000000" w:themeColor="text1"/>
                <w:sz w:val="26"/>
                <w:szCs w:val="26"/>
                <w:lang w:val="ro-RO"/>
              </w:rPr>
              <w:t>ce, cu modificările ulterioare.</w:t>
            </w:r>
          </w:p>
          <w:p w:rsidR="005475D7" w:rsidRPr="00AD541A" w:rsidRDefault="004626C5" w:rsidP="00FB3145">
            <w:pPr>
              <w:pStyle w:val="Default"/>
              <w:spacing w:line="276" w:lineRule="auto"/>
              <w:ind w:firstLine="379"/>
              <w:jc w:val="both"/>
              <w:rPr>
                <w:color w:val="auto"/>
                <w:sz w:val="26"/>
                <w:szCs w:val="26"/>
                <w:lang w:val="ro-RO"/>
              </w:rPr>
            </w:pPr>
            <w:r w:rsidRPr="00AD541A">
              <w:rPr>
                <w:color w:val="000000" w:themeColor="text1"/>
                <w:sz w:val="26"/>
                <w:szCs w:val="26"/>
                <w:lang w:val="ro-RO"/>
              </w:rPr>
              <w:t>În sensul pct.5 al proiectului, data intrării în vigoare a Hotărârii de Guvern se propune a fi data publicării acestuia în Monitorul Oficial al Republicii Moldova.</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firstLine="284"/>
              <w:jc w:val="both"/>
              <w:rPr>
                <w:rFonts w:ascii="Times New Roman" w:hAnsi="Times New Roman"/>
                <w:b/>
                <w:sz w:val="26"/>
                <w:szCs w:val="26"/>
              </w:rPr>
            </w:pPr>
            <w:r w:rsidRPr="00AD541A">
              <w:rPr>
                <w:rFonts w:ascii="Times New Roman" w:hAnsi="Times New Roman"/>
                <w:b/>
                <w:sz w:val="26"/>
                <w:szCs w:val="26"/>
              </w:rPr>
              <w:lastRenderedPageBreak/>
              <w:t>5. Fundamentarea economico-financiară</w:t>
            </w:r>
          </w:p>
        </w:tc>
      </w:tr>
      <w:tr w:rsidR="00B97A7E" w:rsidRPr="00AD541A" w:rsidTr="00877104">
        <w:trPr>
          <w:trHeight w:val="432"/>
        </w:trPr>
        <w:tc>
          <w:tcPr>
            <w:tcW w:w="5000" w:type="pct"/>
            <w:vAlign w:val="center"/>
          </w:tcPr>
          <w:p w:rsidR="009F3F20" w:rsidRPr="00AD541A" w:rsidRDefault="00866D4D" w:rsidP="00FB3145">
            <w:pPr>
              <w:tabs>
                <w:tab w:val="left" w:pos="5954"/>
                <w:tab w:val="left" w:pos="60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Implementarea prevederilor proiectului nu necesită cheltuieli financiare </w:t>
            </w:r>
            <w:r w:rsidR="000B6596" w:rsidRPr="00AD541A">
              <w:rPr>
                <w:rFonts w:ascii="Times New Roman" w:hAnsi="Times New Roman"/>
                <w:sz w:val="26"/>
                <w:szCs w:val="26"/>
              </w:rPr>
              <w:t>din bugetul de stat</w:t>
            </w:r>
            <w:r w:rsidRPr="00AD541A">
              <w:rPr>
                <w:rFonts w:ascii="Times New Roman" w:hAnsi="Times New Roman"/>
                <w:sz w:val="26"/>
                <w:szCs w:val="26"/>
              </w:rPr>
              <w:t>.</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firstLine="284"/>
              <w:jc w:val="both"/>
              <w:rPr>
                <w:rFonts w:ascii="Times New Roman" w:hAnsi="Times New Roman"/>
                <w:b/>
                <w:sz w:val="26"/>
                <w:szCs w:val="26"/>
              </w:rPr>
            </w:pPr>
            <w:r w:rsidRPr="00AD541A">
              <w:rPr>
                <w:rFonts w:ascii="Times New Roman" w:hAnsi="Times New Roman"/>
                <w:b/>
                <w:sz w:val="26"/>
                <w:szCs w:val="26"/>
              </w:rPr>
              <w:t>6. Modul de încorporare a actului în cadrul normativ în vigoare</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eastAsia="Times New Roman" w:hAnsi="Times New Roman"/>
                <w:noProof/>
                <w:sz w:val="26"/>
                <w:szCs w:val="26"/>
                <w:lang w:eastAsia="ru-RU"/>
              </w:rPr>
              <w:t>Proiectul se încorporează î</w:t>
            </w:r>
            <w:r w:rsidR="00DD2FBF" w:rsidRPr="00AD541A">
              <w:rPr>
                <w:rFonts w:ascii="Times New Roman" w:eastAsia="Times New Roman" w:hAnsi="Times New Roman"/>
                <w:noProof/>
                <w:sz w:val="26"/>
                <w:szCs w:val="26"/>
                <w:lang w:eastAsia="ru-RU"/>
              </w:rPr>
              <w:t>n sistemul actelor normative și</w:t>
            </w:r>
            <w:r w:rsidR="00DD2FBF" w:rsidRPr="00AD541A">
              <w:rPr>
                <w:rFonts w:ascii="Times New Roman" w:hAnsi="Times New Roman"/>
                <w:sz w:val="26"/>
                <w:szCs w:val="26"/>
              </w:rPr>
              <w:t xml:space="preserve"> nu necesită</w:t>
            </w:r>
            <w:r w:rsidR="00D51596" w:rsidRPr="00AD541A">
              <w:rPr>
                <w:rFonts w:ascii="Times New Roman" w:hAnsi="Times New Roman"/>
                <w:sz w:val="26"/>
                <w:szCs w:val="26"/>
              </w:rPr>
              <w:t xml:space="preserve"> </w:t>
            </w:r>
            <w:r w:rsidR="00DD2FBF" w:rsidRPr="00AD541A">
              <w:rPr>
                <w:rFonts w:ascii="Times New Roman" w:hAnsi="Times New Roman"/>
                <w:sz w:val="26"/>
                <w:szCs w:val="26"/>
              </w:rPr>
              <w:t>modificarea cadrului normativ sau elaborarea unor acte normative noi.</w:t>
            </w:r>
            <w:r w:rsidR="00D51596" w:rsidRPr="00AD541A">
              <w:rPr>
                <w:rFonts w:ascii="Times New Roman" w:hAnsi="Times New Roman"/>
                <w:sz w:val="26"/>
                <w:szCs w:val="26"/>
              </w:rPr>
              <w:t xml:space="preserve"> </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firstLine="284"/>
              <w:jc w:val="both"/>
              <w:rPr>
                <w:rFonts w:ascii="Times New Roman" w:hAnsi="Times New Roman"/>
                <w:b/>
                <w:sz w:val="26"/>
                <w:szCs w:val="26"/>
              </w:rPr>
            </w:pPr>
            <w:r w:rsidRPr="00AD541A">
              <w:rPr>
                <w:rFonts w:ascii="Times New Roman" w:hAnsi="Times New Roman"/>
                <w:b/>
                <w:sz w:val="26"/>
                <w:szCs w:val="26"/>
              </w:rPr>
              <w:t>7. Avizarea şi consultarea publică a proiectului</w:t>
            </w:r>
          </w:p>
        </w:tc>
      </w:tr>
      <w:tr w:rsidR="00B97A7E" w:rsidRPr="00AD541A" w:rsidTr="00877104">
        <w:trPr>
          <w:trHeight w:val="432"/>
        </w:trPr>
        <w:tc>
          <w:tcPr>
            <w:tcW w:w="5000" w:type="pct"/>
            <w:vAlign w:val="center"/>
          </w:tcPr>
          <w:p w:rsidR="0046468D" w:rsidRPr="00AD541A" w:rsidRDefault="009F3F20" w:rsidP="00FB3145">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În scopul respectării prevederilor Legii nr.239/2008 privind </w:t>
            </w:r>
            <w:r w:rsidR="000B6596" w:rsidRPr="00AD541A">
              <w:rPr>
                <w:rFonts w:ascii="Times New Roman" w:hAnsi="Times New Roman"/>
                <w:sz w:val="26"/>
                <w:szCs w:val="26"/>
              </w:rPr>
              <w:t>transparența</w:t>
            </w:r>
            <w:r w:rsidRPr="00AD541A">
              <w:rPr>
                <w:rFonts w:ascii="Times New Roman" w:hAnsi="Times New Roman"/>
                <w:sz w:val="26"/>
                <w:szCs w:val="26"/>
              </w:rPr>
              <w:t xml:space="preserve"> în procesul decizional, proiectul </w:t>
            </w:r>
            <w:r w:rsidR="009A47D6" w:rsidRPr="00AD541A">
              <w:rPr>
                <w:rFonts w:ascii="Times New Roman" w:hAnsi="Times New Roman"/>
                <w:sz w:val="26"/>
                <w:szCs w:val="26"/>
              </w:rPr>
              <w:t>de ordin va fi</w:t>
            </w:r>
            <w:r w:rsidRPr="00AD541A">
              <w:rPr>
                <w:rFonts w:ascii="Times New Roman" w:hAnsi="Times New Roman"/>
                <w:sz w:val="26"/>
                <w:szCs w:val="26"/>
              </w:rPr>
              <w:t xml:space="preserve"> plasat pe pagina web oficială a Ministerului Educației și Cercetării </w:t>
            </w:r>
            <w:hyperlink r:id="rId8" w:history="1">
              <w:r w:rsidRPr="00AD541A">
                <w:rPr>
                  <w:rStyle w:val="Hyperlink"/>
                  <w:rFonts w:ascii="Times New Roman" w:hAnsi="Times New Roman"/>
                  <w:color w:val="auto"/>
                  <w:sz w:val="26"/>
                  <w:szCs w:val="26"/>
                </w:rPr>
                <w:t>www.mec.gov.md</w:t>
              </w:r>
            </w:hyperlink>
            <w:r w:rsidRPr="00AD541A">
              <w:rPr>
                <w:rFonts w:ascii="Times New Roman" w:hAnsi="Times New Roman"/>
                <w:sz w:val="26"/>
                <w:szCs w:val="26"/>
              </w:rPr>
              <w:t xml:space="preserve">, compartimentul </w:t>
            </w:r>
            <w:r w:rsidR="000B6596" w:rsidRPr="00AD541A">
              <w:rPr>
                <w:rFonts w:ascii="Times New Roman" w:hAnsi="Times New Roman"/>
                <w:sz w:val="26"/>
                <w:szCs w:val="26"/>
              </w:rPr>
              <w:t>Transparența</w:t>
            </w:r>
            <w:r w:rsidRPr="00AD541A">
              <w:rPr>
                <w:rFonts w:ascii="Times New Roman" w:hAnsi="Times New Roman"/>
                <w:sz w:val="26"/>
                <w:szCs w:val="26"/>
              </w:rPr>
              <w:t xml:space="preserve"> decizională, precum și pe pagina web </w:t>
            </w:r>
            <w:hyperlink r:id="rId9" w:history="1">
              <w:r w:rsidRPr="00AD541A">
                <w:rPr>
                  <w:rStyle w:val="Hyperlink"/>
                  <w:rFonts w:ascii="Times New Roman" w:hAnsi="Times New Roman"/>
                  <w:color w:val="auto"/>
                  <w:sz w:val="26"/>
                  <w:szCs w:val="26"/>
                </w:rPr>
                <w:t>www.particip.gov.md</w:t>
              </w:r>
            </w:hyperlink>
            <w:r w:rsidRPr="00AD541A">
              <w:rPr>
                <w:rFonts w:ascii="Times New Roman" w:hAnsi="Times New Roman"/>
                <w:sz w:val="26"/>
                <w:szCs w:val="26"/>
              </w:rPr>
              <w:t>.</w:t>
            </w:r>
          </w:p>
          <w:p w:rsidR="009F3F20" w:rsidRPr="00AD541A" w:rsidRDefault="0046468D" w:rsidP="00AD541A">
            <w:pPr>
              <w:tabs>
                <w:tab w:val="left" w:pos="884"/>
                <w:tab w:val="left" w:pos="1196"/>
              </w:tabs>
              <w:spacing w:after="0" w:line="276" w:lineRule="auto"/>
              <w:ind w:left="29" w:right="33" w:firstLine="284"/>
              <w:jc w:val="both"/>
              <w:rPr>
                <w:rFonts w:ascii="Times New Roman" w:hAnsi="Times New Roman"/>
                <w:sz w:val="26"/>
                <w:szCs w:val="26"/>
              </w:rPr>
            </w:pPr>
            <w:r w:rsidRPr="00AD541A">
              <w:rPr>
                <w:rFonts w:ascii="Times New Roman" w:hAnsi="Times New Roman"/>
                <w:sz w:val="26"/>
                <w:szCs w:val="26"/>
              </w:rPr>
              <w:t xml:space="preserve">În procesul de avizare au fost recepționate avizele </w:t>
            </w:r>
            <w:r w:rsidRPr="00AD541A">
              <w:rPr>
                <w:rFonts w:ascii="Times New Roman" w:hAnsi="Times New Roman"/>
                <w:sz w:val="26"/>
                <w:szCs w:val="26"/>
              </w:rPr>
              <w:t>Ministerul</w:t>
            </w:r>
            <w:r w:rsidRPr="00AD541A">
              <w:rPr>
                <w:rFonts w:ascii="Times New Roman" w:hAnsi="Times New Roman"/>
                <w:sz w:val="26"/>
                <w:szCs w:val="26"/>
              </w:rPr>
              <w:t>ui</w:t>
            </w:r>
            <w:r w:rsidRPr="00AD541A">
              <w:rPr>
                <w:rFonts w:ascii="Times New Roman" w:hAnsi="Times New Roman"/>
                <w:sz w:val="26"/>
                <w:szCs w:val="26"/>
              </w:rPr>
              <w:t xml:space="preserve"> </w:t>
            </w:r>
            <w:r w:rsidRPr="00AD541A">
              <w:rPr>
                <w:rFonts w:ascii="Times New Roman" w:hAnsi="Times New Roman"/>
                <w:sz w:val="26"/>
                <w:szCs w:val="26"/>
              </w:rPr>
              <w:t xml:space="preserve">Culturii, </w:t>
            </w:r>
            <w:r w:rsidRPr="00AD541A">
              <w:rPr>
                <w:rFonts w:ascii="Times New Roman" w:hAnsi="Times New Roman"/>
                <w:sz w:val="26"/>
                <w:szCs w:val="26"/>
              </w:rPr>
              <w:t>Ministerul</w:t>
            </w:r>
            <w:r w:rsidRPr="00AD541A">
              <w:rPr>
                <w:rFonts w:ascii="Times New Roman" w:hAnsi="Times New Roman"/>
                <w:sz w:val="26"/>
                <w:szCs w:val="26"/>
              </w:rPr>
              <w:t>ui</w:t>
            </w:r>
            <w:r w:rsidRPr="00AD541A">
              <w:rPr>
                <w:rFonts w:ascii="Times New Roman" w:hAnsi="Times New Roman"/>
                <w:sz w:val="26"/>
                <w:szCs w:val="26"/>
              </w:rPr>
              <w:t xml:space="preserve"> Infrastru</w:t>
            </w:r>
            <w:r w:rsidRPr="00AD541A">
              <w:rPr>
                <w:rFonts w:ascii="Times New Roman" w:hAnsi="Times New Roman"/>
                <w:sz w:val="26"/>
                <w:szCs w:val="26"/>
              </w:rPr>
              <w:t xml:space="preserve">cturii și Dezvoltării Regionale și </w:t>
            </w:r>
            <w:r w:rsidRPr="00AD541A">
              <w:rPr>
                <w:rFonts w:ascii="Times New Roman" w:hAnsi="Times New Roman"/>
                <w:sz w:val="26"/>
                <w:szCs w:val="26"/>
              </w:rPr>
              <w:t>Agenți</w:t>
            </w:r>
            <w:r w:rsidRPr="00AD541A">
              <w:rPr>
                <w:rFonts w:ascii="Times New Roman" w:hAnsi="Times New Roman"/>
                <w:sz w:val="26"/>
                <w:szCs w:val="26"/>
              </w:rPr>
              <w:t>ei</w:t>
            </w:r>
            <w:r w:rsidRPr="00AD541A">
              <w:rPr>
                <w:rFonts w:ascii="Times New Roman" w:hAnsi="Times New Roman"/>
                <w:sz w:val="26"/>
                <w:szCs w:val="26"/>
              </w:rPr>
              <w:t xml:space="preserve"> Servicii Publice</w:t>
            </w:r>
            <w:r w:rsidRPr="00AD541A">
              <w:rPr>
                <w:rFonts w:ascii="Times New Roman" w:hAnsi="Times New Roman"/>
                <w:sz w:val="26"/>
                <w:szCs w:val="26"/>
              </w:rPr>
              <w:t xml:space="preserve"> care au comunicat despre lipsa obiecțiilor asupra proiectului și avizul Agenției Proprietății Pub</w:t>
            </w:r>
            <w:r w:rsidR="00AD541A" w:rsidRPr="00AD541A">
              <w:rPr>
                <w:rFonts w:ascii="Times New Roman" w:hAnsi="Times New Roman"/>
                <w:sz w:val="26"/>
                <w:szCs w:val="26"/>
              </w:rPr>
              <w:t xml:space="preserve">lice care conține o recomandare, </w:t>
            </w:r>
            <w:r w:rsidRPr="00AD541A">
              <w:rPr>
                <w:rFonts w:ascii="Times New Roman" w:hAnsi="Times New Roman"/>
                <w:sz w:val="26"/>
                <w:szCs w:val="26"/>
              </w:rPr>
              <w:t xml:space="preserve">analizată în </w:t>
            </w:r>
            <w:r w:rsidR="00AD541A" w:rsidRPr="00AD541A">
              <w:rPr>
                <w:rFonts w:ascii="Times New Roman" w:hAnsi="Times New Roman"/>
                <w:sz w:val="26"/>
                <w:szCs w:val="26"/>
              </w:rPr>
              <w:t>tabelul de sinteză a</w:t>
            </w:r>
            <w:r w:rsidRPr="00AD541A">
              <w:rPr>
                <w:rFonts w:ascii="Times New Roman" w:hAnsi="Times New Roman"/>
                <w:sz w:val="26"/>
                <w:szCs w:val="26"/>
              </w:rPr>
              <w:t xml:space="preserve"> obiecțiilor </w:t>
            </w:r>
            <w:r w:rsidR="00AD541A" w:rsidRPr="00AD541A">
              <w:rPr>
                <w:rFonts w:ascii="Times New Roman" w:hAnsi="Times New Roman"/>
                <w:sz w:val="26"/>
                <w:szCs w:val="26"/>
              </w:rPr>
              <w:t xml:space="preserve">și propunerilor </w:t>
            </w:r>
            <w:r w:rsidRPr="00AD541A">
              <w:rPr>
                <w:rFonts w:ascii="Times New Roman" w:hAnsi="Times New Roman"/>
                <w:sz w:val="26"/>
                <w:szCs w:val="26"/>
              </w:rPr>
              <w:t xml:space="preserve">aferent </w:t>
            </w:r>
            <w:r w:rsidR="00AD541A" w:rsidRPr="00AD541A">
              <w:rPr>
                <w:rFonts w:ascii="Times New Roman" w:hAnsi="Times New Roman"/>
                <w:sz w:val="26"/>
                <w:szCs w:val="26"/>
              </w:rPr>
              <w:t>proiectului.</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firstLine="284"/>
              <w:jc w:val="both"/>
              <w:rPr>
                <w:rFonts w:ascii="Times New Roman" w:hAnsi="Times New Roman"/>
                <w:b/>
                <w:sz w:val="26"/>
                <w:szCs w:val="26"/>
              </w:rPr>
            </w:pPr>
            <w:r w:rsidRPr="00AD541A">
              <w:rPr>
                <w:rFonts w:ascii="Times New Roman" w:hAnsi="Times New Roman"/>
                <w:b/>
                <w:sz w:val="26"/>
                <w:szCs w:val="26"/>
              </w:rPr>
              <w:t xml:space="preserve">8. Constatările expertizei </w:t>
            </w:r>
            <w:r w:rsidR="000B6596" w:rsidRPr="00AD541A">
              <w:rPr>
                <w:rFonts w:ascii="Times New Roman" w:hAnsi="Times New Roman"/>
                <w:b/>
                <w:sz w:val="26"/>
                <w:szCs w:val="26"/>
              </w:rPr>
              <w:t>anticorupție</w:t>
            </w:r>
          </w:p>
        </w:tc>
      </w:tr>
      <w:tr w:rsidR="00B97A7E" w:rsidRPr="00AD541A" w:rsidTr="00877104">
        <w:trPr>
          <w:trHeight w:val="432"/>
        </w:trPr>
        <w:tc>
          <w:tcPr>
            <w:tcW w:w="5000" w:type="pct"/>
            <w:vAlign w:val="center"/>
          </w:tcPr>
          <w:p w:rsidR="009F3F20" w:rsidRPr="00AD541A" w:rsidRDefault="009F3F20" w:rsidP="00FB3145">
            <w:pPr>
              <w:tabs>
                <w:tab w:val="left" w:pos="884"/>
                <w:tab w:val="left" w:pos="1196"/>
              </w:tabs>
              <w:spacing w:after="0" w:line="276" w:lineRule="auto"/>
              <w:ind w:left="29" w:right="33" w:firstLine="284"/>
              <w:jc w:val="both"/>
              <w:rPr>
                <w:rFonts w:ascii="Times New Roman" w:hAnsi="Times New Roman"/>
                <w:color w:val="000000" w:themeColor="text1"/>
                <w:sz w:val="26"/>
                <w:szCs w:val="26"/>
              </w:rPr>
            </w:pPr>
            <w:r w:rsidRPr="00AD541A">
              <w:rPr>
                <w:rFonts w:ascii="Times New Roman" w:eastAsia="Times New Roman" w:hAnsi="Times New Roman"/>
                <w:noProof/>
                <w:color w:val="000000" w:themeColor="text1"/>
                <w:sz w:val="26"/>
                <w:szCs w:val="26"/>
                <w:lang w:eastAsia="ru-RU"/>
              </w:rPr>
              <w:t>P</w:t>
            </w:r>
            <w:r w:rsidR="00080E58" w:rsidRPr="00AD541A">
              <w:rPr>
                <w:rFonts w:ascii="Times New Roman" w:hAnsi="Times New Roman"/>
                <w:color w:val="000000" w:themeColor="text1"/>
                <w:sz w:val="26"/>
                <w:szCs w:val="26"/>
              </w:rPr>
              <w:t>roiectul</w:t>
            </w:r>
            <w:r w:rsidRPr="00AD541A">
              <w:rPr>
                <w:rFonts w:ascii="Times New Roman" w:hAnsi="Times New Roman"/>
                <w:color w:val="000000" w:themeColor="text1"/>
                <w:sz w:val="26"/>
                <w:szCs w:val="26"/>
              </w:rPr>
              <w:t xml:space="preserve"> </w:t>
            </w:r>
            <w:r w:rsidR="009A47D6" w:rsidRPr="00AD541A">
              <w:rPr>
                <w:rFonts w:ascii="Times New Roman" w:hAnsi="Times New Roman"/>
                <w:color w:val="000000" w:themeColor="text1"/>
                <w:sz w:val="26"/>
                <w:szCs w:val="26"/>
              </w:rPr>
              <w:t>va fi supus</w:t>
            </w:r>
            <w:r w:rsidRPr="00AD541A">
              <w:rPr>
                <w:rFonts w:ascii="Times New Roman" w:hAnsi="Times New Roman"/>
                <w:color w:val="000000" w:themeColor="text1"/>
                <w:sz w:val="26"/>
                <w:szCs w:val="26"/>
              </w:rPr>
              <w:t xml:space="preserve"> expertizei anticorupție la Centrul Național Anticorupție. </w:t>
            </w:r>
          </w:p>
        </w:tc>
      </w:tr>
      <w:tr w:rsidR="00C0300D" w:rsidRPr="00AD541A" w:rsidTr="00877104">
        <w:trPr>
          <w:trHeight w:val="432"/>
        </w:trPr>
        <w:tc>
          <w:tcPr>
            <w:tcW w:w="5000" w:type="pct"/>
            <w:vAlign w:val="center"/>
          </w:tcPr>
          <w:p w:rsidR="00C0300D" w:rsidRPr="00AD541A" w:rsidRDefault="00C0300D" w:rsidP="00FB3145">
            <w:pPr>
              <w:tabs>
                <w:tab w:val="left" w:pos="884"/>
                <w:tab w:val="left" w:pos="1196"/>
              </w:tabs>
              <w:spacing w:after="0" w:line="276" w:lineRule="auto"/>
              <w:ind w:left="29" w:right="33" w:firstLine="284"/>
              <w:jc w:val="both"/>
              <w:rPr>
                <w:rFonts w:ascii="Times New Roman" w:eastAsia="Times New Roman" w:hAnsi="Times New Roman"/>
                <w:noProof/>
                <w:color w:val="000000" w:themeColor="text1"/>
                <w:sz w:val="26"/>
                <w:szCs w:val="26"/>
                <w:lang w:eastAsia="ru-RU"/>
              </w:rPr>
            </w:pPr>
            <w:r w:rsidRPr="00AD541A">
              <w:rPr>
                <w:rFonts w:ascii="Times New Roman" w:hAnsi="Times New Roman"/>
                <w:b/>
                <w:color w:val="000000" w:themeColor="text1"/>
                <w:sz w:val="26"/>
                <w:szCs w:val="26"/>
              </w:rPr>
              <w:t>9. Constatările expertizei de compatibilitate cu legislația Uniunii Europene</w:t>
            </w:r>
          </w:p>
        </w:tc>
      </w:tr>
      <w:tr w:rsidR="00C0300D" w:rsidRPr="00AD541A" w:rsidTr="00877104">
        <w:trPr>
          <w:trHeight w:val="432"/>
        </w:trPr>
        <w:tc>
          <w:tcPr>
            <w:tcW w:w="5000" w:type="pct"/>
            <w:vAlign w:val="center"/>
          </w:tcPr>
          <w:p w:rsidR="00C0300D" w:rsidRPr="00AD541A" w:rsidRDefault="00C0300D" w:rsidP="00FB3145">
            <w:pPr>
              <w:tabs>
                <w:tab w:val="left" w:pos="884"/>
                <w:tab w:val="left" w:pos="1196"/>
              </w:tabs>
              <w:spacing w:after="0" w:line="276" w:lineRule="auto"/>
              <w:ind w:left="29" w:right="33" w:firstLine="284"/>
              <w:jc w:val="both"/>
              <w:rPr>
                <w:rFonts w:ascii="Times New Roman" w:eastAsia="Times New Roman" w:hAnsi="Times New Roman"/>
                <w:noProof/>
                <w:color w:val="000000" w:themeColor="text1"/>
                <w:sz w:val="26"/>
                <w:szCs w:val="26"/>
                <w:lang w:eastAsia="ru-RU"/>
              </w:rPr>
            </w:pPr>
            <w:r w:rsidRPr="00AD541A">
              <w:rPr>
                <w:rFonts w:ascii="Times New Roman" w:eastAsia="Times New Roman" w:hAnsi="Times New Roman"/>
                <w:noProof/>
                <w:color w:val="000000" w:themeColor="text1"/>
                <w:sz w:val="26"/>
                <w:szCs w:val="26"/>
                <w:lang w:eastAsia="ru-RU"/>
              </w:rPr>
              <w:t>Proiectul nu intră în categoria actelor normative care necesită expertiza de compatibilitate cu legislația Uniunii Europene.</w:t>
            </w:r>
          </w:p>
        </w:tc>
      </w:tr>
      <w:tr w:rsidR="00C0300D" w:rsidRPr="00AD541A" w:rsidTr="00877104">
        <w:trPr>
          <w:trHeight w:val="432"/>
        </w:trPr>
        <w:tc>
          <w:tcPr>
            <w:tcW w:w="5000" w:type="pct"/>
            <w:vAlign w:val="center"/>
          </w:tcPr>
          <w:p w:rsidR="00C0300D" w:rsidRPr="00AD541A" w:rsidRDefault="00C0300D" w:rsidP="00FB3145">
            <w:pPr>
              <w:tabs>
                <w:tab w:val="left" w:pos="884"/>
                <w:tab w:val="left" w:pos="1196"/>
              </w:tabs>
              <w:spacing w:after="0" w:line="276" w:lineRule="auto"/>
              <w:ind w:left="29" w:right="33" w:firstLine="284"/>
              <w:jc w:val="both"/>
              <w:rPr>
                <w:rFonts w:ascii="Arial" w:hAnsi="Arial" w:cs="Arial"/>
                <w:color w:val="000000" w:themeColor="text1"/>
                <w:sz w:val="26"/>
                <w:szCs w:val="26"/>
                <w:shd w:val="clear" w:color="auto" w:fill="FFFFFF"/>
              </w:rPr>
            </w:pPr>
            <w:r w:rsidRPr="00AD541A">
              <w:rPr>
                <w:rFonts w:ascii="Times New Roman" w:hAnsi="Times New Roman"/>
                <w:b/>
                <w:color w:val="000000" w:themeColor="text1"/>
                <w:sz w:val="26"/>
                <w:szCs w:val="26"/>
              </w:rPr>
              <w:t>10. Constatările expertizei juridice</w:t>
            </w:r>
          </w:p>
        </w:tc>
      </w:tr>
      <w:tr w:rsidR="00C0300D" w:rsidRPr="00AD541A" w:rsidTr="00877104">
        <w:trPr>
          <w:trHeight w:val="432"/>
        </w:trPr>
        <w:tc>
          <w:tcPr>
            <w:tcW w:w="5000" w:type="pct"/>
            <w:vAlign w:val="center"/>
          </w:tcPr>
          <w:p w:rsidR="00C0300D" w:rsidRPr="00AD541A" w:rsidRDefault="00C0300D" w:rsidP="00AD541A">
            <w:pPr>
              <w:tabs>
                <w:tab w:val="left" w:pos="884"/>
                <w:tab w:val="left" w:pos="1196"/>
              </w:tabs>
              <w:spacing w:after="0" w:line="276" w:lineRule="auto"/>
              <w:ind w:left="29" w:right="33" w:firstLine="284"/>
              <w:jc w:val="both"/>
              <w:rPr>
                <w:rFonts w:ascii="Arial" w:hAnsi="Arial" w:cs="Arial"/>
                <w:color w:val="000000" w:themeColor="text1"/>
                <w:sz w:val="26"/>
                <w:szCs w:val="26"/>
                <w:shd w:val="clear" w:color="auto" w:fill="FFFFFF"/>
              </w:rPr>
            </w:pPr>
            <w:r w:rsidRPr="00AD541A">
              <w:rPr>
                <w:rFonts w:ascii="Times New Roman" w:eastAsia="Times New Roman" w:hAnsi="Times New Roman"/>
                <w:noProof/>
                <w:color w:val="000000" w:themeColor="text1"/>
                <w:sz w:val="26"/>
                <w:szCs w:val="26"/>
                <w:lang w:eastAsia="ru-RU"/>
              </w:rPr>
              <w:t xml:space="preserve">Proiectul </w:t>
            </w:r>
            <w:r w:rsidR="00080E58" w:rsidRPr="00AD541A">
              <w:rPr>
                <w:rFonts w:ascii="Times New Roman" w:eastAsia="Times New Roman" w:hAnsi="Times New Roman"/>
                <w:noProof/>
                <w:color w:val="000000" w:themeColor="text1"/>
                <w:sz w:val="26"/>
                <w:szCs w:val="26"/>
                <w:lang w:eastAsia="ru-RU"/>
              </w:rPr>
              <w:t>a fost</w:t>
            </w:r>
            <w:r w:rsidRPr="00AD541A">
              <w:rPr>
                <w:rFonts w:ascii="Times New Roman" w:eastAsia="Times New Roman" w:hAnsi="Times New Roman"/>
                <w:noProof/>
                <w:color w:val="000000" w:themeColor="text1"/>
                <w:sz w:val="26"/>
                <w:szCs w:val="26"/>
                <w:lang w:eastAsia="ru-RU"/>
              </w:rPr>
              <w:t xml:space="preserve"> expertizat de către Ministerul Justiției.</w:t>
            </w:r>
            <w:r w:rsidR="00080E58" w:rsidRPr="00AD541A">
              <w:rPr>
                <w:rFonts w:ascii="Times New Roman" w:eastAsia="Times New Roman" w:hAnsi="Times New Roman"/>
                <w:noProof/>
                <w:color w:val="000000" w:themeColor="text1"/>
                <w:sz w:val="26"/>
                <w:szCs w:val="26"/>
                <w:lang w:eastAsia="ru-RU"/>
              </w:rPr>
              <w:t xml:space="preserve"> </w:t>
            </w:r>
            <w:r w:rsidR="00AD541A" w:rsidRPr="00AD541A">
              <w:rPr>
                <w:rFonts w:ascii="Times New Roman" w:eastAsia="Times New Roman" w:hAnsi="Times New Roman"/>
                <w:noProof/>
                <w:color w:val="000000" w:themeColor="text1"/>
                <w:sz w:val="26"/>
                <w:szCs w:val="26"/>
                <w:lang w:eastAsia="ru-RU"/>
              </w:rPr>
              <w:t>M</w:t>
            </w:r>
            <w:r w:rsidR="00080E58" w:rsidRPr="00AD541A">
              <w:rPr>
                <w:rFonts w:ascii="Times New Roman" w:eastAsia="Times New Roman" w:hAnsi="Times New Roman"/>
                <w:noProof/>
                <w:color w:val="000000" w:themeColor="text1"/>
                <w:sz w:val="26"/>
                <w:szCs w:val="26"/>
                <w:lang w:eastAsia="ru-RU"/>
              </w:rPr>
              <w:t>odificările</w:t>
            </w:r>
            <w:r w:rsidR="00AD541A">
              <w:rPr>
                <w:rFonts w:ascii="Times New Roman" w:eastAsia="Times New Roman" w:hAnsi="Times New Roman"/>
                <w:noProof/>
                <w:color w:val="000000" w:themeColor="text1"/>
                <w:sz w:val="26"/>
                <w:szCs w:val="26"/>
                <w:lang w:eastAsia="ru-RU"/>
              </w:rPr>
              <w:t xml:space="preserve"> </w:t>
            </w:r>
            <w:r w:rsidR="00080E58" w:rsidRPr="00AD541A">
              <w:rPr>
                <w:rFonts w:ascii="Times New Roman" w:eastAsia="Times New Roman" w:hAnsi="Times New Roman"/>
                <w:noProof/>
                <w:color w:val="000000" w:themeColor="text1"/>
                <w:sz w:val="26"/>
                <w:szCs w:val="26"/>
                <w:lang w:eastAsia="ru-RU"/>
              </w:rPr>
              <w:t>propuse</w:t>
            </w:r>
            <w:r w:rsidR="00891AED" w:rsidRPr="00AD541A">
              <w:rPr>
                <w:rFonts w:ascii="Times New Roman" w:eastAsia="Times New Roman" w:hAnsi="Times New Roman"/>
                <w:noProof/>
                <w:color w:val="000000" w:themeColor="text1"/>
                <w:sz w:val="26"/>
                <w:szCs w:val="26"/>
                <w:lang w:eastAsia="ru-RU"/>
              </w:rPr>
              <w:t xml:space="preserve"> urmare a expertizei juridice</w:t>
            </w:r>
            <w:r w:rsidR="00AD541A" w:rsidRPr="00AD541A">
              <w:rPr>
                <w:rFonts w:ascii="Times New Roman" w:eastAsia="Times New Roman" w:hAnsi="Times New Roman"/>
                <w:noProof/>
                <w:color w:val="000000" w:themeColor="text1"/>
                <w:sz w:val="26"/>
                <w:szCs w:val="26"/>
                <w:lang w:eastAsia="ru-RU"/>
              </w:rPr>
              <w:t xml:space="preserve"> </w:t>
            </w:r>
            <w:r w:rsidR="00AD541A">
              <w:rPr>
                <w:rFonts w:ascii="Times New Roman" w:eastAsia="Times New Roman" w:hAnsi="Times New Roman"/>
                <w:noProof/>
                <w:color w:val="000000" w:themeColor="text1"/>
                <w:sz w:val="26"/>
                <w:szCs w:val="26"/>
                <w:lang w:eastAsia="ru-RU"/>
              </w:rPr>
              <w:t>a</w:t>
            </w:r>
            <w:r w:rsidR="00AD541A" w:rsidRPr="00AD541A">
              <w:rPr>
                <w:rFonts w:ascii="Times New Roman" w:eastAsia="Times New Roman" w:hAnsi="Times New Roman"/>
                <w:noProof/>
                <w:color w:val="000000" w:themeColor="text1"/>
                <w:sz w:val="26"/>
                <w:szCs w:val="26"/>
                <w:lang w:eastAsia="ru-RU"/>
              </w:rPr>
              <w:t>u fost acceptate</w:t>
            </w:r>
            <w:r w:rsidR="00AD541A">
              <w:rPr>
                <w:rFonts w:ascii="Times New Roman" w:eastAsia="Times New Roman" w:hAnsi="Times New Roman"/>
                <w:noProof/>
                <w:color w:val="000000" w:themeColor="text1"/>
                <w:sz w:val="26"/>
                <w:szCs w:val="26"/>
                <w:lang w:eastAsia="ru-RU"/>
              </w:rPr>
              <w:t xml:space="preserve"> și incluse în proiectul hotărârii</w:t>
            </w:r>
            <w:r w:rsidR="00891AED" w:rsidRPr="00AD541A">
              <w:rPr>
                <w:rFonts w:ascii="Times New Roman" w:eastAsia="Times New Roman" w:hAnsi="Times New Roman"/>
                <w:noProof/>
                <w:color w:val="000000" w:themeColor="text1"/>
                <w:sz w:val="26"/>
                <w:szCs w:val="26"/>
                <w:lang w:eastAsia="ru-RU"/>
              </w:rPr>
              <w:t>.</w:t>
            </w:r>
          </w:p>
        </w:tc>
      </w:tr>
      <w:tr w:rsidR="00C0300D" w:rsidRPr="00AD541A" w:rsidTr="00877104">
        <w:trPr>
          <w:trHeight w:val="432"/>
        </w:trPr>
        <w:tc>
          <w:tcPr>
            <w:tcW w:w="5000" w:type="pct"/>
            <w:vAlign w:val="center"/>
          </w:tcPr>
          <w:p w:rsidR="00C0300D" w:rsidRPr="00AD541A" w:rsidRDefault="00C0300D" w:rsidP="00FB3145">
            <w:pPr>
              <w:tabs>
                <w:tab w:val="left" w:pos="884"/>
                <w:tab w:val="left" w:pos="1196"/>
              </w:tabs>
              <w:spacing w:after="0" w:line="276" w:lineRule="auto"/>
              <w:ind w:left="29" w:right="33" w:firstLine="284"/>
              <w:jc w:val="both"/>
              <w:rPr>
                <w:rFonts w:ascii="Times New Roman" w:hAnsi="Times New Roman"/>
                <w:b/>
                <w:color w:val="000000" w:themeColor="text1"/>
                <w:sz w:val="26"/>
                <w:szCs w:val="26"/>
              </w:rPr>
            </w:pPr>
            <w:r w:rsidRPr="00AD541A">
              <w:rPr>
                <w:rFonts w:ascii="Times New Roman" w:hAnsi="Times New Roman"/>
                <w:b/>
                <w:color w:val="000000" w:themeColor="text1"/>
                <w:sz w:val="26"/>
                <w:szCs w:val="26"/>
              </w:rPr>
              <w:t>11. Constatările altor expertize</w:t>
            </w:r>
          </w:p>
        </w:tc>
      </w:tr>
      <w:tr w:rsidR="00C0300D" w:rsidRPr="00AD541A" w:rsidTr="00877104">
        <w:trPr>
          <w:trHeight w:val="432"/>
        </w:trPr>
        <w:tc>
          <w:tcPr>
            <w:tcW w:w="5000" w:type="pct"/>
            <w:vAlign w:val="center"/>
          </w:tcPr>
          <w:p w:rsidR="00C0300D" w:rsidRPr="00AD541A" w:rsidRDefault="00C0300D" w:rsidP="00FB3145">
            <w:pPr>
              <w:tabs>
                <w:tab w:val="left" w:pos="884"/>
                <w:tab w:val="left" w:pos="1196"/>
              </w:tabs>
              <w:spacing w:after="0" w:line="276" w:lineRule="auto"/>
              <w:ind w:left="29" w:right="33" w:firstLine="284"/>
              <w:jc w:val="both"/>
              <w:rPr>
                <w:rFonts w:ascii="Times New Roman" w:hAnsi="Times New Roman"/>
                <w:color w:val="000000" w:themeColor="text1"/>
                <w:sz w:val="26"/>
                <w:szCs w:val="26"/>
              </w:rPr>
            </w:pPr>
            <w:r w:rsidRPr="00AD541A">
              <w:rPr>
                <w:rFonts w:ascii="Times New Roman" w:hAnsi="Times New Roman"/>
                <w:color w:val="000000" w:themeColor="text1"/>
                <w:sz w:val="26"/>
                <w:szCs w:val="26"/>
              </w:rPr>
              <w:t>Proiectul nu necesită alte expertize.</w:t>
            </w:r>
          </w:p>
        </w:tc>
      </w:tr>
    </w:tbl>
    <w:p w:rsidR="009A47D6" w:rsidRPr="00AD541A" w:rsidRDefault="009A47D6" w:rsidP="00FB3145">
      <w:pPr>
        <w:spacing w:after="0" w:line="276" w:lineRule="auto"/>
        <w:rPr>
          <w:rFonts w:ascii="Times New Roman" w:hAnsi="Times New Roman"/>
          <w:sz w:val="26"/>
          <w:szCs w:val="26"/>
        </w:rPr>
      </w:pPr>
    </w:p>
    <w:p w:rsidR="004626C5" w:rsidRPr="00AD541A" w:rsidRDefault="009A47D6" w:rsidP="00FB3145">
      <w:pPr>
        <w:spacing w:after="0" w:line="276" w:lineRule="auto"/>
        <w:jc w:val="center"/>
        <w:rPr>
          <w:rFonts w:ascii="Times New Roman" w:hAnsi="Times New Roman"/>
          <w:b/>
          <w:sz w:val="26"/>
          <w:szCs w:val="26"/>
        </w:rPr>
      </w:pPr>
      <w:r w:rsidRPr="00AD541A">
        <w:rPr>
          <w:rFonts w:ascii="Times New Roman" w:hAnsi="Times New Roman"/>
          <w:b/>
          <w:sz w:val="26"/>
          <w:szCs w:val="26"/>
        </w:rPr>
        <w:t>Ministru</w:t>
      </w:r>
      <w:r w:rsidRPr="00AD541A">
        <w:rPr>
          <w:rFonts w:ascii="Times New Roman" w:hAnsi="Times New Roman"/>
          <w:b/>
          <w:sz w:val="26"/>
          <w:szCs w:val="26"/>
        </w:rPr>
        <w:tab/>
      </w:r>
      <w:r w:rsidRPr="00AD541A">
        <w:rPr>
          <w:rFonts w:ascii="Times New Roman" w:hAnsi="Times New Roman"/>
          <w:b/>
          <w:sz w:val="26"/>
          <w:szCs w:val="26"/>
        </w:rPr>
        <w:tab/>
      </w:r>
      <w:r w:rsidRPr="00AD541A">
        <w:rPr>
          <w:rFonts w:ascii="Times New Roman" w:hAnsi="Times New Roman"/>
          <w:b/>
          <w:sz w:val="26"/>
          <w:szCs w:val="26"/>
        </w:rPr>
        <w:tab/>
      </w:r>
      <w:r w:rsidRPr="00AD541A">
        <w:rPr>
          <w:rFonts w:ascii="Times New Roman" w:hAnsi="Times New Roman"/>
          <w:b/>
          <w:sz w:val="26"/>
          <w:szCs w:val="26"/>
        </w:rPr>
        <w:tab/>
      </w:r>
      <w:r w:rsidRPr="00AD541A">
        <w:rPr>
          <w:rFonts w:ascii="Times New Roman" w:hAnsi="Times New Roman"/>
          <w:b/>
          <w:sz w:val="26"/>
          <w:szCs w:val="26"/>
        </w:rPr>
        <w:tab/>
      </w:r>
      <w:r w:rsidR="00062851" w:rsidRPr="00AD541A">
        <w:rPr>
          <w:rFonts w:ascii="Times New Roman" w:hAnsi="Times New Roman"/>
          <w:b/>
          <w:sz w:val="26"/>
          <w:szCs w:val="26"/>
        </w:rPr>
        <w:t xml:space="preserve">Anatolie TOPALĂ </w:t>
      </w:r>
    </w:p>
    <w:p w:rsidR="00FB3145" w:rsidRDefault="00FB3145" w:rsidP="00877104">
      <w:pPr>
        <w:spacing w:after="0" w:line="240" w:lineRule="auto"/>
        <w:jc w:val="both"/>
        <w:rPr>
          <w:rFonts w:ascii="Times New Roman" w:hAnsi="Times New Roman"/>
          <w:sz w:val="27"/>
          <w:szCs w:val="27"/>
        </w:rPr>
      </w:pPr>
    </w:p>
    <w:p w:rsidR="00AD541A" w:rsidRDefault="00AD541A" w:rsidP="00877104">
      <w:pPr>
        <w:spacing w:after="0" w:line="240" w:lineRule="auto"/>
        <w:jc w:val="both"/>
        <w:rPr>
          <w:rFonts w:ascii="Times New Roman" w:hAnsi="Times New Roman"/>
          <w:sz w:val="27"/>
          <w:szCs w:val="27"/>
        </w:rPr>
      </w:pPr>
    </w:p>
    <w:p w:rsidR="00AD541A" w:rsidRDefault="00AD541A" w:rsidP="00877104">
      <w:pPr>
        <w:spacing w:after="0" w:line="240" w:lineRule="auto"/>
        <w:jc w:val="both"/>
        <w:rPr>
          <w:rFonts w:ascii="Times New Roman" w:hAnsi="Times New Roman"/>
          <w:sz w:val="27"/>
          <w:szCs w:val="27"/>
        </w:rPr>
      </w:pPr>
    </w:p>
    <w:p w:rsidR="004626C5" w:rsidRPr="004626C5" w:rsidRDefault="00C52CE8" w:rsidP="004626C5">
      <w:pPr>
        <w:spacing w:after="0" w:line="240" w:lineRule="auto"/>
        <w:ind w:left="-426"/>
        <w:jc w:val="both"/>
        <w:rPr>
          <w:rFonts w:ascii="Times New Roman" w:hAnsi="Times New Roman"/>
          <w:b/>
          <w:sz w:val="18"/>
          <w:szCs w:val="18"/>
        </w:rPr>
      </w:pPr>
      <w:r w:rsidRPr="004626C5">
        <w:rPr>
          <w:rFonts w:ascii="Times New Roman" w:hAnsi="Times New Roman"/>
          <w:sz w:val="18"/>
          <w:szCs w:val="18"/>
        </w:rPr>
        <w:t xml:space="preserve">Ex: </w:t>
      </w:r>
      <w:r w:rsidR="007C1393">
        <w:rPr>
          <w:rFonts w:ascii="Times New Roman" w:hAnsi="Times New Roman"/>
          <w:sz w:val="18"/>
          <w:szCs w:val="18"/>
        </w:rPr>
        <w:t>Rodica Braguța</w:t>
      </w:r>
      <w:r w:rsidRPr="004626C5">
        <w:rPr>
          <w:rFonts w:ascii="Times New Roman" w:hAnsi="Times New Roman"/>
          <w:sz w:val="18"/>
          <w:szCs w:val="18"/>
        </w:rPr>
        <w:t>,</w:t>
      </w:r>
    </w:p>
    <w:p w:rsidR="00C52CE8" w:rsidRPr="004626C5" w:rsidRDefault="00C52CE8" w:rsidP="004626C5">
      <w:pPr>
        <w:spacing w:after="0" w:line="240" w:lineRule="auto"/>
        <w:ind w:left="-426"/>
        <w:jc w:val="both"/>
        <w:rPr>
          <w:rFonts w:ascii="Times New Roman" w:hAnsi="Times New Roman"/>
          <w:b/>
          <w:sz w:val="18"/>
          <w:szCs w:val="18"/>
        </w:rPr>
      </w:pPr>
      <w:r w:rsidRPr="004626C5">
        <w:rPr>
          <w:rFonts w:ascii="Times New Roman" w:hAnsi="Times New Roman"/>
          <w:sz w:val="18"/>
          <w:szCs w:val="18"/>
        </w:rPr>
        <w:t>022-23-36-78</w:t>
      </w:r>
    </w:p>
    <w:sectPr w:rsidR="00C52CE8" w:rsidRPr="004626C5" w:rsidSect="00C52CE8">
      <w:pgSz w:w="11906" w:h="16838"/>
      <w:pgMar w:top="993" w:right="850"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5E" w:rsidRDefault="0089595E" w:rsidP="009F3F20">
      <w:pPr>
        <w:spacing w:after="0" w:line="240" w:lineRule="auto"/>
      </w:pPr>
      <w:r>
        <w:separator/>
      </w:r>
    </w:p>
  </w:endnote>
  <w:endnote w:type="continuationSeparator" w:id="0">
    <w:p w:rsidR="0089595E" w:rsidRDefault="0089595E" w:rsidP="009F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5E" w:rsidRDefault="0089595E" w:rsidP="009F3F20">
      <w:pPr>
        <w:spacing w:after="0" w:line="240" w:lineRule="auto"/>
      </w:pPr>
      <w:r>
        <w:separator/>
      </w:r>
    </w:p>
  </w:footnote>
  <w:footnote w:type="continuationSeparator" w:id="0">
    <w:p w:rsidR="0089595E" w:rsidRDefault="0089595E" w:rsidP="009F3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265DC"/>
    <w:multiLevelType w:val="hybridMultilevel"/>
    <w:tmpl w:val="17A21BF2"/>
    <w:lvl w:ilvl="0" w:tplc="080AAEA8">
      <w:start w:val="6"/>
      <w:numFmt w:val="bullet"/>
      <w:lvlText w:val="-"/>
      <w:lvlJc w:val="left"/>
      <w:pPr>
        <w:ind w:left="791" w:hanging="360"/>
      </w:pPr>
      <w:rPr>
        <w:rFonts w:ascii="Times New Roman" w:eastAsia="SimSun" w:hAnsi="Times New Roman" w:cs="Times New Roman" w:hint="default"/>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1" w15:restartNumberingAfterBreak="0">
    <w:nsid w:val="23B458AA"/>
    <w:multiLevelType w:val="hybridMultilevel"/>
    <w:tmpl w:val="612E9B28"/>
    <w:lvl w:ilvl="0" w:tplc="F9B64654">
      <w:start w:val="19"/>
      <w:numFmt w:val="bullet"/>
      <w:lvlText w:val="-"/>
      <w:lvlJc w:val="left"/>
      <w:pPr>
        <w:ind w:left="673" w:hanging="360"/>
      </w:pPr>
      <w:rPr>
        <w:rFonts w:ascii="Times New Roman" w:eastAsia="Calibri" w:hAnsi="Times New Roman" w:cs="Times New Roman"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abstractNum w:abstractNumId="2" w15:restartNumberingAfterBreak="0">
    <w:nsid w:val="39B22ADC"/>
    <w:multiLevelType w:val="hybridMultilevel"/>
    <w:tmpl w:val="FB30EC20"/>
    <w:lvl w:ilvl="0" w:tplc="DB1E9E0E">
      <w:start w:val="1"/>
      <w:numFmt w:val="lowerLetter"/>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3" w15:restartNumberingAfterBreak="0">
    <w:nsid w:val="4612675C"/>
    <w:multiLevelType w:val="hybridMultilevel"/>
    <w:tmpl w:val="05D62D9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7955316"/>
    <w:multiLevelType w:val="hybridMultilevel"/>
    <w:tmpl w:val="939C6F26"/>
    <w:lvl w:ilvl="0" w:tplc="9E8844CE">
      <w:start w:val="1"/>
      <w:numFmt w:val="bullet"/>
      <w:lvlText w:val="–"/>
      <w:lvlJc w:val="left"/>
      <w:pPr>
        <w:ind w:left="502" w:hanging="360"/>
      </w:pPr>
      <w:rPr>
        <w:rFonts w:ascii="Arial" w:hAnsi="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170381"/>
    <w:multiLevelType w:val="hybridMultilevel"/>
    <w:tmpl w:val="880E0D4C"/>
    <w:lvl w:ilvl="0" w:tplc="E68AE20C">
      <w:numFmt w:val="bullet"/>
      <w:lvlText w:val="-"/>
      <w:lvlJc w:val="left"/>
      <w:pPr>
        <w:ind w:left="673" w:hanging="360"/>
      </w:pPr>
      <w:rPr>
        <w:rFonts w:ascii="Times New Roman" w:eastAsia="Calibri" w:hAnsi="Times New Roman" w:cs="Times New Roman" w:hint="default"/>
      </w:rPr>
    </w:lvl>
    <w:lvl w:ilvl="1" w:tplc="04180003" w:tentative="1">
      <w:start w:val="1"/>
      <w:numFmt w:val="bullet"/>
      <w:lvlText w:val="o"/>
      <w:lvlJc w:val="left"/>
      <w:pPr>
        <w:ind w:left="1393" w:hanging="360"/>
      </w:pPr>
      <w:rPr>
        <w:rFonts w:ascii="Courier New" w:hAnsi="Courier New" w:cs="Courier New" w:hint="default"/>
      </w:rPr>
    </w:lvl>
    <w:lvl w:ilvl="2" w:tplc="04180005" w:tentative="1">
      <w:start w:val="1"/>
      <w:numFmt w:val="bullet"/>
      <w:lvlText w:val=""/>
      <w:lvlJc w:val="left"/>
      <w:pPr>
        <w:ind w:left="2113" w:hanging="360"/>
      </w:pPr>
      <w:rPr>
        <w:rFonts w:ascii="Wingdings" w:hAnsi="Wingdings" w:hint="default"/>
      </w:rPr>
    </w:lvl>
    <w:lvl w:ilvl="3" w:tplc="04180001" w:tentative="1">
      <w:start w:val="1"/>
      <w:numFmt w:val="bullet"/>
      <w:lvlText w:val=""/>
      <w:lvlJc w:val="left"/>
      <w:pPr>
        <w:ind w:left="2833" w:hanging="360"/>
      </w:pPr>
      <w:rPr>
        <w:rFonts w:ascii="Symbol" w:hAnsi="Symbol" w:hint="default"/>
      </w:rPr>
    </w:lvl>
    <w:lvl w:ilvl="4" w:tplc="04180003" w:tentative="1">
      <w:start w:val="1"/>
      <w:numFmt w:val="bullet"/>
      <w:lvlText w:val="o"/>
      <w:lvlJc w:val="left"/>
      <w:pPr>
        <w:ind w:left="3553" w:hanging="360"/>
      </w:pPr>
      <w:rPr>
        <w:rFonts w:ascii="Courier New" w:hAnsi="Courier New" w:cs="Courier New" w:hint="default"/>
      </w:rPr>
    </w:lvl>
    <w:lvl w:ilvl="5" w:tplc="04180005" w:tentative="1">
      <w:start w:val="1"/>
      <w:numFmt w:val="bullet"/>
      <w:lvlText w:val=""/>
      <w:lvlJc w:val="left"/>
      <w:pPr>
        <w:ind w:left="4273" w:hanging="360"/>
      </w:pPr>
      <w:rPr>
        <w:rFonts w:ascii="Wingdings" w:hAnsi="Wingdings" w:hint="default"/>
      </w:rPr>
    </w:lvl>
    <w:lvl w:ilvl="6" w:tplc="04180001" w:tentative="1">
      <w:start w:val="1"/>
      <w:numFmt w:val="bullet"/>
      <w:lvlText w:val=""/>
      <w:lvlJc w:val="left"/>
      <w:pPr>
        <w:ind w:left="4993" w:hanging="360"/>
      </w:pPr>
      <w:rPr>
        <w:rFonts w:ascii="Symbol" w:hAnsi="Symbol" w:hint="default"/>
      </w:rPr>
    </w:lvl>
    <w:lvl w:ilvl="7" w:tplc="04180003" w:tentative="1">
      <w:start w:val="1"/>
      <w:numFmt w:val="bullet"/>
      <w:lvlText w:val="o"/>
      <w:lvlJc w:val="left"/>
      <w:pPr>
        <w:ind w:left="5713" w:hanging="360"/>
      </w:pPr>
      <w:rPr>
        <w:rFonts w:ascii="Courier New" w:hAnsi="Courier New" w:cs="Courier New" w:hint="default"/>
      </w:rPr>
    </w:lvl>
    <w:lvl w:ilvl="8" w:tplc="04180005" w:tentative="1">
      <w:start w:val="1"/>
      <w:numFmt w:val="bullet"/>
      <w:lvlText w:val=""/>
      <w:lvlJc w:val="left"/>
      <w:pPr>
        <w:ind w:left="6433" w:hanging="360"/>
      </w:pPr>
      <w:rPr>
        <w:rFonts w:ascii="Wingdings" w:hAnsi="Wingdings" w:hint="default"/>
      </w:rPr>
    </w:lvl>
  </w:abstractNum>
  <w:abstractNum w:abstractNumId="6"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A8"/>
    <w:rsid w:val="00002651"/>
    <w:rsid w:val="0000467A"/>
    <w:rsid w:val="0000601C"/>
    <w:rsid w:val="000171E3"/>
    <w:rsid w:val="000267FE"/>
    <w:rsid w:val="00036516"/>
    <w:rsid w:val="00051494"/>
    <w:rsid w:val="00056089"/>
    <w:rsid w:val="00062407"/>
    <w:rsid w:val="00062851"/>
    <w:rsid w:val="00070143"/>
    <w:rsid w:val="000704E5"/>
    <w:rsid w:val="00080E58"/>
    <w:rsid w:val="00081076"/>
    <w:rsid w:val="000810F2"/>
    <w:rsid w:val="000A27E6"/>
    <w:rsid w:val="000B309F"/>
    <w:rsid w:val="000B4EDB"/>
    <w:rsid w:val="000B6596"/>
    <w:rsid w:val="000C0329"/>
    <w:rsid w:val="000C4548"/>
    <w:rsid w:val="000D5A6D"/>
    <w:rsid w:val="000D6A82"/>
    <w:rsid w:val="000E38FC"/>
    <w:rsid w:val="00106017"/>
    <w:rsid w:val="00116621"/>
    <w:rsid w:val="00120E57"/>
    <w:rsid w:val="001301DD"/>
    <w:rsid w:val="00133922"/>
    <w:rsid w:val="00143F45"/>
    <w:rsid w:val="001458B2"/>
    <w:rsid w:val="00153C8B"/>
    <w:rsid w:val="00164038"/>
    <w:rsid w:val="00164D49"/>
    <w:rsid w:val="00167924"/>
    <w:rsid w:val="0017263E"/>
    <w:rsid w:val="0018475E"/>
    <w:rsid w:val="00184E66"/>
    <w:rsid w:val="00192B8C"/>
    <w:rsid w:val="001932CF"/>
    <w:rsid w:val="00193492"/>
    <w:rsid w:val="001A182D"/>
    <w:rsid w:val="001A7BE2"/>
    <w:rsid w:val="001E2B65"/>
    <w:rsid w:val="001E7721"/>
    <w:rsid w:val="001F20DF"/>
    <w:rsid w:val="001F417A"/>
    <w:rsid w:val="002000A1"/>
    <w:rsid w:val="002074D8"/>
    <w:rsid w:val="00215578"/>
    <w:rsid w:val="00227376"/>
    <w:rsid w:val="002502E6"/>
    <w:rsid w:val="00257194"/>
    <w:rsid w:val="002725F5"/>
    <w:rsid w:val="00286379"/>
    <w:rsid w:val="00293A36"/>
    <w:rsid w:val="002A6CB6"/>
    <w:rsid w:val="002A76D5"/>
    <w:rsid w:val="002B6606"/>
    <w:rsid w:val="002C0F19"/>
    <w:rsid w:val="002C4469"/>
    <w:rsid w:val="002C482E"/>
    <w:rsid w:val="002D46D3"/>
    <w:rsid w:val="002D67A0"/>
    <w:rsid w:val="002F0344"/>
    <w:rsid w:val="002F3404"/>
    <w:rsid w:val="002F5C89"/>
    <w:rsid w:val="00305859"/>
    <w:rsid w:val="00305E27"/>
    <w:rsid w:val="00311577"/>
    <w:rsid w:val="00311FC1"/>
    <w:rsid w:val="00315A95"/>
    <w:rsid w:val="00335A77"/>
    <w:rsid w:val="00345FB9"/>
    <w:rsid w:val="00352395"/>
    <w:rsid w:val="00356B44"/>
    <w:rsid w:val="00357459"/>
    <w:rsid w:val="0036615C"/>
    <w:rsid w:val="00372B4E"/>
    <w:rsid w:val="00374B43"/>
    <w:rsid w:val="0038195B"/>
    <w:rsid w:val="003841C6"/>
    <w:rsid w:val="0039236B"/>
    <w:rsid w:val="003962DF"/>
    <w:rsid w:val="003A294F"/>
    <w:rsid w:val="003C103B"/>
    <w:rsid w:val="003C5DED"/>
    <w:rsid w:val="003D7A41"/>
    <w:rsid w:val="003E2406"/>
    <w:rsid w:val="003E63A2"/>
    <w:rsid w:val="003F0A69"/>
    <w:rsid w:val="004209B4"/>
    <w:rsid w:val="004432D9"/>
    <w:rsid w:val="004518BF"/>
    <w:rsid w:val="00456180"/>
    <w:rsid w:val="004626C5"/>
    <w:rsid w:val="0046468D"/>
    <w:rsid w:val="0048304A"/>
    <w:rsid w:val="00484F94"/>
    <w:rsid w:val="00490E7B"/>
    <w:rsid w:val="0049459F"/>
    <w:rsid w:val="004A0753"/>
    <w:rsid w:val="004A3B75"/>
    <w:rsid w:val="004A652A"/>
    <w:rsid w:val="004C0084"/>
    <w:rsid w:val="004C2C22"/>
    <w:rsid w:val="004C46D2"/>
    <w:rsid w:val="004D0D0B"/>
    <w:rsid w:val="004D3D19"/>
    <w:rsid w:val="004D5467"/>
    <w:rsid w:val="004E4525"/>
    <w:rsid w:val="004F0FF7"/>
    <w:rsid w:val="004F43EC"/>
    <w:rsid w:val="004F69F4"/>
    <w:rsid w:val="004F7A4C"/>
    <w:rsid w:val="005127E2"/>
    <w:rsid w:val="00512CFB"/>
    <w:rsid w:val="00512F0F"/>
    <w:rsid w:val="0051377F"/>
    <w:rsid w:val="00516181"/>
    <w:rsid w:val="00517AB6"/>
    <w:rsid w:val="0052029D"/>
    <w:rsid w:val="005373A8"/>
    <w:rsid w:val="00547509"/>
    <w:rsid w:val="005475D7"/>
    <w:rsid w:val="00547848"/>
    <w:rsid w:val="0055581A"/>
    <w:rsid w:val="00556F2D"/>
    <w:rsid w:val="00561A82"/>
    <w:rsid w:val="00562523"/>
    <w:rsid w:val="00562BBF"/>
    <w:rsid w:val="0056550D"/>
    <w:rsid w:val="00567B57"/>
    <w:rsid w:val="00571201"/>
    <w:rsid w:val="00577445"/>
    <w:rsid w:val="00580502"/>
    <w:rsid w:val="00582065"/>
    <w:rsid w:val="00583C75"/>
    <w:rsid w:val="00585F53"/>
    <w:rsid w:val="005A43CC"/>
    <w:rsid w:val="005C1F8D"/>
    <w:rsid w:val="005C7E27"/>
    <w:rsid w:val="005D6732"/>
    <w:rsid w:val="005E3F39"/>
    <w:rsid w:val="005E5774"/>
    <w:rsid w:val="005E57F9"/>
    <w:rsid w:val="00620CE6"/>
    <w:rsid w:val="00621851"/>
    <w:rsid w:val="00633C30"/>
    <w:rsid w:val="00646A54"/>
    <w:rsid w:val="00647626"/>
    <w:rsid w:val="00664829"/>
    <w:rsid w:val="00666128"/>
    <w:rsid w:val="00666DA2"/>
    <w:rsid w:val="00682140"/>
    <w:rsid w:val="0068425A"/>
    <w:rsid w:val="00691360"/>
    <w:rsid w:val="006A0CD7"/>
    <w:rsid w:val="006A5BE2"/>
    <w:rsid w:val="006A6578"/>
    <w:rsid w:val="006B35AD"/>
    <w:rsid w:val="006C5A74"/>
    <w:rsid w:val="006D5085"/>
    <w:rsid w:val="006E0AAA"/>
    <w:rsid w:val="006F0FE9"/>
    <w:rsid w:val="006F35AE"/>
    <w:rsid w:val="006F4D8C"/>
    <w:rsid w:val="00701C99"/>
    <w:rsid w:val="00702591"/>
    <w:rsid w:val="0070747E"/>
    <w:rsid w:val="00707D1D"/>
    <w:rsid w:val="00727E46"/>
    <w:rsid w:val="00732007"/>
    <w:rsid w:val="00753802"/>
    <w:rsid w:val="00787776"/>
    <w:rsid w:val="00796219"/>
    <w:rsid w:val="00796502"/>
    <w:rsid w:val="00796E8E"/>
    <w:rsid w:val="007C09B3"/>
    <w:rsid w:val="007C1393"/>
    <w:rsid w:val="007C60A0"/>
    <w:rsid w:val="007D0576"/>
    <w:rsid w:val="007D5F1A"/>
    <w:rsid w:val="007E0E2D"/>
    <w:rsid w:val="007E4801"/>
    <w:rsid w:val="007E56A3"/>
    <w:rsid w:val="007F2CC4"/>
    <w:rsid w:val="007F517E"/>
    <w:rsid w:val="007F7298"/>
    <w:rsid w:val="0081008D"/>
    <w:rsid w:val="00812267"/>
    <w:rsid w:val="00834868"/>
    <w:rsid w:val="008439F5"/>
    <w:rsid w:val="00845BC4"/>
    <w:rsid w:val="00850550"/>
    <w:rsid w:val="0085177C"/>
    <w:rsid w:val="008535BA"/>
    <w:rsid w:val="00856F2B"/>
    <w:rsid w:val="00862667"/>
    <w:rsid w:val="008652F9"/>
    <w:rsid w:val="00866D4D"/>
    <w:rsid w:val="00870B73"/>
    <w:rsid w:val="008721BB"/>
    <w:rsid w:val="00873D53"/>
    <w:rsid w:val="008756A0"/>
    <w:rsid w:val="00876A89"/>
    <w:rsid w:val="00877104"/>
    <w:rsid w:val="00880098"/>
    <w:rsid w:val="008820E4"/>
    <w:rsid w:val="00882A05"/>
    <w:rsid w:val="008875AC"/>
    <w:rsid w:val="00891AED"/>
    <w:rsid w:val="008928FC"/>
    <w:rsid w:val="0089595E"/>
    <w:rsid w:val="008A5692"/>
    <w:rsid w:val="008A5B8B"/>
    <w:rsid w:val="008A5C9D"/>
    <w:rsid w:val="008C7384"/>
    <w:rsid w:val="008D0877"/>
    <w:rsid w:val="008D7308"/>
    <w:rsid w:val="008E1005"/>
    <w:rsid w:val="008F6EC1"/>
    <w:rsid w:val="009076EB"/>
    <w:rsid w:val="0091002C"/>
    <w:rsid w:val="00911988"/>
    <w:rsid w:val="00912D11"/>
    <w:rsid w:val="0092287B"/>
    <w:rsid w:val="009301BB"/>
    <w:rsid w:val="009400B5"/>
    <w:rsid w:val="0094030F"/>
    <w:rsid w:val="009528A7"/>
    <w:rsid w:val="00956C87"/>
    <w:rsid w:val="00977BF2"/>
    <w:rsid w:val="00984365"/>
    <w:rsid w:val="00984989"/>
    <w:rsid w:val="009907EC"/>
    <w:rsid w:val="009928A0"/>
    <w:rsid w:val="009A36B7"/>
    <w:rsid w:val="009A47D6"/>
    <w:rsid w:val="009B0292"/>
    <w:rsid w:val="009B206A"/>
    <w:rsid w:val="009C3632"/>
    <w:rsid w:val="009C6771"/>
    <w:rsid w:val="009C7173"/>
    <w:rsid w:val="009D0598"/>
    <w:rsid w:val="009D54EE"/>
    <w:rsid w:val="009D6538"/>
    <w:rsid w:val="009D6D9F"/>
    <w:rsid w:val="009E67AC"/>
    <w:rsid w:val="009F14D7"/>
    <w:rsid w:val="009F3646"/>
    <w:rsid w:val="009F3BF0"/>
    <w:rsid w:val="009F3F20"/>
    <w:rsid w:val="00A048C4"/>
    <w:rsid w:val="00A04A69"/>
    <w:rsid w:val="00A05CAE"/>
    <w:rsid w:val="00A2715D"/>
    <w:rsid w:val="00A30DE7"/>
    <w:rsid w:val="00A3550B"/>
    <w:rsid w:val="00A41B38"/>
    <w:rsid w:val="00A44B1E"/>
    <w:rsid w:val="00A602D8"/>
    <w:rsid w:val="00A61AF7"/>
    <w:rsid w:val="00A65763"/>
    <w:rsid w:val="00A6777A"/>
    <w:rsid w:val="00A70051"/>
    <w:rsid w:val="00A7253D"/>
    <w:rsid w:val="00A7696F"/>
    <w:rsid w:val="00A81C30"/>
    <w:rsid w:val="00A833EB"/>
    <w:rsid w:val="00A946E5"/>
    <w:rsid w:val="00AA1997"/>
    <w:rsid w:val="00AC29A1"/>
    <w:rsid w:val="00AC338E"/>
    <w:rsid w:val="00AD541A"/>
    <w:rsid w:val="00AE5CA7"/>
    <w:rsid w:val="00AE60BF"/>
    <w:rsid w:val="00AF7708"/>
    <w:rsid w:val="00B02ADA"/>
    <w:rsid w:val="00B24351"/>
    <w:rsid w:val="00B40563"/>
    <w:rsid w:val="00B600B7"/>
    <w:rsid w:val="00B630F7"/>
    <w:rsid w:val="00B64E08"/>
    <w:rsid w:val="00B93D61"/>
    <w:rsid w:val="00B94D51"/>
    <w:rsid w:val="00B95404"/>
    <w:rsid w:val="00B97A7E"/>
    <w:rsid w:val="00BA2DAA"/>
    <w:rsid w:val="00BC1332"/>
    <w:rsid w:val="00BC47C3"/>
    <w:rsid w:val="00BF2690"/>
    <w:rsid w:val="00C027AD"/>
    <w:rsid w:val="00C0300D"/>
    <w:rsid w:val="00C12086"/>
    <w:rsid w:val="00C1669D"/>
    <w:rsid w:val="00C24320"/>
    <w:rsid w:val="00C50534"/>
    <w:rsid w:val="00C52CE8"/>
    <w:rsid w:val="00C65272"/>
    <w:rsid w:val="00C66FA4"/>
    <w:rsid w:val="00C74712"/>
    <w:rsid w:val="00C806EC"/>
    <w:rsid w:val="00C8770A"/>
    <w:rsid w:val="00C94EAF"/>
    <w:rsid w:val="00C9691C"/>
    <w:rsid w:val="00CA1ACC"/>
    <w:rsid w:val="00CB0E78"/>
    <w:rsid w:val="00CB5E46"/>
    <w:rsid w:val="00CD1F3D"/>
    <w:rsid w:val="00CE0C0E"/>
    <w:rsid w:val="00CF0A2F"/>
    <w:rsid w:val="00D130CA"/>
    <w:rsid w:val="00D2364D"/>
    <w:rsid w:val="00D27109"/>
    <w:rsid w:val="00D334E6"/>
    <w:rsid w:val="00D340C3"/>
    <w:rsid w:val="00D36A82"/>
    <w:rsid w:val="00D420F9"/>
    <w:rsid w:val="00D51596"/>
    <w:rsid w:val="00D64A9D"/>
    <w:rsid w:val="00D742FB"/>
    <w:rsid w:val="00D748EC"/>
    <w:rsid w:val="00D7504D"/>
    <w:rsid w:val="00D76AC8"/>
    <w:rsid w:val="00DA1DA7"/>
    <w:rsid w:val="00DB3BD0"/>
    <w:rsid w:val="00DC3CC6"/>
    <w:rsid w:val="00DC7B52"/>
    <w:rsid w:val="00DD2FBF"/>
    <w:rsid w:val="00DD4302"/>
    <w:rsid w:val="00DF3852"/>
    <w:rsid w:val="00DF7693"/>
    <w:rsid w:val="00E01BFA"/>
    <w:rsid w:val="00E07662"/>
    <w:rsid w:val="00E22828"/>
    <w:rsid w:val="00E22E56"/>
    <w:rsid w:val="00E373C4"/>
    <w:rsid w:val="00E44DB4"/>
    <w:rsid w:val="00E6403B"/>
    <w:rsid w:val="00EA3E30"/>
    <w:rsid w:val="00ED1A52"/>
    <w:rsid w:val="00ED2894"/>
    <w:rsid w:val="00F11B8E"/>
    <w:rsid w:val="00F17A2A"/>
    <w:rsid w:val="00F253FF"/>
    <w:rsid w:val="00F3682A"/>
    <w:rsid w:val="00F44002"/>
    <w:rsid w:val="00F454A5"/>
    <w:rsid w:val="00F52ED1"/>
    <w:rsid w:val="00F55E53"/>
    <w:rsid w:val="00F56FB0"/>
    <w:rsid w:val="00F74962"/>
    <w:rsid w:val="00F75401"/>
    <w:rsid w:val="00F80BE6"/>
    <w:rsid w:val="00F905AB"/>
    <w:rsid w:val="00F9432B"/>
    <w:rsid w:val="00F94B73"/>
    <w:rsid w:val="00F951FE"/>
    <w:rsid w:val="00FA1B9D"/>
    <w:rsid w:val="00FA2FC8"/>
    <w:rsid w:val="00FA4D97"/>
    <w:rsid w:val="00FB2DE8"/>
    <w:rsid w:val="00FB3145"/>
    <w:rsid w:val="00FC053A"/>
    <w:rsid w:val="00FC191F"/>
    <w:rsid w:val="00FC1FE1"/>
    <w:rsid w:val="00FD1C1A"/>
    <w:rsid w:val="00FF43E6"/>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D61C0-C7CC-4D74-B658-53F071A5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20"/>
    <w:pPr>
      <w:spacing w:after="160" w:line="259" w:lineRule="auto"/>
    </w:pPr>
    <w:rPr>
      <w:rFonts w:eastAsia="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3F20"/>
    <w:rPr>
      <w:color w:val="0563C1"/>
      <w:u w:val="single"/>
    </w:rPr>
  </w:style>
  <w:style w:type="paragraph" w:styleId="Header">
    <w:name w:val="header"/>
    <w:basedOn w:val="Normal"/>
    <w:link w:val="HeaderChar"/>
    <w:uiPriority w:val="99"/>
    <w:unhideWhenUsed/>
    <w:rsid w:val="009F3F20"/>
    <w:pPr>
      <w:tabs>
        <w:tab w:val="center" w:pos="4677"/>
        <w:tab w:val="right" w:pos="9355"/>
      </w:tabs>
      <w:spacing w:after="0" w:line="240" w:lineRule="auto"/>
    </w:pPr>
  </w:style>
  <w:style w:type="character" w:customStyle="1" w:styleId="HeaderChar">
    <w:name w:val="Header Char"/>
    <w:link w:val="Header"/>
    <w:uiPriority w:val="99"/>
    <w:rsid w:val="009F3F20"/>
    <w:rPr>
      <w:rFonts w:ascii="Calibri" w:eastAsia="Calibri" w:hAnsi="Calibri" w:cs="Times New Roman"/>
      <w:lang w:eastAsia="en-US"/>
    </w:rPr>
  </w:style>
  <w:style w:type="paragraph" w:styleId="Footer">
    <w:name w:val="footer"/>
    <w:basedOn w:val="Normal"/>
    <w:link w:val="FooterChar"/>
    <w:uiPriority w:val="99"/>
    <w:unhideWhenUsed/>
    <w:rsid w:val="009F3F20"/>
    <w:pPr>
      <w:tabs>
        <w:tab w:val="center" w:pos="4677"/>
        <w:tab w:val="right" w:pos="9355"/>
      </w:tabs>
      <w:spacing w:after="0" w:line="240" w:lineRule="auto"/>
    </w:pPr>
  </w:style>
  <w:style w:type="character" w:customStyle="1" w:styleId="FooterChar">
    <w:name w:val="Footer Char"/>
    <w:link w:val="Footer"/>
    <w:uiPriority w:val="99"/>
    <w:rsid w:val="009F3F20"/>
    <w:rPr>
      <w:rFonts w:ascii="Calibri" w:eastAsia="Calibri" w:hAnsi="Calibri" w:cs="Times New Roman"/>
      <w:lang w:eastAsia="en-US"/>
    </w:rPr>
  </w:style>
  <w:style w:type="paragraph" w:styleId="ListParagraph">
    <w:name w:val="List Paragraph"/>
    <w:basedOn w:val="Normal"/>
    <w:uiPriority w:val="34"/>
    <w:qFormat/>
    <w:rsid w:val="000704E5"/>
    <w:pPr>
      <w:ind w:left="720"/>
      <w:contextualSpacing/>
    </w:pPr>
  </w:style>
  <w:style w:type="paragraph" w:customStyle="1" w:styleId="Default">
    <w:name w:val="Default"/>
    <w:rsid w:val="00A04A69"/>
    <w:pPr>
      <w:autoSpaceDE w:val="0"/>
      <w:autoSpaceDN w:val="0"/>
      <w:adjustRightInd w:val="0"/>
    </w:pPr>
    <w:rPr>
      <w:rFonts w:ascii="Times New Roman" w:hAnsi="Times New Roman"/>
      <w:color w:val="000000"/>
      <w:sz w:val="24"/>
      <w:szCs w:val="24"/>
      <w:lang w:val="ru-RU" w:eastAsia="ru-RU"/>
    </w:rPr>
  </w:style>
  <w:style w:type="paragraph" w:styleId="BalloonText">
    <w:name w:val="Balloon Text"/>
    <w:basedOn w:val="Normal"/>
    <w:link w:val="BalloonTextChar"/>
    <w:uiPriority w:val="99"/>
    <w:semiHidden/>
    <w:unhideWhenUsed/>
    <w:rsid w:val="007C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9B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004">
      <w:bodyDiv w:val="1"/>
      <w:marLeft w:val="0"/>
      <w:marRight w:val="0"/>
      <w:marTop w:val="0"/>
      <w:marBottom w:val="0"/>
      <w:divBdr>
        <w:top w:val="none" w:sz="0" w:space="0" w:color="auto"/>
        <w:left w:val="none" w:sz="0" w:space="0" w:color="auto"/>
        <w:bottom w:val="none" w:sz="0" w:space="0" w:color="auto"/>
        <w:right w:val="none" w:sz="0" w:space="0" w:color="auto"/>
      </w:divBdr>
    </w:div>
    <w:div w:id="904757166">
      <w:bodyDiv w:val="1"/>
      <w:marLeft w:val="0"/>
      <w:marRight w:val="0"/>
      <w:marTop w:val="0"/>
      <w:marBottom w:val="0"/>
      <w:divBdr>
        <w:top w:val="none" w:sz="0" w:space="0" w:color="auto"/>
        <w:left w:val="none" w:sz="0" w:space="0" w:color="auto"/>
        <w:bottom w:val="none" w:sz="0" w:space="0" w:color="auto"/>
        <w:right w:val="none" w:sz="0" w:space="0" w:color="auto"/>
      </w:divBdr>
    </w:div>
    <w:div w:id="1689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8838-F4E2-46B2-8502-658A7102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1396</Words>
  <Characters>7958</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9336</CharactersWithSpaces>
  <SharedDoc>false</SharedDoc>
  <HLinks>
    <vt:vector size="12" baseType="variant">
      <vt:variant>
        <vt:i4>2228266</vt:i4>
      </vt:variant>
      <vt:variant>
        <vt:i4>3</vt:i4>
      </vt:variant>
      <vt:variant>
        <vt:i4>0</vt:i4>
      </vt:variant>
      <vt:variant>
        <vt:i4>5</vt:i4>
      </vt:variant>
      <vt:variant>
        <vt:lpwstr>http://www.particip.gov.md/</vt:lpwstr>
      </vt:variant>
      <vt:variant>
        <vt:lpwstr/>
      </vt:variant>
      <vt:variant>
        <vt:i4>3014698</vt:i4>
      </vt:variant>
      <vt:variant>
        <vt:i4>0</vt:i4>
      </vt:variant>
      <vt:variant>
        <vt:i4>0</vt:i4>
      </vt:variant>
      <vt:variant>
        <vt:i4>5</vt:i4>
      </vt:variant>
      <vt:variant>
        <vt:lpwstr>http://www.mecc.gov.md/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cp:lastModifiedBy>ACER</cp:lastModifiedBy>
  <cp:revision>51</cp:revision>
  <cp:lastPrinted>2021-11-19T08:43:00Z</cp:lastPrinted>
  <dcterms:created xsi:type="dcterms:W3CDTF">2021-11-18T19:30:00Z</dcterms:created>
  <dcterms:modified xsi:type="dcterms:W3CDTF">2022-05-25T00:56:00Z</dcterms:modified>
</cp:coreProperties>
</file>