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908" w:rsidRPr="00AF3B7E" w:rsidRDefault="009B5908" w:rsidP="00AF3B7E">
      <w:pPr>
        <w:pStyle w:val="NoSpacing"/>
        <w:jc w:val="center"/>
        <w:rPr>
          <w:rFonts w:ascii="Times New Roman" w:hAnsi="Times New Roman"/>
          <w:b/>
          <w:sz w:val="24"/>
          <w:szCs w:val="24"/>
          <w:lang w:val="ro-RO" w:eastAsia="ru-RU"/>
        </w:rPr>
      </w:pPr>
      <w:r w:rsidRPr="00AF3B7E">
        <w:rPr>
          <w:rFonts w:ascii="Times New Roman" w:hAnsi="Times New Roman"/>
          <w:b/>
          <w:sz w:val="24"/>
          <w:szCs w:val="24"/>
          <w:lang w:val="ro-RO" w:eastAsia="ru-RU"/>
        </w:rPr>
        <w:t>Notă informativă</w:t>
      </w:r>
    </w:p>
    <w:p w:rsidR="009B5908" w:rsidRPr="00AF3B7E" w:rsidRDefault="009B5908" w:rsidP="00AF3B7E">
      <w:pPr>
        <w:pStyle w:val="NoSpacing"/>
        <w:jc w:val="center"/>
        <w:rPr>
          <w:rFonts w:ascii="Times New Roman" w:hAnsi="Times New Roman"/>
          <w:b/>
          <w:i/>
          <w:sz w:val="24"/>
          <w:szCs w:val="24"/>
          <w:lang w:val="ro-RO" w:eastAsia="ru-RU"/>
        </w:rPr>
      </w:pPr>
      <w:r w:rsidRPr="00AF3B7E">
        <w:rPr>
          <w:rFonts w:ascii="Times New Roman" w:hAnsi="Times New Roman"/>
          <w:b/>
          <w:sz w:val="24"/>
          <w:szCs w:val="24"/>
          <w:lang w:val="ro-RO" w:eastAsia="ru-RU"/>
        </w:rPr>
        <w:t xml:space="preserve">la proiectul Hotărârii Guvernului </w:t>
      </w:r>
      <w:r w:rsidRPr="00AF3B7E">
        <w:rPr>
          <w:rFonts w:ascii="Times New Roman" w:hAnsi="Times New Roman"/>
          <w:b/>
          <w:i/>
          <w:sz w:val="24"/>
          <w:szCs w:val="24"/>
          <w:lang w:val="ro-RO" w:eastAsia="ru-RU"/>
        </w:rPr>
        <w:t xml:space="preserve">cu privire la </w:t>
      </w:r>
      <w:r w:rsidR="00115730" w:rsidRPr="00AF3B7E">
        <w:rPr>
          <w:rFonts w:ascii="Times New Roman" w:hAnsi="Times New Roman"/>
          <w:b/>
          <w:i/>
          <w:sz w:val="24"/>
          <w:szCs w:val="24"/>
          <w:lang w:val="ro-RO"/>
        </w:rPr>
        <w:t>acordul trecerii unor bunuri din domeniul public în domeniul privat al unităților administrativ-teritoriale</w:t>
      </w:r>
    </w:p>
    <w:p w:rsidR="009B5908" w:rsidRPr="00AF3B7E" w:rsidRDefault="009B5908" w:rsidP="00AF3B7E">
      <w:pPr>
        <w:pStyle w:val="NoSpacing"/>
        <w:ind w:firstLine="540"/>
        <w:jc w:val="both"/>
        <w:rPr>
          <w:rFonts w:ascii="Times New Roman" w:hAnsi="Times New Roman"/>
          <w:sz w:val="24"/>
          <w:szCs w:val="24"/>
          <w:lang w:val="ro-RO" w:eastAsia="ru-RU"/>
        </w:rPr>
      </w:pPr>
    </w:p>
    <w:tbl>
      <w:tblPr>
        <w:tblW w:w="5291" w:type="pct"/>
        <w:tblCellSpacing w:w="15" w:type="dxa"/>
        <w:tblInd w:w="-90" w:type="dxa"/>
        <w:tblCellMar>
          <w:top w:w="15" w:type="dxa"/>
          <w:left w:w="15" w:type="dxa"/>
          <w:bottom w:w="15" w:type="dxa"/>
          <w:right w:w="15" w:type="dxa"/>
        </w:tblCellMar>
        <w:tblLook w:val="04A0" w:firstRow="1" w:lastRow="0" w:firstColumn="1" w:lastColumn="0" w:noHBand="0" w:noVBand="1"/>
      </w:tblPr>
      <w:tblGrid>
        <w:gridCol w:w="10174"/>
      </w:tblGrid>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9B5908"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1. Denumirea autorului şi, după caz, a participanţilor la elaborarea proiectului</w:t>
            </w:r>
            <w:r w:rsidR="002E1558" w:rsidRPr="00AF3B7E">
              <w:rPr>
                <w:rFonts w:ascii="Times New Roman" w:hAnsi="Times New Roman"/>
                <w:b/>
                <w:noProof/>
                <w:sz w:val="24"/>
                <w:szCs w:val="24"/>
                <w:lang w:val="ro-RO" w:eastAsia="ru-RU"/>
              </w:rPr>
              <w:t>.</w:t>
            </w:r>
            <w:r w:rsidRPr="00AF3B7E">
              <w:rPr>
                <w:rFonts w:ascii="Times New Roman" w:hAnsi="Times New Roman"/>
                <w:b/>
                <w:noProof/>
                <w:sz w:val="24"/>
                <w:szCs w:val="24"/>
                <w:lang w:val="ro-RO" w:eastAsia="ru-RU"/>
              </w:rPr>
              <w:t xml:space="preserve"> </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9B5908"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 xml:space="preserve">Proiectul Hotărârii Guvernului </w:t>
            </w:r>
            <w:r w:rsidR="00115730" w:rsidRPr="00AF3B7E">
              <w:rPr>
                <w:rFonts w:ascii="Times New Roman" w:hAnsi="Times New Roman"/>
                <w:noProof/>
                <w:sz w:val="24"/>
                <w:szCs w:val="24"/>
                <w:lang w:val="ro-RO" w:eastAsia="ru-RU"/>
              </w:rPr>
              <w:t>cu privire la acordul trecerii unor bunuri din domeniul public în domeniul privat al unităților administrativ-teritoriale</w:t>
            </w:r>
            <w:r w:rsidRPr="00AF3B7E">
              <w:rPr>
                <w:rFonts w:ascii="Times New Roman" w:hAnsi="Times New Roman"/>
                <w:i/>
                <w:sz w:val="24"/>
                <w:szCs w:val="24"/>
                <w:lang w:val="ro-RO"/>
              </w:rPr>
              <w:t xml:space="preserve"> </w:t>
            </w:r>
            <w:r w:rsidRPr="00AF3B7E">
              <w:rPr>
                <w:rFonts w:ascii="Times New Roman" w:hAnsi="Times New Roman"/>
                <w:noProof/>
                <w:sz w:val="24"/>
                <w:szCs w:val="24"/>
                <w:lang w:val="ro-RO" w:eastAsia="ru-RU"/>
              </w:rPr>
              <w:t xml:space="preserve">a fost elaborat de către Ministerul Educației </w:t>
            </w:r>
            <w:r w:rsidR="00115730" w:rsidRPr="00AF3B7E">
              <w:rPr>
                <w:rFonts w:ascii="Times New Roman" w:hAnsi="Times New Roman"/>
                <w:noProof/>
                <w:sz w:val="24"/>
                <w:szCs w:val="24"/>
                <w:lang w:val="ro-RO" w:eastAsia="ru-RU"/>
              </w:rPr>
              <w:t>și Cercetării, în baza decizi</w:t>
            </w:r>
            <w:r w:rsidRPr="00AF3B7E">
              <w:rPr>
                <w:rFonts w:ascii="Times New Roman" w:hAnsi="Times New Roman"/>
                <w:noProof/>
                <w:sz w:val="24"/>
                <w:szCs w:val="24"/>
                <w:lang w:val="ro-RO" w:eastAsia="ru-RU"/>
              </w:rPr>
              <w:t>i</w:t>
            </w:r>
            <w:r w:rsidR="00115730" w:rsidRPr="00AF3B7E">
              <w:rPr>
                <w:rFonts w:ascii="Times New Roman" w:hAnsi="Times New Roman"/>
                <w:noProof/>
                <w:sz w:val="24"/>
                <w:szCs w:val="24"/>
                <w:lang w:val="ro-RO" w:eastAsia="ru-RU"/>
              </w:rPr>
              <w:t>lor</w:t>
            </w:r>
            <w:r w:rsidRPr="00AF3B7E">
              <w:rPr>
                <w:rFonts w:ascii="Times New Roman" w:hAnsi="Times New Roman"/>
                <w:noProof/>
                <w:sz w:val="24"/>
                <w:szCs w:val="24"/>
                <w:lang w:val="ro-RO" w:eastAsia="ru-RU"/>
              </w:rPr>
              <w:t xml:space="preserve"> pozitive a</w:t>
            </w:r>
            <w:r w:rsidR="00115730" w:rsidRPr="00AF3B7E">
              <w:rPr>
                <w:rFonts w:ascii="Times New Roman" w:hAnsi="Times New Roman"/>
                <w:noProof/>
                <w:sz w:val="24"/>
                <w:szCs w:val="24"/>
                <w:lang w:val="ro-RO" w:eastAsia="ru-RU"/>
              </w:rPr>
              <w:t>le</w:t>
            </w:r>
            <w:r w:rsidRPr="00AF3B7E">
              <w:rPr>
                <w:rFonts w:ascii="Times New Roman" w:hAnsi="Times New Roman"/>
                <w:noProof/>
                <w:sz w:val="24"/>
                <w:szCs w:val="24"/>
                <w:lang w:val="ro-RO" w:eastAsia="ru-RU"/>
              </w:rPr>
              <w:t xml:space="preserve"> Comisiei de avizare a raportului de expertiză din </w:t>
            </w:r>
            <w:r w:rsidR="003B3FD8" w:rsidRPr="00AF3B7E">
              <w:rPr>
                <w:rFonts w:ascii="Times New Roman" w:hAnsi="Times New Roman"/>
                <w:noProof/>
                <w:sz w:val="24"/>
                <w:szCs w:val="24"/>
                <w:lang w:val="ro-RO" w:eastAsia="ru-RU"/>
              </w:rPr>
              <w:t>03 martie, 10 martie</w:t>
            </w:r>
            <w:r w:rsidR="00EB29C7" w:rsidRPr="00AF3B7E">
              <w:rPr>
                <w:rFonts w:ascii="Times New Roman" w:hAnsi="Times New Roman"/>
                <w:noProof/>
                <w:sz w:val="24"/>
                <w:szCs w:val="24"/>
                <w:lang w:val="ro-RO" w:eastAsia="ru-RU"/>
              </w:rPr>
              <w:t xml:space="preserve">, </w:t>
            </w:r>
            <w:r w:rsidR="009E4805" w:rsidRPr="00AF3B7E">
              <w:rPr>
                <w:rFonts w:ascii="Times New Roman" w:hAnsi="Times New Roman"/>
                <w:noProof/>
                <w:sz w:val="24"/>
                <w:szCs w:val="24"/>
                <w:lang w:val="ro-RO" w:eastAsia="ru-RU"/>
              </w:rPr>
              <w:t>20 aprilie</w:t>
            </w:r>
            <w:r w:rsidR="00EB29C7" w:rsidRPr="00AF3B7E">
              <w:rPr>
                <w:rFonts w:ascii="Times New Roman" w:hAnsi="Times New Roman"/>
                <w:noProof/>
                <w:sz w:val="24"/>
                <w:szCs w:val="24"/>
                <w:lang w:val="ro-RO" w:eastAsia="ru-RU"/>
              </w:rPr>
              <w:t xml:space="preserve"> </w:t>
            </w:r>
            <w:r w:rsidR="009E4805" w:rsidRPr="00AF3B7E">
              <w:rPr>
                <w:rFonts w:ascii="Times New Roman" w:hAnsi="Times New Roman"/>
                <w:noProof/>
                <w:sz w:val="24"/>
                <w:szCs w:val="24"/>
                <w:lang w:val="ro-RO" w:eastAsia="ru-RU"/>
              </w:rPr>
              <w:t>ș</w:t>
            </w:r>
            <w:r w:rsidR="00EB29C7" w:rsidRPr="00AF3B7E">
              <w:rPr>
                <w:rFonts w:ascii="Times New Roman" w:hAnsi="Times New Roman"/>
                <w:noProof/>
                <w:sz w:val="24"/>
                <w:szCs w:val="24"/>
                <w:lang w:val="ro-RO" w:eastAsia="ru-RU"/>
              </w:rPr>
              <w:t>i 13 mai</w:t>
            </w:r>
            <w:r w:rsidR="009E4805" w:rsidRPr="00AF3B7E">
              <w:rPr>
                <w:rFonts w:ascii="Times New Roman" w:hAnsi="Times New Roman"/>
                <w:noProof/>
                <w:sz w:val="24"/>
                <w:szCs w:val="24"/>
                <w:lang w:val="ro-RO" w:eastAsia="ru-RU"/>
              </w:rPr>
              <w:t xml:space="preserve"> 2022</w:t>
            </w:r>
            <w:r w:rsidRPr="00AF3B7E">
              <w:rPr>
                <w:rFonts w:ascii="Times New Roman" w:hAnsi="Times New Roman"/>
                <w:sz w:val="24"/>
                <w:szCs w:val="24"/>
                <w:lang w:val="ro-RO" w:eastAsia="ru-RU"/>
              </w:rPr>
              <w:t>.</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9B5908"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2. Condiţiile ce au impus elaborarea proiectului de act normativ şi finalităţile urmărite</w:t>
            </w:r>
            <w:r w:rsidR="002E1558" w:rsidRPr="00AF3B7E">
              <w:rPr>
                <w:rFonts w:ascii="Times New Roman" w:hAnsi="Times New Roman"/>
                <w:b/>
                <w:noProof/>
                <w:sz w:val="24"/>
                <w:szCs w:val="24"/>
                <w:lang w:val="ro-RO" w:eastAsia="ru-RU"/>
              </w:rPr>
              <w:t>.</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9B5908"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 xml:space="preserve">Articolul 146 alin.(4) al Codului </w:t>
            </w:r>
            <w:r w:rsidR="00BA210A" w:rsidRPr="00AF3B7E">
              <w:rPr>
                <w:rFonts w:ascii="Times New Roman" w:hAnsi="Times New Roman"/>
                <w:noProof/>
                <w:sz w:val="24"/>
                <w:szCs w:val="24"/>
                <w:lang w:val="ro-RO" w:eastAsia="ru-RU"/>
              </w:rPr>
              <w:t>e</w:t>
            </w:r>
            <w:r w:rsidRPr="00AF3B7E">
              <w:rPr>
                <w:rFonts w:ascii="Times New Roman" w:hAnsi="Times New Roman"/>
                <w:noProof/>
                <w:sz w:val="24"/>
                <w:szCs w:val="24"/>
                <w:lang w:val="ro-RO" w:eastAsia="ru-RU"/>
              </w:rPr>
              <w:t>ducaţiei nr.152/2014</w:t>
            </w:r>
            <w:r w:rsidR="00BA210A" w:rsidRPr="00AF3B7E">
              <w:rPr>
                <w:rFonts w:ascii="Times New Roman" w:hAnsi="Times New Roman"/>
                <w:noProof/>
                <w:sz w:val="24"/>
                <w:szCs w:val="24"/>
                <w:lang w:val="ro-RO" w:eastAsia="ru-RU"/>
              </w:rPr>
              <w:t>,</w:t>
            </w:r>
            <w:r w:rsidRPr="00AF3B7E">
              <w:rPr>
                <w:rFonts w:ascii="Times New Roman" w:hAnsi="Times New Roman"/>
                <w:noProof/>
                <w:sz w:val="24"/>
                <w:szCs w:val="24"/>
                <w:lang w:val="ro-RO" w:eastAsia="ru-RU"/>
              </w:rPr>
              <w:t xml:space="preserve"> prevede că „</w:t>
            </w:r>
            <w:r w:rsidRPr="00AF3B7E">
              <w:rPr>
                <w:rFonts w:ascii="Times New Roman" w:hAnsi="Times New Roman"/>
                <w:i/>
                <w:noProof/>
                <w:sz w:val="24"/>
                <w:szCs w:val="24"/>
                <w:lang w:val="ro-RO" w:eastAsia="ru-RU"/>
              </w:rPr>
              <w:t>transferul (trecerea) bunurilor din domeniul public al unităţii administrativ-teritoriale în domeniul privat al unităţii administrativ-teritoriale se realizează prin decizii ale consiliului satului (comunei), oraşului, raionului, municipiului, ale Adunării Populare a Găgăuziei, cu acordul prealabil al Guvernului. Transferul bunurilor din domeniul public al statului în domeniul privat al statului se realizează prin hotărâre de Guvern. Adoptarea deciziilor respective este precedată de realizarea unui raport de expertiză prin care se demonstrează încetarea necesităţii de aflare a bunurilor respective în domeniul public. Metodologia de realizare a raportului de expertiză se aprobă de Guvern</w:t>
            </w:r>
            <w:r w:rsidRPr="00AF3B7E">
              <w:rPr>
                <w:rFonts w:ascii="Times New Roman" w:hAnsi="Times New Roman"/>
                <w:noProof/>
                <w:sz w:val="24"/>
                <w:szCs w:val="24"/>
                <w:lang w:val="ro-RO" w:eastAsia="ru-RU"/>
              </w:rPr>
              <w:t>”.</w:t>
            </w:r>
          </w:p>
          <w:p w:rsidR="009B5908" w:rsidRPr="00AF3B7E" w:rsidRDefault="009B5908" w:rsidP="00AF3B7E">
            <w:pPr>
              <w:pStyle w:val="NoSpacing"/>
              <w:ind w:firstLine="540"/>
              <w:jc w:val="both"/>
              <w:rPr>
                <w:rFonts w:ascii="Times New Roman" w:hAnsi="Times New Roman"/>
                <w:i/>
                <w:noProof/>
                <w:sz w:val="24"/>
                <w:szCs w:val="24"/>
                <w:lang w:val="ro-RO" w:eastAsia="ru-RU"/>
              </w:rPr>
            </w:pPr>
            <w:r w:rsidRPr="00AF3B7E">
              <w:rPr>
                <w:rFonts w:ascii="Times New Roman" w:hAnsi="Times New Roman"/>
                <w:noProof/>
                <w:sz w:val="24"/>
                <w:szCs w:val="24"/>
                <w:lang w:val="ro-RO" w:eastAsia="ru-RU"/>
              </w:rPr>
              <w:t xml:space="preserve">În conformitate cu Hotărârea Guvernului nr.314/2018 a fost aprobată </w:t>
            </w:r>
            <w:r w:rsidRPr="00AF3B7E">
              <w:rPr>
                <w:rFonts w:ascii="Times New Roman" w:hAnsi="Times New Roman"/>
                <w:i/>
                <w:noProof/>
                <w:sz w:val="24"/>
                <w:szCs w:val="24"/>
                <w:lang w:val="ro-RO" w:eastAsia="ru-RU"/>
              </w:rPr>
              <w:t xml:space="preserve">Metodologia de realizare a raportului de expertiză privind încetarea necesității menținerii în domeniul public a unor bunuri imobile destinate domeniului educației </w:t>
            </w:r>
            <w:r w:rsidRPr="00AF3B7E">
              <w:rPr>
                <w:rFonts w:ascii="Times New Roman" w:hAnsi="Times New Roman"/>
                <w:noProof/>
                <w:sz w:val="24"/>
                <w:szCs w:val="24"/>
                <w:lang w:val="ro-RO" w:eastAsia="ru-RU"/>
              </w:rPr>
              <w:t>(în continuare Metodologia)</w:t>
            </w:r>
            <w:r w:rsidRPr="00AF3B7E">
              <w:rPr>
                <w:rFonts w:ascii="Times New Roman" w:hAnsi="Times New Roman"/>
                <w:i/>
                <w:noProof/>
                <w:sz w:val="24"/>
                <w:szCs w:val="24"/>
                <w:lang w:val="ro-RO" w:eastAsia="ru-RU"/>
              </w:rPr>
              <w:t>.</w:t>
            </w:r>
          </w:p>
          <w:p w:rsidR="00A64675" w:rsidRPr="00AF3B7E" w:rsidRDefault="00BA210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Potrivit</w:t>
            </w:r>
            <w:r w:rsidR="00A64675" w:rsidRPr="00AF3B7E">
              <w:rPr>
                <w:rFonts w:ascii="Times New Roman" w:hAnsi="Times New Roman"/>
                <w:noProof/>
                <w:sz w:val="24"/>
                <w:szCs w:val="24"/>
                <w:lang w:val="ro-RO" w:eastAsia="ru-RU"/>
              </w:rPr>
              <w:t xml:space="preserve"> pct. 17 din Metodologi</w:t>
            </w:r>
            <w:r w:rsidRPr="00AF3B7E">
              <w:rPr>
                <w:rFonts w:ascii="Times New Roman" w:hAnsi="Times New Roman"/>
                <w:noProof/>
                <w:sz w:val="24"/>
                <w:szCs w:val="24"/>
                <w:lang w:val="ro-RO" w:eastAsia="ru-RU"/>
              </w:rPr>
              <w:t>e</w:t>
            </w:r>
            <w:r w:rsidR="00A64675" w:rsidRPr="00AF3B7E">
              <w:rPr>
                <w:rFonts w:ascii="Times New Roman" w:hAnsi="Times New Roman"/>
                <w:noProof/>
                <w:sz w:val="24"/>
                <w:szCs w:val="24"/>
                <w:lang w:val="ro-RO" w:eastAsia="ru-RU"/>
              </w:rPr>
              <w:t xml:space="preserve"> „</w:t>
            </w:r>
            <w:r w:rsidR="00A64675" w:rsidRPr="00AF3B7E">
              <w:rPr>
                <w:rFonts w:ascii="Times New Roman" w:hAnsi="Times New Roman"/>
                <w:i/>
                <w:noProof/>
                <w:sz w:val="24"/>
                <w:szCs w:val="24"/>
                <w:lang w:val="ro-RO" w:eastAsia="ru-RU"/>
              </w:rPr>
              <w:t>Comisia examinează raportul de expertiză sub aspectul plenitudinii şi corectitudinii informației prezentate de fondator. În acest sens, comisia are dreptul să solicite informații de la orice instituție sau autoritate publică în scopul verificării corectitudinii datelor indicate în raportul de expertiză</w:t>
            </w:r>
            <w:r w:rsidR="00A64675" w:rsidRPr="00AF3B7E">
              <w:rPr>
                <w:rFonts w:ascii="Times New Roman" w:hAnsi="Times New Roman"/>
                <w:noProof/>
                <w:sz w:val="24"/>
                <w:szCs w:val="24"/>
                <w:lang w:val="ro-RO" w:eastAsia="ru-RU"/>
              </w:rPr>
              <w:t>”.</w:t>
            </w:r>
          </w:p>
          <w:p w:rsidR="00904597" w:rsidRPr="00AF3B7E" w:rsidRDefault="00904597" w:rsidP="00AF3B7E">
            <w:pPr>
              <w:pStyle w:val="NoSpacing"/>
              <w:ind w:firstLine="540"/>
              <w:jc w:val="both"/>
              <w:rPr>
                <w:rFonts w:ascii="Times New Roman" w:hAnsi="Times New Roman"/>
                <w:i/>
                <w:noProof/>
                <w:sz w:val="24"/>
                <w:szCs w:val="24"/>
                <w:lang w:val="ro-RO" w:eastAsia="ru-RU"/>
              </w:rPr>
            </w:pPr>
            <w:r w:rsidRPr="00AF3B7E">
              <w:rPr>
                <w:rFonts w:ascii="Times New Roman" w:hAnsi="Times New Roman"/>
                <w:noProof/>
                <w:sz w:val="24"/>
                <w:szCs w:val="24"/>
                <w:lang w:val="ro-RO" w:eastAsia="ru-RU"/>
              </w:rPr>
              <w:t xml:space="preserve">În </w:t>
            </w:r>
            <w:r w:rsidR="00BA210A" w:rsidRPr="00AF3B7E">
              <w:rPr>
                <w:rFonts w:ascii="Times New Roman" w:hAnsi="Times New Roman"/>
                <w:noProof/>
                <w:sz w:val="24"/>
                <w:szCs w:val="24"/>
                <w:lang w:val="ro-RO" w:eastAsia="ru-RU"/>
              </w:rPr>
              <w:t>corespundere</w:t>
            </w:r>
            <w:r w:rsidRPr="00AF3B7E">
              <w:rPr>
                <w:rFonts w:ascii="Times New Roman" w:hAnsi="Times New Roman"/>
                <w:noProof/>
                <w:sz w:val="24"/>
                <w:szCs w:val="24"/>
                <w:lang w:val="ro-RO" w:eastAsia="ru-RU"/>
              </w:rPr>
              <w:t xml:space="preserve"> cu pct.19 din Metodologi</w:t>
            </w:r>
            <w:r w:rsidR="00BA210A" w:rsidRPr="00AF3B7E">
              <w:rPr>
                <w:rFonts w:ascii="Times New Roman" w:hAnsi="Times New Roman"/>
                <w:noProof/>
                <w:sz w:val="24"/>
                <w:szCs w:val="24"/>
                <w:lang w:val="ro-RO" w:eastAsia="ru-RU"/>
              </w:rPr>
              <w:t>e</w:t>
            </w:r>
            <w:r w:rsidRPr="00AF3B7E">
              <w:rPr>
                <w:rFonts w:ascii="Times New Roman" w:hAnsi="Times New Roman"/>
                <w:noProof/>
                <w:sz w:val="24"/>
                <w:szCs w:val="24"/>
                <w:lang w:val="ro-RO" w:eastAsia="ru-RU"/>
              </w:rPr>
              <w:t xml:space="preserve"> „</w:t>
            </w:r>
            <w:r w:rsidRPr="00AF3B7E">
              <w:rPr>
                <w:rFonts w:ascii="Times New Roman" w:hAnsi="Times New Roman"/>
                <w:i/>
                <w:noProof/>
                <w:sz w:val="24"/>
                <w:szCs w:val="24"/>
                <w:lang w:val="ro-RO" w:eastAsia="ru-RU"/>
              </w:rPr>
              <w:t>raportul de expertiză este avizat negativ în cazurile în care:</w:t>
            </w:r>
          </w:p>
          <w:p w:rsidR="00904597" w:rsidRPr="00AF3B7E" w:rsidRDefault="00904597" w:rsidP="00AF3B7E">
            <w:pPr>
              <w:pStyle w:val="NoSpacing"/>
              <w:ind w:firstLine="540"/>
              <w:jc w:val="both"/>
              <w:rPr>
                <w:rFonts w:ascii="Times New Roman" w:hAnsi="Times New Roman"/>
                <w:i/>
                <w:noProof/>
                <w:sz w:val="24"/>
                <w:szCs w:val="24"/>
                <w:lang w:val="ro-RO" w:eastAsia="ru-RU"/>
              </w:rPr>
            </w:pPr>
            <w:r w:rsidRPr="00AF3B7E">
              <w:rPr>
                <w:rFonts w:ascii="Times New Roman" w:hAnsi="Times New Roman"/>
                <w:i/>
                <w:noProof/>
                <w:sz w:val="24"/>
                <w:szCs w:val="24"/>
                <w:lang w:val="ro-RO" w:eastAsia="ru-RU"/>
              </w:rPr>
              <w:t>1) în urma verificării s-a constatat că raportul de expertiză conține informații eronate;</w:t>
            </w:r>
          </w:p>
          <w:p w:rsidR="00904597" w:rsidRPr="00AF3B7E" w:rsidRDefault="00904597"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i/>
                <w:noProof/>
                <w:sz w:val="24"/>
                <w:szCs w:val="24"/>
                <w:lang w:val="ro-RO" w:eastAsia="ru-RU"/>
              </w:rPr>
              <w:t>2) bunul expertizat constituie clădiri destinate instruirii ce s-au aflat în gestiunea unei instituții de învățământ de tip unic în localitatea respectivă (grădiniță, școală primară, gimnaziu, liceu, școală sportivă, școală muzicală), care au fost lichidate cu mai puțin de 5 ani în urmă, iar conform datelor demografice, în următorii 7 ani numărul de beneficiari din localitatea respectivă ar putea îndeplini minimul prevăzut de lege pentru existența instituției</w:t>
            </w:r>
            <w:r w:rsidRPr="00AF3B7E">
              <w:rPr>
                <w:rFonts w:ascii="Times New Roman" w:hAnsi="Times New Roman"/>
                <w:noProof/>
                <w:sz w:val="24"/>
                <w:szCs w:val="24"/>
                <w:lang w:val="ro-RO" w:eastAsia="ru-RU"/>
              </w:rPr>
              <w:t>”.</w:t>
            </w:r>
          </w:p>
          <w:p w:rsidR="00904597" w:rsidRPr="00AF3B7E" w:rsidRDefault="00904597"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De altfel, dacă nu sunt întrunite condițiile de emitere a unui aviz negativ, Comisia de avizare a rapoartelor de expertiză urmează să avizeze pozitiv raportul de expertiză înaintat spre examinare.</w:t>
            </w:r>
          </w:p>
          <w:p w:rsidR="00A64675" w:rsidRPr="00AF3B7E" w:rsidRDefault="00A64675"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Menționăm că, în rapoartele avizate nu s-au constatat informații eronate.</w:t>
            </w:r>
          </w:p>
          <w:p w:rsidR="00A64675" w:rsidRPr="00AF3B7E" w:rsidRDefault="00A64675"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Totodată, Comisia de avizare a constatat că rapoartele examinate satisfac condițiile de plenitudine și corectitudine cerute de pct.17 al Metodologiei</w:t>
            </w:r>
            <w:r w:rsidR="00BA210A" w:rsidRPr="00AF3B7E">
              <w:rPr>
                <w:rFonts w:ascii="Times New Roman" w:hAnsi="Times New Roman"/>
                <w:noProof/>
                <w:sz w:val="24"/>
                <w:szCs w:val="24"/>
                <w:lang w:val="ro-RO" w:eastAsia="ru-RU"/>
              </w:rPr>
              <w:t xml:space="preserve"> nominalizate supra</w:t>
            </w:r>
            <w:r w:rsidRPr="00AF3B7E">
              <w:rPr>
                <w:rFonts w:ascii="Times New Roman" w:hAnsi="Times New Roman"/>
                <w:noProof/>
                <w:sz w:val="24"/>
                <w:szCs w:val="24"/>
                <w:lang w:val="ro-RO" w:eastAsia="ru-RU"/>
              </w:rPr>
              <w:t>.</w:t>
            </w:r>
          </w:p>
          <w:p w:rsidR="00115730" w:rsidRPr="00AF3B7E" w:rsidRDefault="00904597" w:rsidP="00AF3B7E">
            <w:pPr>
              <w:pStyle w:val="NoSpacing"/>
              <w:ind w:firstLine="540"/>
              <w:jc w:val="both"/>
              <w:rPr>
                <w:rFonts w:ascii="Times New Roman" w:hAnsi="Times New Roman"/>
                <w:i/>
                <w:noProof/>
                <w:sz w:val="24"/>
                <w:szCs w:val="24"/>
                <w:lang w:val="ro-RO" w:eastAsia="ru-RU"/>
              </w:rPr>
            </w:pPr>
            <w:r w:rsidRPr="00AF3B7E">
              <w:rPr>
                <w:rFonts w:ascii="Times New Roman" w:hAnsi="Times New Roman"/>
                <w:i/>
                <w:noProof/>
                <w:sz w:val="24"/>
                <w:szCs w:val="24"/>
                <w:lang w:val="ro-RO" w:eastAsia="ru-RU"/>
              </w:rPr>
              <w:t xml:space="preserve">I – privind lipsa necesității de întrebuințare în domeniul educațional a </w:t>
            </w:r>
            <w:r w:rsidR="00531616" w:rsidRPr="00AF3B7E">
              <w:rPr>
                <w:rFonts w:ascii="Times New Roman" w:hAnsi="Times New Roman"/>
                <w:i/>
                <w:noProof/>
                <w:sz w:val="24"/>
                <w:szCs w:val="24"/>
                <w:lang w:val="ro-RO" w:eastAsia="ru-RU"/>
              </w:rPr>
              <w:t>construcției cu nr. cadastral 8514200174.01 (clădirea veche a Gimnaziului din s. Carahasani) din satul Carahasani, r-nul Ștefan Vodă</w:t>
            </w:r>
          </w:p>
          <w:p w:rsidR="00160A7A"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Potrivit informațiilor din baza de date electronică a Departamentului cadastru din cadrul Agenției Servicii Publice, bunul expertizat se află în proprietatea s. Carahasani, r-nul Ștefan Vodă.</w:t>
            </w:r>
          </w:p>
          <w:p w:rsidR="00160A7A"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Potrivit raportului de expertiză nr.159 din 11 martie 2022, clădirea veche a gimnaziului din s. Carahasani, r-nul Ștefan Vodă a fost edificată în anul 1946. Conform aceluiași raport, din anul 2000, clădirea veche a Gimnaziului din s. Carahasani, r-nul Ștefan Vodă (8514200174.01) nu a mai fost utilizată conform destinației. Din 2000 Gimnaziul din s. Carahasani, r-nul Ștefan Vodă a fost transferat în noul sediul (construcția cu nr. cadastral 8514201131).</w:t>
            </w:r>
          </w:p>
          <w:p w:rsidR="00160A7A"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Conform raportului de expertiză tehnică nr.9642-02-21/T, clădirea veche a Gimnaziului din s. Carahasani, r-nul Ștefan Vodă (8514200174.01) reprezintă o construcție alcătuită din trei blocuri (Blocul A, Blocul B și Blocul C). Potrivit raportului de expertiză tehnică s-a constatat că, la momentul examinării tehnice, construcția nu era exploatată și era într-o stare abandonată, cu o perioadă îndelungată fără lucrări de întreținere și reparație.</w:t>
            </w:r>
          </w:p>
          <w:p w:rsidR="00160A7A"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lastRenderedPageBreak/>
              <w:t>Totodată, expertul tehnic a concluzionat că structura de rezistență, în limitele pereților și fundațiilor, este în stare tehnică satisfăcătoare, dispune de rezerve suficiente și poate fi reabilitată pentru executarea lucrărilor de reparație capitală și exploatare în continuare. Pentru reabilitarea construcției este necesar de elaborat un proiect special.</w:t>
            </w:r>
          </w:p>
          <w:p w:rsidR="00160A7A"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Cu referire la asigurarea accesului la educație, din anul 2000 a fost dată în exploatare noua clădire a Gimnaziului din s. Carahasani, r-nul Ștefan Vodă cu o capacitate de 824 de elevi. La momentul elaborării raportului de expertiză în Gimnaziu erau înmatriculați 206 elevi (4 clase primare și 6 clase de gimnaziu). În anul 2015 a fost închis etajul III al clădirii Gimnaziului din cauza numărului mic de elevi.</w:t>
            </w:r>
          </w:p>
          <w:p w:rsidR="00160A7A"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În ceea ce privește situația demografică, pentru anii 2013-2020 numărul populației este puțin în descreștere (de la 2965 în 2013 la 2627 în 2020) iar numărul nou născuților într-o medie constantă (aproximativ 20 pe an).</w:t>
            </w:r>
          </w:p>
          <w:p w:rsidR="00160A7A"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Conform Raportului de expertiză, autoritățile publice locale a s. Carahasani, r-nul Ștefan Vodă, planifică inițierea procedurii de demolare a clădirii vechi a Gimnaziului din s. Carahasani, r-nul Ștefan Vodă (8514200174.01) pentru a contracara riscul de prăbușire a acesteia.</w:t>
            </w:r>
          </w:p>
          <w:p w:rsidR="00160A7A"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Potrivit scrisorii nr.01-31/23 din 17 ianuarie 2022, Direcția Generală Educație Ștefan Vodă susține propunerea administrației publice locale din s. Carahasani, r-nul Ștefan Vodă cu privire la încetarea menținerii în domeniul public a clădirii vechi a Gimnaziului. Conform aceleiași scrisori, actualul sediul al Gimnaziului din s. Carahasani, r-nul Ștefan Vodă satisface necesitățile Gimnaziului.</w:t>
            </w:r>
          </w:p>
          <w:p w:rsidR="004951B7" w:rsidRPr="00AF3B7E" w:rsidRDefault="00160A7A"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În conformitate cu scrisoarea nr. 01-30/94 din 30 ianuarie 2022, Gimnaziul „Mihai Viteazu” din s. Carahasani, r-nul Ștefan Vodă, susține propunerea administrației publice locale din s. Carahasani, r-nul Ștefan Vodă cu privire la încetarea menținerii în domeniul public a clădirii vechi a Gimnaziului. Conform aceleiași scrisori, actualul sediul al Gimnaziului din s. Carahasani, r-nul Ștefan Vodă asigură accesul la învățământul de calitate a tuturor beneficiarilor nivelului de învățământ primar și gimnazial.</w:t>
            </w:r>
          </w:p>
          <w:p w:rsidR="00A64675" w:rsidRPr="00AF3B7E" w:rsidRDefault="00A64675" w:rsidP="00AF3B7E">
            <w:pPr>
              <w:pStyle w:val="NoSpacing"/>
              <w:ind w:firstLine="540"/>
              <w:jc w:val="both"/>
              <w:rPr>
                <w:rFonts w:ascii="Times New Roman" w:hAnsi="Times New Roman"/>
                <w:i/>
                <w:sz w:val="24"/>
                <w:szCs w:val="24"/>
                <w:lang w:val="ro-RO"/>
              </w:rPr>
            </w:pPr>
            <w:r w:rsidRPr="00AF3B7E">
              <w:rPr>
                <w:rFonts w:ascii="Times New Roman" w:hAnsi="Times New Roman"/>
                <w:i/>
                <w:sz w:val="24"/>
                <w:szCs w:val="24"/>
                <w:lang w:val="ro-RO"/>
              </w:rPr>
              <w:t xml:space="preserve">II </w:t>
            </w:r>
            <w:r w:rsidR="00524BC9" w:rsidRPr="00AF3B7E">
              <w:rPr>
                <w:rFonts w:ascii="Times New Roman" w:hAnsi="Times New Roman"/>
                <w:i/>
                <w:sz w:val="24"/>
                <w:szCs w:val="24"/>
                <w:lang w:val="ro-RO"/>
              </w:rPr>
              <w:t>–</w:t>
            </w:r>
            <w:r w:rsidRPr="00AF3B7E">
              <w:rPr>
                <w:rFonts w:ascii="Times New Roman" w:hAnsi="Times New Roman"/>
                <w:i/>
                <w:sz w:val="24"/>
                <w:szCs w:val="24"/>
                <w:lang w:val="ro-RO"/>
              </w:rPr>
              <w:t xml:space="preserve"> privind</w:t>
            </w:r>
            <w:r w:rsidR="00524BC9" w:rsidRPr="00AF3B7E">
              <w:rPr>
                <w:rFonts w:ascii="Times New Roman" w:hAnsi="Times New Roman"/>
                <w:i/>
                <w:sz w:val="24"/>
                <w:szCs w:val="24"/>
                <w:lang w:val="ro-RO"/>
              </w:rPr>
              <w:t xml:space="preserve"> </w:t>
            </w:r>
            <w:r w:rsidRPr="00AF3B7E">
              <w:rPr>
                <w:rFonts w:ascii="Times New Roman" w:hAnsi="Times New Roman"/>
                <w:i/>
                <w:sz w:val="24"/>
                <w:szCs w:val="24"/>
                <w:lang w:val="ro-RO"/>
              </w:rPr>
              <w:t xml:space="preserve">lipsa necesității de întrebuințare în domeniul educațional a </w:t>
            </w:r>
            <w:r w:rsidR="00531616" w:rsidRPr="00AF3B7E">
              <w:rPr>
                <w:rFonts w:ascii="Times New Roman" w:hAnsi="Times New Roman"/>
                <w:i/>
                <w:sz w:val="24"/>
                <w:szCs w:val="24"/>
                <w:lang w:val="ro-RO"/>
              </w:rPr>
              <w:t>construcției cu nr. cadastral 7429306.126.01 (construcție de învățământ și educație) din r-nul Sîngerei, com. Copăceni, s. Copăceni, și a construcțiilor cu nr. cadastrale 7429214.521.01 - 7429214.521.10 (tabără de odihnă) din r-nul Sîngerei, com. Copăceni, s. Gavrilovca</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Conform informațiilor din baza de date electronice a Departamentului cadastru din cadrul Agenției Servicii Publice, construcția cu nr. cadastral 7429306.126.01 (construcție de învățământ și educație) și construcțiile cu nr. cadastrale 7429214.521.01 - 7429214.521.10 (tabără de odihnă) constituie proprietate a comunei Copăceni, r-nul Sîngerei.</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În conformitate cu raportul de expertiză tehnică nr.149 din 24.03.2021, clădirea „construcție de învățământ și educație” cu nr. cadastral 7429306.126.01, a fost dată în exploatare în anul 1938 cu replanificări și resistematizări prin anii 1959-1960. Construcția a fost folosită ca școală până în anul 1978.</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În anul 1978, în satul Copăceni a fost dată în exploatare o nouă clădire a școlii cu o capacitate care ar putea asigura instruirea a 964 de elevi. Astfel, din 1978 Școala activa în noul sediu. În fostul sediu (clădirea veche nr. cadastral 7429306.126.01), a fost plasată „Grădinița de Stat”. În anul 1978 în s. Copăceni activau 2 grădinițe „Grădinița Colhozului” cu propriul sediu într-o clădire separată și „Grădinița de Stat” cu sediul în clădirea vechii școli (dată în exploatare încă din 1938). La sfârșitul anului 1993, din lipsă de finanțare, dar și din motivul micșorării numărului de copii, „Grădinița Colhozului” a fost închisă, iar copii au fost plasați la „Grădinița de Stat” (clădirea veche nr. cadastral 7429306126.01).</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În anul 2018, în urma implementării proiectului „Lucrări civile la grădinița de copii Copăceni”, finanțat de către Guvernul României și gestionat de către FISM, grădinița, actualmente Instituția de Educație Timpurie „Andrieș”, a trecut în edificiul școlii (Gimnaziul „Adrian Păunescu”). Ca urmare, din anul 2018 și până în prezent clădirea „Grădiniței de Stat” adică imobilul cu nr. cadastral 7429306.126.01, este neutilizat, din lipsă de necesitate.</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 xml:space="preserve">Conform raportului de expertiză elementele structurii de rezistență a construcției se află în stare satisfăcătoare, în acestea nefiind depistate fisuri, încovoieri, deplasări sau alte degradări inadmisibile. Pereții compartimentari se află în stare satisfăcătoare, dar necesită reparație curentă. Pereții exteriori nu corespund cerințelor actelor normative în vigoare, din punct de vedere a rezistenței la transfer termic, nefiind reabilitați termic. Sistemul de încălzire și pardoseli necesită să fie înlocuite. Amenajarea </w:t>
            </w:r>
            <w:r w:rsidRPr="00AF3B7E">
              <w:rPr>
                <w:rFonts w:ascii="Times New Roman" w:hAnsi="Times New Roman"/>
                <w:sz w:val="24"/>
                <w:szCs w:val="24"/>
                <w:lang w:val="ro-RO"/>
              </w:rPr>
              <w:lastRenderedPageBreak/>
              <w:t>teritoriului se află în stare satisfăcătoare. Potrivit Expertului, reparația capitală a imobilului cu nr. cadastral 7429306.126.01 este posibilă în baza elaborării unui proiect aprobat în modul stabilit și care va ține cont de legislația în vigoare. Conform raportului de expertiză se recomandă înlocuirea parțială a elementelor din lemn din structura de rezistență existentă a acoperișului (până la 30%), înlocuirea totală a înveliturii acoperișului din foi de ardezie care se află în stare nesatisfăcătoare, reparația curentă a pereților compartimentari, înlocuirea totală a pardoselilor, izolarea termică a pereților din exterior.</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Conform situației demografice prezentate pentru anii 2014-2020 s-a constatat: în perioada 2014-2015 o stabilitate a numărului de nou născuți, urmată apoi de creștere și descreștere a numărului de nou născuți. În anul 2020 este cea mai mare creștere a numărului de nou născuți comparativ cu anii precedenți, dar și numărul de decese atinge cel mai înalt grad în această perioadă. Făcând o scurtă analiză a datelor statistice din raportul de expertiză, concluzionăm că numărul copiilor de grădiniță pe perioada ultimilor 7 ani este în ușoară descreștere în perioada anului 2019 - (66 copii de grădiniță) iar în perioada anului 2020 (64 copii de grădiniță). Totodată, menționăm că și numărul copiilor de gimnaziu este în descreștere pentru anul 2020.</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Cu referire la asigurarea accesului la educație, conform raportului de expertiză și a Notei informative prezentate suplimentar, noul sediu al grădiniței (instituția de educație timpurie Andrieș) ocupă nivelul I al clădirii școlii (gimnaziului Adrian Păunescu). Gimnaziul ocupă nivelul II al clădirii, iar nivelul III al clădirii rămâne neutilizat din lipsă de necesitate. Noul sediu al Grădiniței are o capacitate de 75 de copii, în 3 grupe. În prezent la grădiniță activează 3 grupe de copii cu un contingent de 63 de copii. Spaţiile instituției sunt accesibile pentru toți copiii, inclusiv pentru cei cu nevoi speciale.</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 xml:space="preserve">Grădinița dispune de intrare separată, fără tangențe cu intrarea școlii (partea din spate a clădirii - intrarea în școală fiind în partea din față), sunt 3 căi de evacuare în cazuri excepționale, pentru fiecare grupă în parte. </w:t>
            </w:r>
          </w:p>
          <w:p w:rsidR="00A1123C" w:rsidRPr="00AF3B7E" w:rsidRDefault="00A1123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Potrivit Notei informative al Primarului com. Copăceni, r-nul Sîngerei, dacă s-ar pune problema deschiderii unor grupe noi, la necesitate – grupele care la moment au dublă utilizare ar fi utilizate cu triplă destinație - sală de mese, sală de activități și dormitor, ar fi necesar doar mobilier suplimentar, inventar necesar și cadre didactice. În cazul creșterii considerabile a numărului de copii, o opțiune este și extinderea spațiului grădiniței pe întreg etajul I al gimnaziului - adică ar constitui nu 80% - care e la moment, dar 100 %, gimnaziul având opțiunea de a deschide spre utilizare etajul III al clădirii care la moment este ”conservat”.</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 xml:space="preserve">Tabăra de odihnă din com. Copăceni este formată din: </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1) Construcție de alimentație cu suprafața de 420,9 m2, nr. cadastrale 7429214.521.01;</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2) Căsuța de odihnă cu suprafața de 89 m2, nr. cadastrale 7429214.521.02;</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3) Căsuța de odihnă cu suprafața de 89 m2, nr. cadastrale 7429214.521.03;</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4) Căsuța de odihnă cu suprafața de 89 m2, nr. cadastrale 7429214.521.04;</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5) Căsuța de odihnă cu suprafața de 89 m2, nr. cadastrale 7429214.521.05;</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6) Căsuța de odihnă cu suprafața de 89 m2, nr. cadastrale 7429214.521.06;</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7) Căsuța de odihnă cu suprafața de 89 m2, nr. cadastrale 7429214.521.07;</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8) Căsuța de odihnă cu suprafața de 89 m2, nr. cadastrale 7429214.521.08;</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9) Căsuța de odihnă cu suprafața de 89 m2, nr. cadastrale 7429214.521.09;</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10) Căsuța de odihnă cu suprafața de 89 m2, nr. cadastrale 7429214.521.10.</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Conform raportului de expertiză tehnică nr.421 din 20.07.2021, construcția cu nr. cadastral 7429214.521.01 a fost edificată prin anii 1982, sec. XX și nu a fost reparată capital niciodată. Conform raportului de expertiză tehnică nr.420 din 19.07.2021, construcțiile de odihnă, cu regim de înălțime parter, a fostei tabere de odihnă „Olimp”, cu nr. cadastrale 7429214.521.02 - 7429214.521.10 (tabără de odihnă) au fost edificate prin anii 1982, sec. XX și nu au fost reparate capital niciodată.</w:t>
            </w:r>
          </w:p>
          <w:p w:rsidR="009D3197"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Potrivit raportului de expertiză starea tehnică a construcțiilor este nesatisfăcătoare. Rezistența și stabilitatea generală a construcțiilor nu este asigurată (structurile de rezistență nu satisfac cerințele exigenței esențiale). Finisarea pereților, pardoselile, tavanele se află în stare nesatisfăcătoare, avansată de degradare. Luând în considerare cele menționate, expertul a concluzionat că construcțiile portante și structurile de rezistență în ansamblu ale construcțiilor fostei tabere de odihnă „Olimp”, cu nr. cadastrale 7429214.521.01 - 7429214.521.10 din r-nul Sîngerei, com. Copăceni, s. Gavrilovca, nu corespund normativelor în construcții în vigoare și, în viitor, nu pot fi utilizate conform destinației solicitate.</w:t>
            </w:r>
          </w:p>
          <w:p w:rsidR="00A1123C" w:rsidRPr="00AF3B7E" w:rsidRDefault="009D319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lastRenderedPageBreak/>
              <w:t>Expertul a concluzionat că construcțiile cu nr. cadastrale 7429214.521.01 - 7429214.521.10 trebuie demolate, în baza elaborării unui proiect de demolare a construcțiilor aprobat și avizat conform legislației. Decizia privind autorizarea lucrărilor de demolare se va lua de Direcția Arhitecturală a comunei Copăceni, r-nul Sîngerei.</w:t>
            </w:r>
          </w:p>
          <w:p w:rsidR="007D0DA2" w:rsidRPr="00AF3B7E" w:rsidRDefault="007D0DA2" w:rsidP="00AF3B7E">
            <w:pPr>
              <w:pStyle w:val="NoSpacing"/>
              <w:ind w:firstLine="540"/>
              <w:jc w:val="both"/>
              <w:rPr>
                <w:rFonts w:ascii="Times New Roman" w:hAnsi="Times New Roman"/>
                <w:i/>
                <w:sz w:val="24"/>
                <w:szCs w:val="24"/>
                <w:lang w:val="ro-RO"/>
              </w:rPr>
            </w:pPr>
            <w:r w:rsidRPr="00AF3B7E">
              <w:rPr>
                <w:rFonts w:ascii="Times New Roman" w:hAnsi="Times New Roman"/>
                <w:i/>
                <w:sz w:val="24"/>
                <w:szCs w:val="24"/>
                <w:lang w:val="ro-RO"/>
              </w:rPr>
              <w:t xml:space="preserve">III </w:t>
            </w:r>
            <w:r w:rsidR="00524BC9" w:rsidRPr="00AF3B7E">
              <w:rPr>
                <w:rFonts w:ascii="Times New Roman" w:hAnsi="Times New Roman"/>
                <w:i/>
                <w:sz w:val="24"/>
                <w:szCs w:val="24"/>
                <w:lang w:val="ro-RO"/>
              </w:rPr>
              <w:t>–</w:t>
            </w:r>
            <w:r w:rsidRPr="00AF3B7E">
              <w:rPr>
                <w:rFonts w:ascii="Times New Roman" w:hAnsi="Times New Roman"/>
                <w:i/>
                <w:sz w:val="24"/>
                <w:szCs w:val="24"/>
                <w:lang w:val="ro-RO"/>
              </w:rPr>
              <w:t xml:space="preserve"> privind</w:t>
            </w:r>
            <w:r w:rsidR="00524BC9" w:rsidRPr="00AF3B7E">
              <w:rPr>
                <w:rFonts w:ascii="Times New Roman" w:hAnsi="Times New Roman"/>
                <w:i/>
                <w:sz w:val="24"/>
                <w:szCs w:val="24"/>
                <w:lang w:val="ro-RO"/>
              </w:rPr>
              <w:t xml:space="preserve"> </w:t>
            </w:r>
            <w:r w:rsidRPr="00AF3B7E">
              <w:rPr>
                <w:rFonts w:ascii="Times New Roman" w:hAnsi="Times New Roman"/>
                <w:i/>
                <w:sz w:val="24"/>
                <w:szCs w:val="24"/>
                <w:lang w:val="ro-RO"/>
              </w:rPr>
              <w:t xml:space="preserve">lipsa necesității de întrebuințare în domeniul educațional a </w:t>
            </w:r>
            <w:r w:rsidR="00531616" w:rsidRPr="00AF3B7E">
              <w:rPr>
                <w:rFonts w:ascii="Times New Roman" w:hAnsi="Times New Roman"/>
                <w:i/>
                <w:sz w:val="24"/>
                <w:szCs w:val="24"/>
                <w:lang w:val="ro-RO"/>
              </w:rPr>
              <w:t>terenului cu nr. cadastral 9233406.177 și a construcției de învățământ și educație  cu nr. cadastral 9233406.177.01 (fostul cămin al Gimnaziului „Dimitrie Cantemir”) din orașul Cornești, r-nul Ungheni</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Potrivit informațiilor din baza de date electronică a Departamentului cadastru din cadrul Agenției Servicii Publice, terenul cu nr. cadastral 9233406.177 cu suprafața de 0,3721 ha și construcția de învățământ și educație, cu nr. cadastral 9233406.177.01 amplasată pe acest teren, constituie proprietate a Autorității Publice Locale (or. Cornești) r-nul Ungheni.</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Construcția de învățământ și educație cu nr. cadastral 9233406.177.01 a fost edificată în anii 1969-1970, sec XX, cu eventualele replanificări și resistematizări pe parcursul anilor.</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Până în anul 1994 în construcția cu nr. cadastral 9233406.177.01 și-a desfășurat activitatea grădinița din or. Cornești, r-nul Ungheni. Din 1994 grădinița de copii din r-nul Ungheni, or. Cornești a fost schimbată în alt sediu (construcția cu nr. cadastral 9233405333).</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În anul 1994 în orașul Cornești, r-nul Ungheni s-a deschis Liceul Teoretic clasic, clasele X-XII, care avea ca sediul clădirea cu nr. cadastral 9233406.177.01 din or. Cornești, str. Ștefan cel Mare și Sfânt nr.50 (sediul Grădiniței până în 1994). În anul 2003 Liceul Teoretic clasic a fost reorganizat prin comasare cu Școala medie din aceeași localitate, în Liceul Teoretic „Dimitrie Cantemir” (clasele I-XII). Liceul Teoretic „Dimitrie Cantemir” a continuat activitatea în sediul fostei Școli medii (nr. cadastrale 9233405247.01 și 9233405247.02). În construcția cu nr. cadastrale 9233405247.01 (sediul I) activau clasele I-IX, iar în construcția cu nr. cadastral 9233405247.02 (sediul II) activau clasele X-XII.</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Din 2003 construcția cu nr. cadastral 9233406.177.01 a început a fi folosită în calitate de cămin pentru elevii Liceului Teoretic „Dimitrie Cantemir”. În anul 2015 Liceul Teoretic „Dimitrie Cantemir” s-a reorganizat în Gimnaziul „Dimitrie Cantemir”. După reorganizare, construcția cu nr. cadastral 9233406.177.01 (căminul) nu a mai fost folosită conform destinației.</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Gimnaziul „Dimitrie Cantemir” a continuat activitatea în construcția cu nr. cadastrale 9233405247.01 și construcția cu nr. cadastrale 9233405247.02. Construcția cu nr. cadastrale 9233405247.01 are o capacitate de 640 locuri, din care la situația anului 2021 este suplinită în număr de 228 elevi. Construcția cu nr. cadastrale 9233405247.02 are o capacitate de 400 locuri, care la situația anului 2021 nu este folosită din cauza numărului mic de elevi.</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Conform raportului de expertiză tehnică, construcția de învățământ și educație, de tip parter + etaj, cu nr. cadastral 9233406.177.01 (fostul cămin) nu este folosită din anul 2015. Potrivit raportului de expertiză tehnică, starea tehnică a construcției menționate supra este satisfăcătoare.</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Examinarea vizuală a elementelor structurale (fundații, pereți, grinzi, planșee etc.) a construcției nominalizate a arătat că acestea se află în stare satisfăcătoare nefiind depistate fisuri, deplasări, deformații și/sau degradări inadmisibile, care ar diminua capacitatea portantă a lor și ar afecta rezistența și stabilitatea construcțiilor. Elementele structurale (cosoroabele, penele, penele de câmp, tălpile, căpriorii, penele de coamă, contrafișele, cleștele) se află în stare nesatisfăcătoare, pardoselile necesită înlocuire, tâmplăria din lemn se află în stare nesatisfăcătoare (necesită înlocuire), învelitoarea acoperișului din foi de ardezie se află în stare ce depășește cu mult limita de uzură iar finisajele și amenajarea teritoriului se află în stare satisfăcătoare (necesită reparație curentă și amenajare). Luând în considerație cele constatate, expertul a menționat că reparația capitală a construcției de învățământ și educație cu nr. cadastral 9233406.177.01 este posibilă în baza elaborării unui proiect aprobat în modul stabilit și care va ține cont de legislația în vigoare.</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Asigurarea accesului la educație are loc în clădirea Instituției Publice Gimnaziul „Dimitrie Cantemir” din or. Cornești.</w:t>
            </w:r>
            <w:r w:rsidR="00AA3ECA" w:rsidRPr="00AF3B7E">
              <w:rPr>
                <w:rFonts w:ascii="Times New Roman" w:hAnsi="Times New Roman"/>
                <w:sz w:val="24"/>
                <w:szCs w:val="24"/>
                <w:lang w:val="ro-RO"/>
              </w:rPr>
              <w:t xml:space="preserve"> </w:t>
            </w:r>
            <w:r w:rsidRPr="00AF3B7E">
              <w:rPr>
                <w:rFonts w:ascii="Times New Roman" w:hAnsi="Times New Roman"/>
                <w:sz w:val="24"/>
                <w:szCs w:val="24"/>
                <w:lang w:val="ro-RO"/>
              </w:rPr>
              <w:t>Prin confirmarea nr.60 din 18.07.2021, prezentată de către Instituția Publică Gimnaziul „Dimitrie Cantemir”, acesta are în folosință gratuită (contract de comodat nr.01 din 15.12.2015) spații cu o capacitate de 1180 de locuri și anume:</w:t>
            </w:r>
            <w:r w:rsidR="00AA3ECA" w:rsidRPr="00AF3B7E">
              <w:rPr>
                <w:rFonts w:ascii="Times New Roman" w:hAnsi="Times New Roman"/>
                <w:sz w:val="24"/>
                <w:szCs w:val="24"/>
                <w:lang w:val="ro-RO"/>
              </w:rPr>
              <w:t xml:space="preserve"> o c</w:t>
            </w:r>
            <w:r w:rsidRPr="00AF3B7E">
              <w:rPr>
                <w:rFonts w:ascii="Times New Roman" w:hAnsi="Times New Roman"/>
                <w:sz w:val="24"/>
                <w:szCs w:val="24"/>
                <w:lang w:val="ro-RO"/>
              </w:rPr>
              <w:t>lădire cu 2 nivele</w:t>
            </w:r>
            <w:r w:rsidR="00AA3ECA" w:rsidRPr="00AF3B7E">
              <w:rPr>
                <w:rFonts w:ascii="Times New Roman" w:hAnsi="Times New Roman"/>
                <w:sz w:val="24"/>
                <w:szCs w:val="24"/>
                <w:lang w:val="ro-RO"/>
              </w:rPr>
              <w:t>, o c</w:t>
            </w:r>
            <w:r w:rsidRPr="00AF3B7E">
              <w:rPr>
                <w:rFonts w:ascii="Times New Roman" w:hAnsi="Times New Roman"/>
                <w:sz w:val="24"/>
                <w:szCs w:val="24"/>
                <w:lang w:val="ro-RO"/>
              </w:rPr>
              <w:t>lădire cu 3 nivele</w:t>
            </w:r>
            <w:r w:rsidR="00AA3ECA" w:rsidRPr="00AF3B7E">
              <w:rPr>
                <w:rFonts w:ascii="Times New Roman" w:hAnsi="Times New Roman"/>
                <w:sz w:val="24"/>
                <w:szCs w:val="24"/>
                <w:lang w:val="ro-RO"/>
              </w:rPr>
              <w:t xml:space="preserve"> și un a</w:t>
            </w:r>
            <w:r w:rsidRPr="00AF3B7E">
              <w:rPr>
                <w:rFonts w:ascii="Times New Roman" w:hAnsi="Times New Roman"/>
                <w:sz w:val="24"/>
                <w:szCs w:val="24"/>
                <w:lang w:val="ro-RO"/>
              </w:rPr>
              <w:t>telier școlar.</w:t>
            </w:r>
            <w:r w:rsidR="00AA3ECA" w:rsidRPr="00AF3B7E">
              <w:rPr>
                <w:rFonts w:ascii="Times New Roman" w:hAnsi="Times New Roman"/>
                <w:sz w:val="24"/>
                <w:szCs w:val="24"/>
                <w:lang w:val="ro-RO"/>
              </w:rPr>
              <w:t xml:space="preserve"> </w:t>
            </w:r>
            <w:r w:rsidRPr="00AF3B7E">
              <w:rPr>
                <w:rFonts w:ascii="Times New Roman" w:hAnsi="Times New Roman"/>
                <w:sz w:val="24"/>
                <w:szCs w:val="24"/>
                <w:lang w:val="ro-RO"/>
              </w:rPr>
              <w:t>La data eliberării actului</w:t>
            </w:r>
            <w:r w:rsidR="00AA3ECA" w:rsidRPr="00AF3B7E">
              <w:rPr>
                <w:rFonts w:ascii="Times New Roman" w:hAnsi="Times New Roman"/>
                <w:sz w:val="24"/>
                <w:szCs w:val="24"/>
                <w:lang w:val="ro-RO"/>
              </w:rPr>
              <w:t>,</w:t>
            </w:r>
            <w:r w:rsidRPr="00AF3B7E">
              <w:rPr>
                <w:rFonts w:ascii="Times New Roman" w:hAnsi="Times New Roman"/>
                <w:sz w:val="24"/>
                <w:szCs w:val="24"/>
                <w:lang w:val="ro-RO"/>
              </w:rPr>
              <w:t xml:space="preserve"> în gimnaziu erau 228 de elevi înmatriculați.</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Aceste 2 clădiri mar</w:t>
            </w:r>
            <w:r w:rsidR="00AA3ECA" w:rsidRPr="00AF3B7E">
              <w:rPr>
                <w:rFonts w:ascii="Times New Roman" w:hAnsi="Times New Roman"/>
                <w:sz w:val="24"/>
                <w:szCs w:val="24"/>
                <w:lang w:val="ro-RO"/>
              </w:rPr>
              <w:t>i (construcția cu nr. cadastral</w:t>
            </w:r>
            <w:r w:rsidRPr="00AF3B7E">
              <w:rPr>
                <w:rFonts w:ascii="Times New Roman" w:hAnsi="Times New Roman"/>
                <w:sz w:val="24"/>
                <w:szCs w:val="24"/>
                <w:lang w:val="ro-RO"/>
              </w:rPr>
              <w:t xml:space="preserve"> 9233405247.01 și construcția cu nr. cadastral 9233405247.02) și atelierul (construcția cu nr. cadastral 9233405247.03 constituie proprietate a orașului </w:t>
            </w:r>
            <w:r w:rsidRPr="00AF3B7E">
              <w:rPr>
                <w:rFonts w:ascii="Times New Roman" w:hAnsi="Times New Roman"/>
                <w:sz w:val="24"/>
                <w:szCs w:val="24"/>
                <w:lang w:val="ro-RO"/>
              </w:rPr>
              <w:lastRenderedPageBreak/>
              <w:t>Cornești, r-nul Ungheni.</w:t>
            </w:r>
            <w:r w:rsidR="00AA3ECA" w:rsidRPr="00AF3B7E">
              <w:rPr>
                <w:rFonts w:ascii="Times New Roman" w:hAnsi="Times New Roman"/>
                <w:sz w:val="24"/>
                <w:szCs w:val="24"/>
                <w:lang w:val="ro-RO"/>
              </w:rPr>
              <w:t xml:space="preserve"> </w:t>
            </w:r>
            <w:r w:rsidRPr="00AF3B7E">
              <w:rPr>
                <w:rFonts w:ascii="Times New Roman" w:hAnsi="Times New Roman"/>
                <w:sz w:val="24"/>
                <w:szCs w:val="24"/>
                <w:lang w:val="ro-RO"/>
              </w:rPr>
              <w:t>Potrivit scrisorii nr.72 din 09 martie 2022, Direcția Educație Ungheni acceptă excluderea din domeniul educației a construcției expertizate.</w:t>
            </w:r>
          </w:p>
          <w:p w:rsidR="00FA69CB"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Conform datelor demografice, rata nou născuților a arătat o creștere mai mare în anul 2017 (21 de nou născuți), iar pe anii 2019-2020 este o rată stabilă și scăzută de 14 copii nou născuți</w:t>
            </w:r>
            <w:r w:rsidR="00AA3ECA" w:rsidRPr="00AF3B7E">
              <w:rPr>
                <w:rFonts w:ascii="Times New Roman" w:hAnsi="Times New Roman"/>
                <w:sz w:val="24"/>
                <w:szCs w:val="24"/>
                <w:lang w:val="ro-RO"/>
              </w:rPr>
              <w:t xml:space="preserve"> anual</w:t>
            </w:r>
            <w:r w:rsidRPr="00AF3B7E">
              <w:rPr>
                <w:rFonts w:ascii="Times New Roman" w:hAnsi="Times New Roman"/>
                <w:sz w:val="24"/>
                <w:szCs w:val="24"/>
                <w:lang w:val="ro-RO"/>
              </w:rPr>
              <w:t>.</w:t>
            </w:r>
          </w:p>
          <w:p w:rsidR="00AA3ECA" w:rsidRPr="00AF3B7E" w:rsidRDefault="00FA69CB"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După obținerea avizului pozitiv asupra raportului de expertiză Primăria or. Cornești, r-nul Ungheni planifică să scoată la licitație în scop de vânzare construcția cu nr. cadastral 9233406.177.01 (fostul cămin), iar din banii obținuți se propune a fi rezolvate chestiuni aferente infrastructurii teritoriale a Primăriei cum ar fi repararea drumurilor locale, iluminare stradală și finalizarea proiectului „Alimentarea cu apă s. Romanovca”, „Stația de tratare din or. Cornești”.</w:t>
            </w:r>
          </w:p>
          <w:p w:rsidR="00524BC9" w:rsidRPr="00AF3B7E" w:rsidRDefault="00524BC9" w:rsidP="00AF3B7E">
            <w:pPr>
              <w:pStyle w:val="NoSpacing"/>
              <w:ind w:firstLine="540"/>
              <w:jc w:val="both"/>
              <w:rPr>
                <w:rFonts w:ascii="Times New Roman" w:hAnsi="Times New Roman"/>
                <w:i/>
                <w:sz w:val="24"/>
                <w:szCs w:val="24"/>
                <w:lang w:val="ro-RO"/>
              </w:rPr>
            </w:pPr>
            <w:r w:rsidRPr="00AF3B7E">
              <w:rPr>
                <w:rFonts w:ascii="Times New Roman" w:hAnsi="Times New Roman"/>
                <w:i/>
                <w:sz w:val="24"/>
                <w:szCs w:val="24"/>
                <w:lang w:val="ro-RO"/>
              </w:rPr>
              <w:t>IV – privind lipsa necesității de întrebuințare în domeniul educațional a</w:t>
            </w:r>
            <w:r w:rsidR="00531616" w:rsidRPr="00AF3B7E">
              <w:rPr>
                <w:rFonts w:ascii="Times New Roman" w:hAnsi="Times New Roman"/>
                <w:sz w:val="24"/>
                <w:szCs w:val="24"/>
              </w:rPr>
              <w:t xml:space="preserve"> </w:t>
            </w:r>
            <w:r w:rsidR="00531616" w:rsidRPr="00AF3B7E">
              <w:rPr>
                <w:rFonts w:ascii="Times New Roman" w:hAnsi="Times New Roman"/>
                <w:i/>
                <w:sz w:val="24"/>
                <w:szCs w:val="24"/>
                <w:lang w:val="ro-RO"/>
              </w:rPr>
              <w:t>construcției cu nr. cadastral 9236118335.01 (fosta grădiniță)</w:t>
            </w:r>
            <w:r w:rsidRPr="00AF3B7E">
              <w:rPr>
                <w:rFonts w:ascii="Times New Roman" w:hAnsi="Times New Roman"/>
                <w:i/>
                <w:sz w:val="24"/>
                <w:szCs w:val="24"/>
                <w:lang w:val="ro-RO"/>
              </w:rPr>
              <w:t xml:space="preserve"> din satul </w:t>
            </w:r>
            <w:r w:rsidR="00531616" w:rsidRPr="00AF3B7E">
              <w:rPr>
                <w:rFonts w:ascii="Times New Roman" w:hAnsi="Times New Roman"/>
                <w:i/>
                <w:sz w:val="24"/>
                <w:szCs w:val="24"/>
                <w:lang w:val="ro-RO"/>
              </w:rPr>
              <w:t>Florițoaia Veche, r-nul Ungheni</w:t>
            </w:r>
          </w:p>
          <w:p w:rsidR="007C1E88" w:rsidRPr="00AF3B7E" w:rsidRDefault="007C1E88"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Potrivit informațiilor din baza de date electronică a Departamentului cadastru din cadrul Agenției Servicii Publice, bunul expertizat se află în proprietatea com. Florițoaia Veche, r-nul Ungheni.</w:t>
            </w:r>
          </w:p>
          <w:p w:rsidR="007C1E88" w:rsidRPr="00AF3B7E" w:rsidRDefault="007C1E88"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Imobilul vizat constituie clădirea fostei grădinițe care a fost edificată în anii 1903-1905 sec. XX. Din anul 1985 această clădire este abandonată. Potrivit raportului de expertiză tehnică, starea tehnică a construcției menționate supra este nesatisfăcătoare. La evaluarea schemei constructive a imobilului s-a depistat că aceasta corespunde parțial cerințelor documentelor normative în vigoare.</w:t>
            </w:r>
          </w:p>
          <w:p w:rsidR="007C1E88" w:rsidRPr="00AF3B7E" w:rsidRDefault="007C1E88"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La examinarea vizuală a elementelor structurate (fundații, pereți, grinzi din lemn) precum și a elementelor nestructurale și finisajelor (pereți, uși, ferestre, pardoseli) se constată că imobilul se află în stare nesatisfăcătoare. Structura de rezistență în ansamblu se află în stare satisfăcătoare. Expertiza recomandă demolarea/demontarea acoperișului fără urmări pentru structura de rezistență rămasă, planșeul de peste parter se va executa cu instrumente speciale (freză de beton), la fel se interzice folosirea ciocanului pneumatic, etc. (pag 13 raportul de expertiză tehnică).</w:t>
            </w:r>
          </w:p>
          <w:p w:rsidR="007C1E88" w:rsidRPr="00AF3B7E" w:rsidRDefault="007C1E88"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Cu referire la asigurarea accesului la educație, din anul 1984 a fost dată în exploatare noua clădire a grădiniței de copii cu nr. cadastral 9236118169.01. Cu suportul FISM și a Guvernului României, Fondul de Eficiență Energetică au fost petrecute lucrări de reparație și termoizolare. În clădire la momentul elaborării raportului de expertiză erau instituționalizați 53 de copii.</w:t>
            </w:r>
          </w:p>
          <w:p w:rsidR="007C1E88" w:rsidRPr="00AF3B7E" w:rsidRDefault="007C1E88"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În ceea ce privește situația demografică, pentru anii 2015-2016 este una stabilă, în anul 2017 s-a aflat în scădere, ulterior în 2018 aceasta a început a crește. Pe perioada anului 2019 s-a întrunit cea mai mică rată a natalității dar care a fost urmată în perioada anului 2020 cu o creștere rapidă a numărului nou-născuților.</w:t>
            </w:r>
          </w:p>
          <w:p w:rsidR="007C1E88" w:rsidRPr="00AF3B7E" w:rsidRDefault="007C1E88"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Pentru a nu permite distrugerea completă a bunului după obținerea avizului pozitiv asupra raportului de expertiză Primăria comunei Florițoaia Veche urmărește scoaterea la vânzare prin licitație publică a imobilului expertizat.</w:t>
            </w:r>
          </w:p>
          <w:p w:rsidR="004B7A8A" w:rsidRPr="00AF3B7E" w:rsidRDefault="004B7A8A" w:rsidP="00AF3B7E">
            <w:pPr>
              <w:pStyle w:val="NoSpacing"/>
              <w:ind w:firstLine="540"/>
              <w:jc w:val="both"/>
              <w:rPr>
                <w:rFonts w:ascii="Times New Roman" w:hAnsi="Times New Roman"/>
                <w:i/>
                <w:sz w:val="24"/>
                <w:szCs w:val="24"/>
                <w:lang w:val="ro-RO"/>
              </w:rPr>
            </w:pPr>
            <w:r w:rsidRPr="00AF3B7E">
              <w:rPr>
                <w:rFonts w:ascii="Times New Roman" w:hAnsi="Times New Roman"/>
                <w:i/>
                <w:sz w:val="24"/>
                <w:szCs w:val="24"/>
                <w:lang w:val="ro-RO"/>
              </w:rPr>
              <w:t>V – privind lipsa necesității de întrebuințare în domeniul educațional a construcțiilor nefinalizate cu nr. cadastral 2544209050.01, 2544209050.02 și 2544209050.03 din satul Tuzara, r-nul Călărași</w:t>
            </w:r>
          </w:p>
          <w:p w:rsidR="007614EF" w:rsidRPr="00AF3B7E" w:rsidRDefault="007614EF"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În conformitate cu informațiile din baza de date electronică a Departamentului cadastru din cadrul Agenției Servicii Publice, bunurile expertizat se află în proprietatea com. Tuzara, r-nul Călărași.</w:t>
            </w:r>
          </w:p>
          <w:p w:rsidR="007614EF" w:rsidRPr="00AF3B7E" w:rsidRDefault="007614EF"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Potrivit raportului de expertiză tehnică nr.536 din 01 octombrie 2021, edificarea construcțiilor din r-nul Călărași, com. Tuzara, s. Seliștea Nouă a demarat la începutul anului 2000. Construcțiile urmau să servească drept sediu al Grădiniței din r-nul Călărași, com. Tuzara, s. Seliștea Nouă.</w:t>
            </w:r>
          </w:p>
          <w:p w:rsidR="007614EF" w:rsidRPr="00AF3B7E" w:rsidRDefault="007614EF"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Până la momentul efectuării expertizei (01.10.2021), construcțiile cu nr. cadastral 2544209050.01, 2544209050.02 și 2544209050.03 nu erau finalizate.</w:t>
            </w:r>
          </w:p>
          <w:p w:rsidR="007614EF" w:rsidRPr="00AF3B7E" w:rsidRDefault="007614EF"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Conform aceluiași raport de expertiză tehnică, construcțiile portante și structura de rezistență a Blocurilor „construcției de învățământ și educație – nefinalizate cu nr. cadastrale 2544209050.01, 2544209050.02 și 2544209050.03” din r-nul Călărași, com Tuzara, s. Seliștea Nouă, în ansamblu corespund normativelor în construcții în vigoare și în viitor pot fi utilizate conform destinației solicitate.</w:t>
            </w:r>
          </w:p>
          <w:p w:rsidR="007614EF" w:rsidRPr="00AF3B7E" w:rsidRDefault="007614EF"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Totodată, expertul a concluzionat că finalizarea lucrărilor de edificare a Blocurilor „Construcției de învățământ și educație – nefinalizate cu nr. cadastrale 2544209050.01, 2544209050.02 și 2544209050.03” din r-nul Călărași, com Tuzara, s. Seliștea Nouă, este posibilă în baza elaborării unui proiect aprobat în modul stabilit și care va ține cont de legislația în vigoare.</w:t>
            </w:r>
          </w:p>
          <w:p w:rsidR="00640A9A" w:rsidRPr="00AF3B7E" w:rsidRDefault="00640A9A"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 xml:space="preserve">Cu referire la asigurarea accesului la educație, din anul 2014 o parte din sediul Gimnaziului Tuzara a fost </w:t>
            </w:r>
            <w:r w:rsidRPr="00AF3B7E">
              <w:rPr>
                <w:rFonts w:ascii="Times New Roman" w:hAnsi="Times New Roman"/>
                <w:sz w:val="24"/>
                <w:szCs w:val="24"/>
                <w:lang w:val="ro-RO"/>
              </w:rPr>
              <w:t>modificat</w:t>
            </w:r>
            <w:r w:rsidRPr="00AF3B7E">
              <w:rPr>
                <w:rFonts w:ascii="Times New Roman" w:hAnsi="Times New Roman"/>
                <w:sz w:val="24"/>
                <w:szCs w:val="24"/>
                <w:lang w:val="ro-RO"/>
              </w:rPr>
              <w:t xml:space="preserve"> în sediu</w:t>
            </w:r>
            <w:r w:rsidRPr="00AF3B7E">
              <w:rPr>
                <w:rFonts w:ascii="Times New Roman" w:hAnsi="Times New Roman"/>
                <w:sz w:val="24"/>
                <w:szCs w:val="24"/>
                <w:lang w:val="ro-RO"/>
              </w:rPr>
              <w:t xml:space="preserve"> a</w:t>
            </w:r>
            <w:r w:rsidRPr="00AF3B7E">
              <w:rPr>
                <w:rFonts w:ascii="Times New Roman" w:hAnsi="Times New Roman"/>
                <w:sz w:val="24"/>
                <w:szCs w:val="24"/>
                <w:lang w:val="ro-RO"/>
              </w:rPr>
              <w:t xml:space="preserve">l Grădiniței de copii „Prichindel” din s. Tuzara. </w:t>
            </w:r>
          </w:p>
          <w:p w:rsidR="00640A9A" w:rsidRPr="00AF3B7E" w:rsidRDefault="00640A9A"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lastRenderedPageBreak/>
              <w:t>Potrivit informațiilor suplimentare expediate de Primarul com. Tuzara, r-nul Călărași la 26 aprilie 2022, prin Decizia Consiliului raional Călărași nr.02/09 din 04 mai 2017, din lipsa cadrelor didactice și a copiilor, Instituția Publică Gimnaziul Tuzara din r-nul Călărași, com. Tuzara, s. Tuzara a fost lichidată.</w:t>
            </w:r>
          </w:p>
          <w:p w:rsidR="00640A9A" w:rsidRPr="00AF3B7E" w:rsidRDefault="00640A9A"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Clădirea fostului gimnaziu, are o capacitate de 400 de locuri.</w:t>
            </w:r>
            <w:r w:rsidRPr="00AF3B7E">
              <w:rPr>
                <w:rFonts w:ascii="Times New Roman" w:hAnsi="Times New Roman"/>
                <w:sz w:val="24"/>
                <w:szCs w:val="24"/>
                <w:lang w:val="ro-RO"/>
              </w:rPr>
              <w:t xml:space="preserve"> </w:t>
            </w:r>
            <w:r w:rsidRPr="00AF3B7E">
              <w:rPr>
                <w:rFonts w:ascii="Times New Roman" w:hAnsi="Times New Roman"/>
                <w:sz w:val="24"/>
                <w:szCs w:val="24"/>
                <w:lang w:val="ro-RO"/>
              </w:rPr>
              <w:t>La momentul elaborării raportului de expertiză în Grădinița din r-nul Călărași, com. Tuzara, s. Tuzara erau înscriși 106 copii de vârstă preșcolară.</w:t>
            </w:r>
            <w:r w:rsidRPr="00AF3B7E">
              <w:rPr>
                <w:rFonts w:ascii="Times New Roman" w:hAnsi="Times New Roman"/>
                <w:sz w:val="24"/>
                <w:szCs w:val="24"/>
                <w:lang w:val="ro-RO"/>
              </w:rPr>
              <w:t xml:space="preserve"> </w:t>
            </w:r>
            <w:r w:rsidRPr="00AF3B7E">
              <w:rPr>
                <w:rFonts w:ascii="Times New Roman" w:hAnsi="Times New Roman"/>
                <w:sz w:val="24"/>
                <w:szCs w:val="24"/>
                <w:lang w:val="ro-RO"/>
              </w:rPr>
              <w:t xml:space="preserve">Capacitatea spațiilor adaptate </w:t>
            </w:r>
            <w:r w:rsidRPr="00AF3B7E">
              <w:rPr>
                <w:rFonts w:ascii="Times New Roman" w:hAnsi="Times New Roman"/>
                <w:sz w:val="24"/>
                <w:szCs w:val="24"/>
                <w:lang w:val="ro-RO"/>
              </w:rPr>
              <w:t xml:space="preserve">la moment </w:t>
            </w:r>
            <w:r w:rsidRPr="00AF3B7E">
              <w:rPr>
                <w:rFonts w:ascii="Times New Roman" w:hAnsi="Times New Roman"/>
                <w:sz w:val="24"/>
                <w:szCs w:val="24"/>
                <w:lang w:val="ro-RO"/>
              </w:rPr>
              <w:t>pent</w:t>
            </w:r>
            <w:r w:rsidRPr="00AF3B7E">
              <w:rPr>
                <w:rFonts w:ascii="Times New Roman" w:hAnsi="Times New Roman"/>
                <w:sz w:val="24"/>
                <w:szCs w:val="24"/>
                <w:lang w:val="ro-RO"/>
              </w:rPr>
              <w:t>ru grădiniță este de 110 locuri, fiind posibilă extinderea acestora.</w:t>
            </w:r>
          </w:p>
          <w:p w:rsidR="00640A9A" w:rsidRPr="00AF3B7E" w:rsidRDefault="00640A9A"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În comuna Tuzara sunt 3 sate (s. Tuzara, s. Seliștea Nouă și s. Novaci). În grădinița din r-nul Călărași, com. Tuzara, s. Tuzara sunt înscriși copii din satele Tuzara și Seliștea Nouă.</w:t>
            </w:r>
            <w:r w:rsidRPr="00AF3B7E">
              <w:rPr>
                <w:rFonts w:ascii="Times New Roman" w:hAnsi="Times New Roman"/>
                <w:sz w:val="24"/>
                <w:szCs w:val="24"/>
                <w:lang w:val="ro-RO"/>
              </w:rPr>
              <w:t xml:space="preserve"> </w:t>
            </w:r>
            <w:r w:rsidRPr="00AF3B7E">
              <w:rPr>
                <w:rFonts w:ascii="Times New Roman" w:hAnsi="Times New Roman"/>
                <w:sz w:val="24"/>
                <w:szCs w:val="24"/>
                <w:lang w:val="ro-RO"/>
              </w:rPr>
              <w:t>Intravilanele acestor două sate se mărginesc, fapt pentru care copiii din ambele sate (Tuzara și Seliștea Nouă) pot fi aduși pe jos de părinți la grădiniță. În s. Novaci, activează propria grădiniță.</w:t>
            </w:r>
          </w:p>
          <w:p w:rsidR="00640A9A" w:rsidRPr="00AF3B7E" w:rsidRDefault="00640A9A"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În ceea ce privește situația demografică, pentru anii 2015-2021 numărul populației în comuna Tuzara, r-nul Călărași este puțin în descreștere (de la 2786 în 2015 la 2634 în 2021) iar numărul nou născuților în medie este de aproximativ 10 pe an.</w:t>
            </w:r>
          </w:p>
          <w:p w:rsidR="00640A9A" w:rsidRPr="00AF3B7E" w:rsidRDefault="00640A9A"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Conform Raportului de expertiză, autoritățile publice locale a com. Tuzara, r-nul Călărași planifică inițierea procedurii de privatizare a construcțiilor nefinalizate cu nr. cadastrale 2544209050.01, 2544209050.02 și 2544209050.03 din r-nul Călărași, com Tuzara, s. Seliștea Nouă.</w:t>
            </w:r>
            <w:r w:rsidRPr="00AF3B7E">
              <w:rPr>
                <w:rFonts w:ascii="Times New Roman" w:hAnsi="Times New Roman"/>
                <w:sz w:val="24"/>
                <w:szCs w:val="24"/>
                <w:lang w:val="ro-RO"/>
              </w:rPr>
              <w:t xml:space="preserve"> </w:t>
            </w:r>
            <w:r w:rsidRPr="00AF3B7E">
              <w:rPr>
                <w:rFonts w:ascii="Times New Roman" w:hAnsi="Times New Roman"/>
                <w:sz w:val="24"/>
                <w:szCs w:val="24"/>
                <w:lang w:val="ro-RO"/>
              </w:rPr>
              <w:t>Mijloacele bănești, care vor fi obținute în rezultatul privatizării construcțiilor cu nr. cadastrale 2544209050.01, 2544209050.02 și 2544209050.03, ar urma să fie investite în extinderea rețelelor de canalizare, iluminat stradal, construcția terenurilor de joacă pentru copii din s. Tuzara, amenajarea terenului de joacă pentru Grădinița de copii din sediul Gimnaziului din r-nul-Călărași, com. Tuzara, s. Tuzara, precum și procurarea inventarului pentru Grădiniță.</w:t>
            </w:r>
          </w:p>
          <w:p w:rsidR="00B940F5" w:rsidRPr="00AF3B7E" w:rsidRDefault="00640A9A"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Potrivit scrisorii nr.01-9/350 din 18 octombrie 2021, Direcția Învățământ, Tineret și Sport Călărași confirmă faptul că potrivit numărului de copii nou născuți în comuna Tuzara, actualul sediu al Grădiniței este suficient pentru asigurarea accesului la educația timpurie, iar prin scrisoarea nr. 01-9/109 din 05 mai 2022, confirmă faptul că cei 157 copii de vârsta cuprinsă între 7 – 16 ani din com. Tuzara, frecventează instituțiile de educație din orașul Călărași.</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9B5908"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lastRenderedPageBreak/>
              <w:t>3. Descrierea gradului de compatibilitate pentru proiectele care au ca scop armonizarea legislaţiei naţionale cu legislaţia Uniunii Europene</w:t>
            </w:r>
            <w:r w:rsidR="005C2932" w:rsidRPr="00AF3B7E">
              <w:rPr>
                <w:rFonts w:ascii="Times New Roman" w:hAnsi="Times New Roman"/>
                <w:b/>
                <w:noProof/>
                <w:sz w:val="24"/>
                <w:szCs w:val="24"/>
                <w:lang w:val="ro-RO" w:eastAsia="ru-RU"/>
              </w:rPr>
              <w:t>.</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4B38AC"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Actul normativ nu conține norme privind armonizarea legislației naționale cu legislația Uniunii Europene.</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9B5908"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4. Principalele prevederi ale proiectului şi evidenţierea elementelor noi</w:t>
            </w:r>
            <w:r w:rsidR="005C2932" w:rsidRPr="00AF3B7E">
              <w:rPr>
                <w:rFonts w:ascii="Times New Roman" w:hAnsi="Times New Roman"/>
                <w:b/>
                <w:noProof/>
                <w:sz w:val="24"/>
                <w:szCs w:val="24"/>
                <w:lang w:val="ro-RO" w:eastAsia="ru-RU"/>
              </w:rPr>
              <w:t>.</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115730" w:rsidRPr="00AF3B7E" w:rsidRDefault="009B5908"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 xml:space="preserve">Proiectul </w:t>
            </w:r>
            <w:r w:rsidR="00B940F5" w:rsidRPr="00AF3B7E">
              <w:rPr>
                <w:rFonts w:ascii="Times New Roman" w:hAnsi="Times New Roman"/>
                <w:noProof/>
                <w:sz w:val="24"/>
                <w:szCs w:val="24"/>
                <w:lang w:val="ro-RO" w:eastAsia="ru-RU"/>
              </w:rPr>
              <w:t>de hotărâre</w:t>
            </w:r>
            <w:r w:rsidRPr="00AF3B7E">
              <w:rPr>
                <w:rFonts w:ascii="Times New Roman" w:hAnsi="Times New Roman"/>
                <w:noProof/>
                <w:sz w:val="24"/>
                <w:szCs w:val="24"/>
                <w:lang w:val="ro-RO" w:eastAsia="ru-RU"/>
              </w:rPr>
              <w:t xml:space="preserve"> se referă la constatarea încetării necesităţii de a menţine în domeniul public a </w:t>
            </w:r>
            <w:r w:rsidR="00115730" w:rsidRPr="00AF3B7E">
              <w:rPr>
                <w:rFonts w:ascii="Times New Roman" w:hAnsi="Times New Roman"/>
                <w:sz w:val="24"/>
                <w:szCs w:val="24"/>
                <w:lang w:val="ro-RO"/>
              </w:rPr>
              <w:t>unor bunuri ale unităților administrativ-teritoriale</w:t>
            </w:r>
            <w:r w:rsidRPr="00AF3B7E">
              <w:rPr>
                <w:rFonts w:ascii="Times New Roman" w:hAnsi="Times New Roman"/>
                <w:noProof/>
                <w:sz w:val="24"/>
                <w:szCs w:val="24"/>
                <w:lang w:val="ro-RO" w:eastAsia="ru-RU"/>
              </w:rPr>
              <w:t>.</w:t>
            </w:r>
            <w:r w:rsidR="00115730" w:rsidRPr="00AF3B7E">
              <w:rPr>
                <w:rFonts w:ascii="Times New Roman" w:hAnsi="Times New Roman"/>
                <w:noProof/>
                <w:sz w:val="24"/>
                <w:szCs w:val="24"/>
                <w:lang w:val="ro-RO" w:eastAsia="ru-RU"/>
              </w:rPr>
              <w:t xml:space="preserve"> Astfel că, p</w:t>
            </w:r>
            <w:r w:rsidRPr="00AF3B7E">
              <w:rPr>
                <w:rFonts w:ascii="Times New Roman" w:hAnsi="Times New Roman"/>
                <w:noProof/>
                <w:sz w:val="24"/>
                <w:szCs w:val="24"/>
                <w:lang w:val="ro-RO" w:eastAsia="ru-RU"/>
              </w:rPr>
              <w:t xml:space="preserve">otrivit proiectului se acceptă trecerea </w:t>
            </w:r>
            <w:r w:rsidRPr="00AF3B7E">
              <w:rPr>
                <w:rFonts w:ascii="Times New Roman" w:hAnsi="Times New Roman"/>
                <w:sz w:val="24"/>
                <w:szCs w:val="24"/>
                <w:lang w:val="ro-RO"/>
              </w:rPr>
              <w:t>din dom</w:t>
            </w:r>
            <w:r w:rsidR="00115730" w:rsidRPr="00AF3B7E">
              <w:rPr>
                <w:rFonts w:ascii="Times New Roman" w:hAnsi="Times New Roman"/>
                <w:sz w:val="24"/>
                <w:szCs w:val="24"/>
                <w:lang w:val="ro-RO"/>
              </w:rPr>
              <w:t>eniul public în domeniul privat:</w:t>
            </w:r>
          </w:p>
          <w:p w:rsidR="004951B7" w:rsidRPr="00AF3B7E" w:rsidRDefault="004951B7" w:rsidP="00AF3B7E">
            <w:pPr>
              <w:pStyle w:val="NoSpacing"/>
              <w:tabs>
                <w:tab w:val="left" w:pos="765"/>
              </w:tabs>
              <w:ind w:firstLine="540"/>
              <w:jc w:val="both"/>
              <w:rPr>
                <w:rFonts w:ascii="Times New Roman" w:hAnsi="Times New Roman"/>
                <w:sz w:val="24"/>
                <w:szCs w:val="24"/>
                <w:lang w:val="ro-RO"/>
              </w:rPr>
            </w:pPr>
            <w:r w:rsidRPr="00AF3B7E">
              <w:rPr>
                <w:rFonts w:ascii="Times New Roman" w:hAnsi="Times New Roman"/>
                <w:sz w:val="24"/>
                <w:szCs w:val="24"/>
                <w:lang w:val="ro-RO"/>
              </w:rPr>
              <w:t>1)</w:t>
            </w:r>
            <w:r w:rsidRPr="00AF3B7E">
              <w:rPr>
                <w:rFonts w:ascii="Times New Roman" w:hAnsi="Times New Roman"/>
                <w:sz w:val="24"/>
                <w:szCs w:val="24"/>
                <w:lang w:val="ro-RO"/>
              </w:rPr>
              <w:tab/>
              <w:t>al satului Carahasani, r-nul Ștefan Vodă – a construcției cu nr. cadastral 8514200174.01 (clădirea veche a Gimnaziului din s. Carahasani);</w:t>
            </w:r>
          </w:p>
          <w:p w:rsidR="004951B7" w:rsidRPr="00AF3B7E" w:rsidRDefault="004951B7" w:rsidP="00AF3B7E">
            <w:pPr>
              <w:pStyle w:val="NoSpacing"/>
              <w:tabs>
                <w:tab w:val="left" w:pos="765"/>
              </w:tabs>
              <w:ind w:firstLine="540"/>
              <w:jc w:val="both"/>
              <w:rPr>
                <w:rFonts w:ascii="Times New Roman" w:hAnsi="Times New Roman"/>
                <w:sz w:val="24"/>
                <w:szCs w:val="24"/>
                <w:lang w:val="ro-RO"/>
              </w:rPr>
            </w:pPr>
            <w:r w:rsidRPr="00AF3B7E">
              <w:rPr>
                <w:rFonts w:ascii="Times New Roman" w:hAnsi="Times New Roman"/>
                <w:sz w:val="24"/>
                <w:szCs w:val="24"/>
                <w:lang w:val="ro-RO"/>
              </w:rPr>
              <w:t>2)</w:t>
            </w:r>
            <w:r w:rsidRPr="00AF3B7E">
              <w:rPr>
                <w:rFonts w:ascii="Times New Roman" w:hAnsi="Times New Roman"/>
                <w:sz w:val="24"/>
                <w:szCs w:val="24"/>
                <w:lang w:val="ro-RO"/>
              </w:rPr>
              <w:tab/>
              <w:t>al comunei Copăceni, r-nul Sîngerei – a construcției cu nr. cadastral 7429306.126.01 (construcție de învățământ și educație) din r-nul Sîngerei, com. Copăceni, s. Copăceni, și a construcțiilor cu nr. cadastrale 7429214.521.01 - 7429214.521.10 (tabără de odihnă) din r-nul Sîngerei, com. Copăceni, s. Gavrilovca;</w:t>
            </w:r>
          </w:p>
          <w:p w:rsidR="004951B7" w:rsidRPr="00AF3B7E" w:rsidRDefault="004951B7" w:rsidP="00AF3B7E">
            <w:pPr>
              <w:pStyle w:val="NoSpacing"/>
              <w:tabs>
                <w:tab w:val="left" w:pos="765"/>
              </w:tabs>
              <w:ind w:firstLine="540"/>
              <w:jc w:val="both"/>
              <w:rPr>
                <w:rFonts w:ascii="Times New Roman" w:hAnsi="Times New Roman"/>
                <w:sz w:val="24"/>
                <w:szCs w:val="24"/>
                <w:lang w:val="ro-RO"/>
              </w:rPr>
            </w:pPr>
            <w:r w:rsidRPr="00AF3B7E">
              <w:rPr>
                <w:rFonts w:ascii="Times New Roman" w:hAnsi="Times New Roman"/>
                <w:sz w:val="24"/>
                <w:szCs w:val="24"/>
                <w:lang w:val="ro-RO"/>
              </w:rPr>
              <w:t>3)</w:t>
            </w:r>
            <w:r w:rsidRPr="00AF3B7E">
              <w:rPr>
                <w:rFonts w:ascii="Times New Roman" w:hAnsi="Times New Roman"/>
                <w:sz w:val="24"/>
                <w:szCs w:val="24"/>
                <w:lang w:val="ro-RO"/>
              </w:rPr>
              <w:tab/>
              <w:t>al orașului Cornești, r-nul Ungheni – a terenului cu nr. cadastral 9233406.177 și a construcției de învățământ și educație  cu nr. cadastral 9233406.177.01 (fostul cămin al Gimnaziului „Dimitrie Cantemir”);</w:t>
            </w:r>
          </w:p>
          <w:p w:rsidR="004951B7" w:rsidRPr="00AF3B7E" w:rsidRDefault="004951B7" w:rsidP="00AF3B7E">
            <w:pPr>
              <w:pStyle w:val="NoSpacing"/>
              <w:tabs>
                <w:tab w:val="left" w:pos="765"/>
              </w:tabs>
              <w:ind w:firstLine="540"/>
              <w:jc w:val="both"/>
              <w:rPr>
                <w:rFonts w:ascii="Times New Roman" w:hAnsi="Times New Roman"/>
                <w:sz w:val="24"/>
                <w:szCs w:val="24"/>
                <w:lang w:val="ro-RO"/>
              </w:rPr>
            </w:pPr>
            <w:r w:rsidRPr="00AF3B7E">
              <w:rPr>
                <w:rFonts w:ascii="Times New Roman" w:hAnsi="Times New Roman"/>
                <w:sz w:val="24"/>
                <w:szCs w:val="24"/>
                <w:lang w:val="ro-RO"/>
              </w:rPr>
              <w:t>4)</w:t>
            </w:r>
            <w:r w:rsidRPr="00AF3B7E">
              <w:rPr>
                <w:rFonts w:ascii="Times New Roman" w:hAnsi="Times New Roman"/>
                <w:sz w:val="24"/>
                <w:szCs w:val="24"/>
                <w:lang w:val="ro-RO"/>
              </w:rPr>
              <w:tab/>
              <w:t>al satului Florițoaia Veche, r-nul Ungheni – a construcției cu nr. cadastral 9236118335.01 (fosta grădiniță);</w:t>
            </w:r>
          </w:p>
          <w:p w:rsidR="004951B7" w:rsidRPr="00AF3B7E" w:rsidRDefault="004951B7"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5) al comunei Tuzara, r-nul Călărași – a construcțiilor nefinalizate cu nr. cadastral 2544209050.01, 2544209050.02 și 2544209050.03.</w:t>
            </w:r>
          </w:p>
          <w:p w:rsidR="009B5908" w:rsidRPr="00AF3B7E" w:rsidRDefault="009B5908" w:rsidP="00AF3B7E">
            <w:pPr>
              <w:pStyle w:val="NoSpacing"/>
              <w:ind w:firstLine="540"/>
              <w:jc w:val="both"/>
              <w:rPr>
                <w:rFonts w:ascii="Times New Roman" w:hAnsi="Times New Roman"/>
                <w:sz w:val="24"/>
                <w:szCs w:val="24"/>
                <w:lang w:val="ro-RO"/>
              </w:rPr>
            </w:pPr>
            <w:r w:rsidRPr="00AF3B7E">
              <w:rPr>
                <w:rFonts w:ascii="Times New Roman" w:hAnsi="Times New Roman"/>
                <w:noProof/>
                <w:sz w:val="24"/>
                <w:szCs w:val="24"/>
                <w:lang w:val="ro-RO" w:eastAsia="ru-RU"/>
              </w:rPr>
              <w:t xml:space="preserve">Conform pct. 2 al proiectului, data intrării în vigoare a Hotărârii de Guvern se propune a fi data publicării acestuia. </w:t>
            </w:r>
            <w:r w:rsidRPr="00AF3B7E">
              <w:rPr>
                <w:rFonts w:ascii="Times New Roman" w:hAnsi="Times New Roman"/>
                <w:sz w:val="24"/>
                <w:szCs w:val="24"/>
                <w:lang w:val="ro-RO"/>
              </w:rPr>
              <w:t>Intrarea în vigoare a Hotărârii de Guvern la data publicării este dictată de necesitatea întreprinderii în termeni restrânși a acțiunilor în vederea</w:t>
            </w:r>
            <w:r w:rsidR="00115730" w:rsidRPr="00AF3B7E">
              <w:rPr>
                <w:rFonts w:ascii="Times New Roman" w:hAnsi="Times New Roman"/>
                <w:sz w:val="24"/>
                <w:szCs w:val="24"/>
                <w:lang w:val="ro-RO"/>
              </w:rPr>
              <w:t xml:space="preserve"> valorificării bunurilor expertizate</w:t>
            </w:r>
            <w:r w:rsidRPr="00AF3B7E">
              <w:rPr>
                <w:rFonts w:ascii="Times New Roman" w:hAnsi="Times New Roman"/>
                <w:sz w:val="24"/>
                <w:szCs w:val="24"/>
                <w:lang w:val="ro-RO"/>
              </w:rPr>
              <w:t>.</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9B5908"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5. Fundamentarea economico-financiară</w:t>
            </w:r>
            <w:r w:rsidR="005C2932" w:rsidRPr="00AF3B7E">
              <w:rPr>
                <w:rFonts w:ascii="Times New Roman" w:hAnsi="Times New Roman"/>
                <w:b/>
                <w:noProof/>
                <w:sz w:val="24"/>
                <w:szCs w:val="24"/>
                <w:lang w:val="ro-RO" w:eastAsia="ru-RU"/>
              </w:rPr>
              <w:t>.</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4B38AC"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lastRenderedPageBreak/>
              <w:t>Implementarea prevederilor proiectului nu necesită cheltuieli financiare din bugetul de stat.</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9B5908"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6. Modul de încorporare a actului în cadrul normativ în vigoare</w:t>
            </w:r>
            <w:r w:rsidR="005C2932" w:rsidRPr="00AF3B7E">
              <w:rPr>
                <w:rFonts w:ascii="Times New Roman" w:hAnsi="Times New Roman"/>
                <w:b/>
                <w:noProof/>
                <w:sz w:val="24"/>
                <w:szCs w:val="24"/>
                <w:lang w:val="ro-RO" w:eastAsia="ru-RU"/>
              </w:rPr>
              <w:t>.</w:t>
            </w:r>
          </w:p>
        </w:tc>
      </w:tr>
      <w:tr w:rsidR="005528F4"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hideMark/>
          </w:tcPr>
          <w:p w:rsidR="009B5908" w:rsidRPr="00AF3B7E" w:rsidRDefault="004B38AC"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 xml:space="preserve">Proiectul se încorporează în sistemul actelor normative și nu necesită modificarea cadrului normativ sau elaborarea unor acte normative noi. </w:t>
            </w:r>
          </w:p>
          <w:p w:rsidR="009B5908" w:rsidRPr="00AF3B7E" w:rsidRDefault="009B5908"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7. Avizarea și consultarea publică a proiectului</w:t>
            </w:r>
            <w:r w:rsidR="005C2932" w:rsidRPr="00AF3B7E">
              <w:rPr>
                <w:rFonts w:ascii="Times New Roman" w:hAnsi="Times New Roman"/>
                <w:b/>
                <w:noProof/>
                <w:sz w:val="24"/>
                <w:szCs w:val="24"/>
                <w:lang w:val="ro-RO" w:eastAsia="ru-RU"/>
              </w:rPr>
              <w:t>.</w:t>
            </w:r>
          </w:p>
          <w:p w:rsidR="004B38AC" w:rsidRPr="00AF3B7E" w:rsidRDefault="004B38AC" w:rsidP="00AF3B7E">
            <w:pPr>
              <w:pStyle w:val="NoSpacing"/>
              <w:ind w:firstLine="540"/>
              <w:jc w:val="both"/>
              <w:rPr>
                <w:rFonts w:ascii="Times New Roman" w:hAnsi="Times New Roman"/>
                <w:sz w:val="24"/>
                <w:szCs w:val="24"/>
                <w:lang w:val="ro-RO"/>
              </w:rPr>
            </w:pPr>
            <w:r w:rsidRPr="00AF3B7E">
              <w:rPr>
                <w:rFonts w:ascii="Times New Roman" w:hAnsi="Times New Roman"/>
                <w:sz w:val="24"/>
                <w:szCs w:val="24"/>
                <w:lang w:val="ro-RO"/>
              </w:rPr>
              <w:t xml:space="preserve">În scopul respectării prevederilor Legii nr.239/2008 privind transparența în procesul decizional, proiectul de hotărâre se plasează pe pagina web oficială a Ministerului Educației și Cercetării </w:t>
            </w:r>
            <w:hyperlink r:id="rId6" w:history="1">
              <w:r w:rsidRPr="00AF3B7E">
                <w:rPr>
                  <w:rStyle w:val="Hyperlink"/>
                  <w:rFonts w:ascii="Times New Roman" w:hAnsi="Times New Roman"/>
                  <w:sz w:val="24"/>
                  <w:szCs w:val="24"/>
                  <w:lang w:val="ro-RO"/>
                </w:rPr>
                <w:t>www.mec.gov.md</w:t>
              </w:r>
            </w:hyperlink>
            <w:r w:rsidRPr="00AF3B7E">
              <w:rPr>
                <w:rFonts w:ascii="Times New Roman" w:hAnsi="Times New Roman"/>
                <w:sz w:val="24"/>
                <w:szCs w:val="24"/>
                <w:lang w:val="ro-RO"/>
              </w:rPr>
              <w:t xml:space="preserve">, compartimentul Transparența decizională, precum și pe pagina web </w:t>
            </w:r>
            <w:hyperlink r:id="rId7" w:history="1">
              <w:r w:rsidRPr="00AF3B7E">
                <w:rPr>
                  <w:rStyle w:val="Hyperlink"/>
                  <w:rFonts w:ascii="Times New Roman" w:hAnsi="Times New Roman"/>
                  <w:sz w:val="24"/>
                  <w:szCs w:val="24"/>
                  <w:lang w:val="ro-RO"/>
                </w:rPr>
                <w:t>www.particip.gov.md</w:t>
              </w:r>
            </w:hyperlink>
            <w:r w:rsidRPr="00AF3B7E">
              <w:rPr>
                <w:rFonts w:ascii="Times New Roman" w:hAnsi="Times New Roman"/>
                <w:sz w:val="24"/>
                <w:szCs w:val="24"/>
                <w:lang w:val="ro-RO"/>
              </w:rPr>
              <w:t>.</w:t>
            </w:r>
          </w:p>
          <w:p w:rsidR="004B38AC" w:rsidRPr="00AF3B7E" w:rsidRDefault="004B38AC"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8. Constatările expertizei anticorupție</w:t>
            </w:r>
          </w:p>
          <w:p w:rsidR="004B38AC" w:rsidRPr="00AF3B7E" w:rsidRDefault="004B38AC"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 xml:space="preserve">Proiectul va fi supus expertizei anticorupție la Centrul Național Anticorupție. </w:t>
            </w:r>
          </w:p>
          <w:p w:rsidR="004B38AC" w:rsidRPr="00AF3B7E" w:rsidRDefault="004B38AC"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9. Constatările expertizei de compatibilitate cu legislația Uniunii Europene</w:t>
            </w:r>
          </w:p>
          <w:p w:rsidR="004B38AC" w:rsidRPr="00AF3B7E" w:rsidRDefault="004B38AC"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Proiectul nu intră în categoria actelor normative care necesită expertiza de compatibilitate cu legislația Uniunii Europene.</w:t>
            </w:r>
          </w:p>
          <w:p w:rsidR="004B38AC" w:rsidRPr="00AF3B7E" w:rsidRDefault="004B38AC"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10. Constatările expertizei juridice</w:t>
            </w:r>
          </w:p>
          <w:p w:rsidR="004B38AC" w:rsidRPr="00AF3B7E" w:rsidRDefault="004B38AC" w:rsidP="00AF3B7E">
            <w:pPr>
              <w:pStyle w:val="NoSpacing"/>
              <w:ind w:firstLine="540"/>
              <w:jc w:val="both"/>
              <w:rPr>
                <w:rFonts w:ascii="Times New Roman" w:hAnsi="Times New Roman"/>
                <w:noProof/>
                <w:sz w:val="24"/>
                <w:szCs w:val="24"/>
                <w:lang w:val="ro-RO" w:eastAsia="ru-RU"/>
              </w:rPr>
            </w:pPr>
            <w:r w:rsidRPr="00AF3B7E">
              <w:rPr>
                <w:rFonts w:ascii="Times New Roman" w:hAnsi="Times New Roman"/>
                <w:noProof/>
                <w:sz w:val="24"/>
                <w:szCs w:val="24"/>
                <w:lang w:val="ro-RO" w:eastAsia="ru-RU"/>
              </w:rPr>
              <w:t>Proiectul urmează a fi expertizat de către Ministerul Justiției.</w:t>
            </w:r>
          </w:p>
          <w:p w:rsidR="004B38AC" w:rsidRPr="00AF3B7E" w:rsidRDefault="004B38AC" w:rsidP="00AF3B7E">
            <w:pPr>
              <w:pStyle w:val="NoSpacing"/>
              <w:ind w:firstLine="540"/>
              <w:jc w:val="both"/>
              <w:rPr>
                <w:rFonts w:ascii="Times New Roman" w:hAnsi="Times New Roman"/>
                <w:b/>
                <w:noProof/>
                <w:sz w:val="24"/>
                <w:szCs w:val="24"/>
                <w:lang w:val="ro-RO" w:eastAsia="ru-RU"/>
              </w:rPr>
            </w:pPr>
            <w:r w:rsidRPr="00AF3B7E">
              <w:rPr>
                <w:rFonts w:ascii="Times New Roman" w:hAnsi="Times New Roman"/>
                <w:b/>
                <w:noProof/>
                <w:sz w:val="24"/>
                <w:szCs w:val="24"/>
                <w:lang w:val="ro-RO" w:eastAsia="ru-RU"/>
              </w:rPr>
              <w:t>11. Constatările altor expertize</w:t>
            </w:r>
          </w:p>
          <w:p w:rsidR="009B5908" w:rsidRPr="00AF3B7E" w:rsidRDefault="004B38AC" w:rsidP="00AF3B7E">
            <w:pPr>
              <w:pStyle w:val="NoSpacing"/>
              <w:ind w:firstLine="540"/>
              <w:jc w:val="both"/>
              <w:rPr>
                <w:rFonts w:ascii="Times New Roman" w:hAnsi="Times New Roman"/>
                <w:sz w:val="24"/>
                <w:szCs w:val="24"/>
                <w:lang w:val="ro-RO"/>
              </w:rPr>
            </w:pPr>
            <w:r w:rsidRPr="00AF3B7E">
              <w:rPr>
                <w:rFonts w:ascii="Times New Roman" w:hAnsi="Times New Roman"/>
                <w:noProof/>
                <w:sz w:val="24"/>
                <w:szCs w:val="24"/>
                <w:lang w:val="ro-RO" w:eastAsia="ru-RU"/>
              </w:rPr>
              <w:t>Proiectul nu necesită alte expertize.</w:t>
            </w:r>
          </w:p>
        </w:tc>
      </w:tr>
      <w:tr w:rsidR="004B38AC" w:rsidRPr="00AF3B7E" w:rsidTr="00AF3B7E">
        <w:trPr>
          <w:tblCellSpacing w:w="15" w:type="dxa"/>
        </w:trPr>
        <w:tc>
          <w:tcPr>
            <w:tcW w:w="4971" w:type="pct"/>
            <w:tcBorders>
              <w:top w:val="nil"/>
              <w:left w:val="nil"/>
              <w:bottom w:val="nil"/>
              <w:right w:val="nil"/>
            </w:tcBorders>
            <w:tcMar>
              <w:top w:w="15" w:type="dxa"/>
              <w:left w:w="15" w:type="dxa"/>
              <w:bottom w:w="15" w:type="dxa"/>
              <w:right w:w="221" w:type="dxa"/>
            </w:tcMar>
          </w:tcPr>
          <w:p w:rsidR="004B38AC" w:rsidRPr="00AF3B7E" w:rsidRDefault="004B38AC" w:rsidP="00AF3B7E">
            <w:pPr>
              <w:pStyle w:val="NoSpacing"/>
              <w:ind w:firstLine="540"/>
              <w:jc w:val="both"/>
              <w:rPr>
                <w:rFonts w:ascii="Times New Roman" w:hAnsi="Times New Roman"/>
                <w:noProof/>
                <w:sz w:val="24"/>
                <w:szCs w:val="24"/>
                <w:lang w:val="ro-RO" w:eastAsia="ru-RU"/>
              </w:rPr>
            </w:pPr>
          </w:p>
        </w:tc>
      </w:tr>
    </w:tbl>
    <w:p w:rsidR="00B940F5" w:rsidRPr="00AF3B7E" w:rsidRDefault="00B940F5" w:rsidP="00AF3B7E">
      <w:pPr>
        <w:pStyle w:val="NoSpacing"/>
        <w:ind w:firstLine="540"/>
        <w:jc w:val="both"/>
        <w:rPr>
          <w:rFonts w:ascii="Times New Roman" w:hAnsi="Times New Roman"/>
          <w:sz w:val="24"/>
          <w:szCs w:val="24"/>
          <w:lang w:val="ro-RO"/>
        </w:rPr>
      </w:pPr>
    </w:p>
    <w:p w:rsidR="009B5908" w:rsidRPr="00AF3B7E" w:rsidRDefault="009B5908" w:rsidP="00AF3B7E">
      <w:pPr>
        <w:pStyle w:val="NoSpacing"/>
        <w:ind w:firstLine="540"/>
        <w:jc w:val="center"/>
        <w:rPr>
          <w:rFonts w:ascii="Times New Roman" w:hAnsi="Times New Roman"/>
          <w:b/>
          <w:sz w:val="24"/>
          <w:szCs w:val="24"/>
          <w:lang w:val="ro-RO"/>
        </w:rPr>
      </w:pPr>
      <w:r w:rsidRPr="00AF3B7E">
        <w:rPr>
          <w:rFonts w:ascii="Times New Roman" w:hAnsi="Times New Roman"/>
          <w:b/>
          <w:sz w:val="24"/>
          <w:szCs w:val="24"/>
          <w:lang w:val="ro-RO"/>
        </w:rPr>
        <w:t>Ministr</w:t>
      </w:r>
      <w:bookmarkStart w:id="0" w:name="_GoBack"/>
      <w:bookmarkEnd w:id="0"/>
      <w:r w:rsidRPr="00AF3B7E">
        <w:rPr>
          <w:rFonts w:ascii="Times New Roman" w:hAnsi="Times New Roman"/>
          <w:b/>
          <w:sz w:val="24"/>
          <w:szCs w:val="24"/>
          <w:lang w:val="ro-RO"/>
        </w:rPr>
        <w:t>u</w:t>
      </w:r>
      <w:r w:rsidRPr="00AF3B7E">
        <w:rPr>
          <w:rFonts w:ascii="Times New Roman" w:hAnsi="Times New Roman"/>
          <w:b/>
          <w:sz w:val="24"/>
          <w:szCs w:val="24"/>
          <w:lang w:val="ro-RO"/>
        </w:rPr>
        <w:tab/>
      </w:r>
      <w:r w:rsidRPr="00AF3B7E">
        <w:rPr>
          <w:rFonts w:ascii="Times New Roman" w:hAnsi="Times New Roman"/>
          <w:b/>
          <w:sz w:val="24"/>
          <w:szCs w:val="24"/>
          <w:lang w:val="ro-RO"/>
        </w:rPr>
        <w:tab/>
      </w:r>
      <w:r w:rsidRPr="00AF3B7E">
        <w:rPr>
          <w:rFonts w:ascii="Times New Roman" w:hAnsi="Times New Roman"/>
          <w:b/>
          <w:sz w:val="24"/>
          <w:szCs w:val="24"/>
          <w:lang w:val="ro-RO"/>
        </w:rPr>
        <w:tab/>
      </w:r>
      <w:r w:rsidRPr="00AF3B7E">
        <w:rPr>
          <w:rFonts w:ascii="Times New Roman" w:hAnsi="Times New Roman"/>
          <w:b/>
          <w:sz w:val="24"/>
          <w:szCs w:val="24"/>
          <w:lang w:val="ro-RO"/>
        </w:rPr>
        <w:tab/>
      </w:r>
      <w:r w:rsidRPr="00AF3B7E">
        <w:rPr>
          <w:rFonts w:ascii="Times New Roman" w:hAnsi="Times New Roman"/>
          <w:b/>
          <w:sz w:val="24"/>
          <w:szCs w:val="24"/>
          <w:lang w:val="ro-RO"/>
        </w:rPr>
        <w:tab/>
      </w:r>
      <w:r w:rsidRPr="00AF3B7E">
        <w:rPr>
          <w:rFonts w:ascii="Times New Roman" w:hAnsi="Times New Roman"/>
          <w:b/>
          <w:sz w:val="24"/>
          <w:szCs w:val="24"/>
          <w:lang w:val="ro-RO"/>
        </w:rPr>
        <w:tab/>
        <w:t>Anatolie TOPALĂ</w:t>
      </w:r>
    </w:p>
    <w:p w:rsidR="009B5908" w:rsidRPr="00AF3B7E" w:rsidRDefault="009B5908" w:rsidP="00AF3B7E">
      <w:pPr>
        <w:pStyle w:val="NoSpacing"/>
        <w:ind w:firstLine="540"/>
        <w:jc w:val="both"/>
        <w:rPr>
          <w:rFonts w:ascii="Times New Roman" w:hAnsi="Times New Roman"/>
          <w:sz w:val="24"/>
          <w:szCs w:val="24"/>
          <w:lang w:val="ro-RO" w:eastAsia="ru-RU"/>
        </w:rPr>
      </w:pPr>
    </w:p>
    <w:p w:rsidR="009B5908" w:rsidRPr="00AF3B7E" w:rsidRDefault="009B5908" w:rsidP="00AF3B7E">
      <w:pPr>
        <w:pStyle w:val="NoSpacing"/>
        <w:ind w:firstLine="540"/>
        <w:jc w:val="both"/>
        <w:rPr>
          <w:rFonts w:ascii="Times New Roman" w:hAnsi="Times New Roman"/>
          <w:sz w:val="24"/>
          <w:szCs w:val="24"/>
          <w:lang w:val="ro-RO" w:eastAsia="ru-RU"/>
        </w:rPr>
      </w:pPr>
    </w:p>
    <w:p w:rsidR="009B5908" w:rsidRPr="00AF3B7E" w:rsidRDefault="009B5908" w:rsidP="00AF3B7E">
      <w:pPr>
        <w:pStyle w:val="NoSpacing"/>
        <w:ind w:firstLine="540"/>
        <w:jc w:val="both"/>
        <w:rPr>
          <w:rFonts w:ascii="Times New Roman" w:hAnsi="Times New Roman"/>
          <w:sz w:val="24"/>
          <w:szCs w:val="24"/>
          <w:lang w:val="ro-RO" w:eastAsia="ru-RU"/>
        </w:rPr>
      </w:pPr>
    </w:p>
    <w:p w:rsidR="00740FA2" w:rsidRPr="00AF3B7E" w:rsidRDefault="00740FA2" w:rsidP="00AF3B7E">
      <w:pPr>
        <w:pStyle w:val="NoSpacing"/>
        <w:ind w:firstLine="540"/>
        <w:jc w:val="both"/>
        <w:rPr>
          <w:rFonts w:ascii="Times New Roman" w:hAnsi="Times New Roman"/>
          <w:sz w:val="24"/>
          <w:szCs w:val="24"/>
          <w:lang w:val="ro-RO" w:eastAsia="ru-RU"/>
        </w:rPr>
      </w:pPr>
    </w:p>
    <w:p w:rsidR="00740FA2" w:rsidRPr="00AF3B7E" w:rsidRDefault="00740FA2" w:rsidP="00AF3B7E">
      <w:pPr>
        <w:pStyle w:val="NoSpacing"/>
        <w:ind w:firstLine="540"/>
        <w:jc w:val="both"/>
        <w:rPr>
          <w:rFonts w:ascii="Times New Roman" w:hAnsi="Times New Roman"/>
          <w:sz w:val="24"/>
          <w:szCs w:val="24"/>
          <w:lang w:val="ro-RO" w:eastAsia="ru-RU"/>
        </w:rPr>
      </w:pPr>
    </w:p>
    <w:p w:rsidR="00740FA2" w:rsidRPr="00AF3B7E" w:rsidRDefault="00740FA2" w:rsidP="00AF3B7E">
      <w:pPr>
        <w:pStyle w:val="NoSpacing"/>
        <w:ind w:firstLine="540"/>
        <w:jc w:val="both"/>
        <w:rPr>
          <w:rFonts w:ascii="Times New Roman" w:hAnsi="Times New Roman"/>
          <w:sz w:val="24"/>
          <w:szCs w:val="24"/>
          <w:lang w:val="ro-RO" w:eastAsia="ru-RU"/>
        </w:rPr>
      </w:pPr>
    </w:p>
    <w:p w:rsidR="007614EF" w:rsidRPr="00AF3B7E" w:rsidRDefault="007614EF" w:rsidP="00AF3B7E">
      <w:pPr>
        <w:pStyle w:val="NoSpacing"/>
        <w:ind w:firstLine="540"/>
        <w:jc w:val="both"/>
        <w:rPr>
          <w:rFonts w:ascii="Times New Roman" w:hAnsi="Times New Roman"/>
          <w:sz w:val="24"/>
          <w:szCs w:val="24"/>
          <w:lang w:val="ro-RO" w:eastAsia="ru-RU"/>
        </w:rPr>
      </w:pPr>
    </w:p>
    <w:p w:rsidR="007614EF" w:rsidRPr="00AF3B7E" w:rsidRDefault="007614EF" w:rsidP="00AF3B7E">
      <w:pPr>
        <w:pStyle w:val="NoSpacing"/>
        <w:ind w:firstLine="540"/>
        <w:jc w:val="both"/>
        <w:rPr>
          <w:rFonts w:ascii="Times New Roman" w:hAnsi="Times New Roman"/>
          <w:sz w:val="24"/>
          <w:szCs w:val="24"/>
          <w:lang w:val="ro-RO" w:eastAsia="ru-RU"/>
        </w:rPr>
      </w:pPr>
    </w:p>
    <w:p w:rsidR="00740FA2" w:rsidRPr="00AF3B7E" w:rsidRDefault="00740FA2" w:rsidP="00AF3B7E">
      <w:pPr>
        <w:pStyle w:val="NoSpacing"/>
        <w:ind w:firstLine="540"/>
        <w:jc w:val="both"/>
        <w:rPr>
          <w:rFonts w:ascii="Times New Roman" w:hAnsi="Times New Roman"/>
          <w:sz w:val="24"/>
          <w:szCs w:val="24"/>
          <w:lang w:val="ro-RO" w:eastAsia="ru-RU"/>
        </w:rPr>
      </w:pPr>
    </w:p>
    <w:p w:rsidR="009B5908" w:rsidRDefault="007D0DA2" w:rsidP="00AF3B7E">
      <w:pPr>
        <w:pStyle w:val="NoSpacing"/>
        <w:ind w:firstLine="540"/>
        <w:jc w:val="both"/>
        <w:rPr>
          <w:rFonts w:ascii="Times New Roman" w:hAnsi="Times New Roman"/>
          <w:sz w:val="18"/>
          <w:szCs w:val="24"/>
          <w:lang w:val="ro-RO"/>
        </w:rPr>
      </w:pPr>
      <w:r w:rsidRPr="00AF3B7E">
        <w:rPr>
          <w:rFonts w:ascii="Times New Roman" w:hAnsi="Times New Roman"/>
          <w:sz w:val="18"/>
          <w:szCs w:val="24"/>
          <w:lang w:val="ro-RO"/>
        </w:rPr>
        <w:t>Rodica Braguța</w:t>
      </w:r>
      <w:r w:rsidR="00AF3B7E">
        <w:rPr>
          <w:rFonts w:ascii="Times New Roman" w:hAnsi="Times New Roman"/>
          <w:sz w:val="18"/>
          <w:szCs w:val="24"/>
          <w:lang w:val="ro-RO"/>
        </w:rPr>
        <w:t xml:space="preserve">, </w:t>
      </w:r>
      <w:r w:rsidR="009B5908" w:rsidRPr="00AF3B7E">
        <w:rPr>
          <w:rFonts w:ascii="Times New Roman" w:hAnsi="Times New Roman"/>
          <w:sz w:val="18"/>
          <w:szCs w:val="24"/>
          <w:lang w:val="ro-RO"/>
        </w:rPr>
        <w:t>022-23-</w:t>
      </w:r>
      <w:r w:rsidR="00115730" w:rsidRPr="00AF3B7E">
        <w:rPr>
          <w:rFonts w:ascii="Times New Roman" w:hAnsi="Times New Roman"/>
          <w:sz w:val="18"/>
          <w:szCs w:val="24"/>
          <w:lang w:val="ro-RO"/>
        </w:rPr>
        <w:t>3</w:t>
      </w:r>
      <w:r w:rsidR="009B5908" w:rsidRPr="00AF3B7E">
        <w:rPr>
          <w:rFonts w:ascii="Times New Roman" w:hAnsi="Times New Roman"/>
          <w:sz w:val="18"/>
          <w:szCs w:val="24"/>
          <w:lang w:val="ro-RO"/>
        </w:rPr>
        <w:t>6-</w:t>
      </w:r>
      <w:r w:rsidR="00115730" w:rsidRPr="00AF3B7E">
        <w:rPr>
          <w:rFonts w:ascii="Times New Roman" w:hAnsi="Times New Roman"/>
          <w:sz w:val="18"/>
          <w:szCs w:val="24"/>
          <w:lang w:val="ro-RO"/>
        </w:rPr>
        <w:t>78</w:t>
      </w:r>
    </w:p>
    <w:p w:rsidR="00AF3B7E" w:rsidRPr="00AF3B7E" w:rsidRDefault="00AF3B7E" w:rsidP="00AF3B7E">
      <w:pPr>
        <w:pStyle w:val="NoSpacing"/>
        <w:ind w:firstLine="540"/>
        <w:jc w:val="both"/>
        <w:rPr>
          <w:rFonts w:ascii="Times New Roman" w:hAnsi="Times New Roman"/>
          <w:sz w:val="18"/>
          <w:szCs w:val="24"/>
          <w:lang w:val="ro-RO"/>
        </w:rPr>
      </w:pPr>
      <w:r>
        <w:rPr>
          <w:rFonts w:ascii="Times New Roman" w:hAnsi="Times New Roman"/>
          <w:sz w:val="18"/>
          <w:szCs w:val="24"/>
          <w:lang w:val="ro-RO"/>
        </w:rPr>
        <w:t>rodica.braguta@mec.gov.md</w:t>
      </w:r>
    </w:p>
    <w:sectPr w:rsidR="00AF3B7E" w:rsidRPr="00AF3B7E" w:rsidSect="00AF3B7E">
      <w:footerReference w:type="default" r:id="rId8"/>
      <w:pgSz w:w="11906" w:h="16838"/>
      <w:pgMar w:top="990" w:right="1016" w:bottom="900" w:left="1276" w:header="708" w:footer="5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DF" w:rsidRDefault="00D31FDF">
      <w:pPr>
        <w:spacing w:after="0" w:line="240" w:lineRule="auto"/>
      </w:pPr>
      <w:r>
        <w:separator/>
      </w:r>
    </w:p>
  </w:endnote>
  <w:endnote w:type="continuationSeparator" w:id="0">
    <w:p w:rsidR="00D31FDF" w:rsidRDefault="00D3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0C1" w:rsidRPr="00AF3B7E" w:rsidRDefault="00964E63">
    <w:pPr>
      <w:pStyle w:val="Footer"/>
      <w:jc w:val="right"/>
      <w:rPr>
        <w:rFonts w:ascii="Times New Roman" w:hAnsi="Times New Roman"/>
        <w:sz w:val="20"/>
      </w:rPr>
    </w:pPr>
    <w:r w:rsidRPr="00AF3B7E">
      <w:rPr>
        <w:rFonts w:ascii="Times New Roman" w:hAnsi="Times New Roman"/>
        <w:sz w:val="20"/>
      </w:rPr>
      <w:fldChar w:fldCharType="begin"/>
    </w:r>
    <w:r w:rsidRPr="00AF3B7E">
      <w:rPr>
        <w:rFonts w:ascii="Times New Roman" w:hAnsi="Times New Roman"/>
        <w:sz w:val="20"/>
      </w:rPr>
      <w:instrText xml:space="preserve"> PAGE   \* MERGEFORMAT </w:instrText>
    </w:r>
    <w:r w:rsidRPr="00AF3B7E">
      <w:rPr>
        <w:rFonts w:ascii="Times New Roman" w:hAnsi="Times New Roman"/>
        <w:sz w:val="20"/>
      </w:rPr>
      <w:fldChar w:fldCharType="separate"/>
    </w:r>
    <w:r w:rsidR="00AF3B7E">
      <w:rPr>
        <w:rFonts w:ascii="Times New Roman" w:hAnsi="Times New Roman"/>
        <w:noProof/>
        <w:sz w:val="20"/>
      </w:rPr>
      <w:t>7</w:t>
    </w:r>
    <w:r w:rsidRPr="00AF3B7E">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DF" w:rsidRDefault="00D31FDF">
      <w:pPr>
        <w:spacing w:after="0" w:line="240" w:lineRule="auto"/>
      </w:pPr>
      <w:r>
        <w:separator/>
      </w:r>
    </w:p>
  </w:footnote>
  <w:footnote w:type="continuationSeparator" w:id="0">
    <w:p w:rsidR="00D31FDF" w:rsidRDefault="00D31F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71"/>
    <w:rsid w:val="00034A9A"/>
    <w:rsid w:val="000E6371"/>
    <w:rsid w:val="00114E75"/>
    <w:rsid w:val="00115730"/>
    <w:rsid w:val="00160A7A"/>
    <w:rsid w:val="00195E79"/>
    <w:rsid w:val="00285633"/>
    <w:rsid w:val="002E1558"/>
    <w:rsid w:val="003B3FD8"/>
    <w:rsid w:val="004951B7"/>
    <w:rsid w:val="004B38AC"/>
    <w:rsid w:val="004B7A8A"/>
    <w:rsid w:val="00524BC9"/>
    <w:rsid w:val="00525BC7"/>
    <w:rsid w:val="00531616"/>
    <w:rsid w:val="005528F4"/>
    <w:rsid w:val="005C2932"/>
    <w:rsid w:val="00640A9A"/>
    <w:rsid w:val="00670023"/>
    <w:rsid w:val="006F1BB4"/>
    <w:rsid w:val="00740FA2"/>
    <w:rsid w:val="007614EF"/>
    <w:rsid w:val="007C1E88"/>
    <w:rsid w:val="007D0DA2"/>
    <w:rsid w:val="00861266"/>
    <w:rsid w:val="008C3C01"/>
    <w:rsid w:val="00904597"/>
    <w:rsid w:val="00964E63"/>
    <w:rsid w:val="009B5908"/>
    <w:rsid w:val="009D3197"/>
    <w:rsid w:val="009E4805"/>
    <w:rsid w:val="00A1123C"/>
    <w:rsid w:val="00A61278"/>
    <w:rsid w:val="00A64675"/>
    <w:rsid w:val="00AA3ECA"/>
    <w:rsid w:val="00AD022D"/>
    <w:rsid w:val="00AF3B7E"/>
    <w:rsid w:val="00B940F5"/>
    <w:rsid w:val="00BA210A"/>
    <w:rsid w:val="00BD7731"/>
    <w:rsid w:val="00C32600"/>
    <w:rsid w:val="00C85C58"/>
    <w:rsid w:val="00D31FDF"/>
    <w:rsid w:val="00E61BFB"/>
    <w:rsid w:val="00EB29C7"/>
    <w:rsid w:val="00EE5C13"/>
    <w:rsid w:val="00EE6750"/>
    <w:rsid w:val="00FA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36E46-BB2F-4DF1-8FF1-D53FEFEA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908"/>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5908"/>
    <w:pPr>
      <w:tabs>
        <w:tab w:val="center" w:pos="4677"/>
        <w:tab w:val="right" w:pos="9355"/>
      </w:tabs>
      <w:spacing w:after="0" w:line="240" w:lineRule="auto"/>
    </w:pPr>
  </w:style>
  <w:style w:type="character" w:customStyle="1" w:styleId="FooterChar">
    <w:name w:val="Footer Char"/>
    <w:basedOn w:val="DefaultParagraphFont"/>
    <w:link w:val="Footer"/>
    <w:uiPriority w:val="99"/>
    <w:rsid w:val="009B5908"/>
    <w:rPr>
      <w:rFonts w:ascii="Calibri" w:eastAsia="Calibri" w:hAnsi="Calibri" w:cs="Times New Roman"/>
      <w:lang w:val="ru-RU"/>
    </w:rPr>
  </w:style>
  <w:style w:type="character" w:styleId="Hyperlink">
    <w:name w:val="Hyperlink"/>
    <w:basedOn w:val="DefaultParagraphFont"/>
    <w:uiPriority w:val="99"/>
    <w:unhideWhenUsed/>
    <w:rsid w:val="009B5908"/>
    <w:rPr>
      <w:color w:val="0563C1" w:themeColor="hyperlink"/>
      <w:u w:val="single"/>
    </w:rPr>
  </w:style>
  <w:style w:type="paragraph" w:styleId="BalloonText">
    <w:name w:val="Balloon Text"/>
    <w:basedOn w:val="Normal"/>
    <w:link w:val="BalloonTextChar"/>
    <w:uiPriority w:val="99"/>
    <w:semiHidden/>
    <w:unhideWhenUsed/>
    <w:rsid w:val="00BA2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10A"/>
    <w:rPr>
      <w:rFonts w:ascii="Segoe UI" w:eastAsia="Calibri" w:hAnsi="Segoe UI" w:cs="Segoe UI"/>
      <w:sz w:val="18"/>
      <w:szCs w:val="18"/>
      <w:lang w:val="ru-RU"/>
    </w:rPr>
  </w:style>
  <w:style w:type="paragraph" w:styleId="NoSpacing">
    <w:name w:val="No Spacing"/>
    <w:uiPriority w:val="1"/>
    <w:qFormat/>
    <w:rsid w:val="00AF3B7E"/>
    <w:pPr>
      <w:spacing w:after="0" w:line="240" w:lineRule="auto"/>
    </w:pPr>
    <w:rPr>
      <w:rFonts w:ascii="Calibri" w:eastAsia="Calibri" w:hAnsi="Calibri" w:cs="Times New Roman"/>
      <w:lang w:val="ru-RU"/>
    </w:rPr>
  </w:style>
  <w:style w:type="paragraph" w:styleId="Header">
    <w:name w:val="header"/>
    <w:basedOn w:val="Normal"/>
    <w:link w:val="HeaderChar"/>
    <w:uiPriority w:val="99"/>
    <w:unhideWhenUsed/>
    <w:rsid w:val="00AF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7E"/>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articip.gov.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4459</Words>
  <Characters>25419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12</cp:revision>
  <cp:lastPrinted>2021-11-18T06:37:00Z</cp:lastPrinted>
  <dcterms:created xsi:type="dcterms:W3CDTF">2021-12-27T23:30:00Z</dcterms:created>
  <dcterms:modified xsi:type="dcterms:W3CDTF">2022-05-16T12:21:00Z</dcterms:modified>
</cp:coreProperties>
</file>