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D139C" w14:textId="77777777" w:rsidR="00187C17" w:rsidRPr="009E4480" w:rsidRDefault="00187C17" w:rsidP="00AB6A5F">
      <w:pPr>
        <w:widowControl w:val="0"/>
        <w:autoSpaceDE w:val="0"/>
        <w:autoSpaceDN w:val="0"/>
        <w:adjustRightInd w:val="0"/>
        <w:jc w:val="center"/>
        <w:rPr>
          <w:b/>
          <w:lang w:val="ro-RO"/>
        </w:rPr>
      </w:pPr>
      <w:r w:rsidRPr="009E4480">
        <w:rPr>
          <w:b/>
          <w:lang w:val="ro-RO"/>
        </w:rPr>
        <w:t>NOTĂ INFORMATIVĂ</w:t>
      </w:r>
    </w:p>
    <w:p w14:paraId="74460D81" w14:textId="2011EC39" w:rsidR="00187C17" w:rsidRPr="009E4480" w:rsidRDefault="00187C17" w:rsidP="005C0F25">
      <w:pPr>
        <w:jc w:val="center"/>
        <w:rPr>
          <w:b/>
          <w:lang w:val="ro-RO"/>
        </w:rPr>
      </w:pPr>
      <w:r w:rsidRPr="009E4480">
        <w:rPr>
          <w:b/>
          <w:lang w:val="ro-RO"/>
        </w:rPr>
        <w:t xml:space="preserve">la proiectul </w:t>
      </w:r>
      <w:r w:rsidR="00D65F01">
        <w:rPr>
          <w:b/>
          <w:lang w:val="ro-RO"/>
        </w:rPr>
        <w:t>de l</w:t>
      </w:r>
      <w:r w:rsidR="005C0F25" w:rsidRPr="009E4480">
        <w:rPr>
          <w:b/>
          <w:lang w:val="ro-RO"/>
        </w:rPr>
        <w:t>ege pentru modificarea unor acte normative</w:t>
      </w:r>
    </w:p>
    <w:p w14:paraId="41F39417" w14:textId="3D2227DC" w:rsidR="00A46C6E" w:rsidRPr="009E4480" w:rsidRDefault="00A46C6E" w:rsidP="00A46C6E">
      <w:pPr>
        <w:jc w:val="center"/>
        <w:rPr>
          <w:b/>
          <w:lang w:val="ro-RO"/>
        </w:rPr>
      </w:pPr>
    </w:p>
    <w:tbl>
      <w:tblPr>
        <w:tblStyle w:val="TableGrid"/>
        <w:tblW w:w="10065" w:type="dxa"/>
        <w:tblInd w:w="-572" w:type="dxa"/>
        <w:tblLook w:val="04A0" w:firstRow="1" w:lastRow="0" w:firstColumn="1" w:lastColumn="0" w:noHBand="0" w:noVBand="1"/>
      </w:tblPr>
      <w:tblGrid>
        <w:gridCol w:w="10065"/>
      </w:tblGrid>
      <w:tr w:rsidR="00A46C6E" w:rsidRPr="009E4480" w14:paraId="6DEBF011" w14:textId="77777777" w:rsidTr="009E4480">
        <w:tc>
          <w:tcPr>
            <w:tcW w:w="10065" w:type="dxa"/>
          </w:tcPr>
          <w:p w14:paraId="18F44446" w14:textId="6BADC97D" w:rsidR="00A46C6E" w:rsidRPr="009E4480" w:rsidRDefault="00A46C6E" w:rsidP="00A46C6E">
            <w:pPr>
              <w:ind w:firstLine="596"/>
              <w:jc w:val="both"/>
              <w:rPr>
                <w:i/>
                <w:lang w:val="ro-RO"/>
              </w:rPr>
            </w:pPr>
            <w:r w:rsidRPr="009E4480">
              <w:rPr>
                <w:b/>
                <w:lang w:val="ro-RO"/>
              </w:rPr>
              <w:t>1. Denumirea autorului şi, după caz, a participanților la elaborarea proiectului</w:t>
            </w:r>
          </w:p>
        </w:tc>
      </w:tr>
      <w:tr w:rsidR="00A46C6E" w:rsidRPr="009E4480" w14:paraId="3CC2279D" w14:textId="77777777" w:rsidTr="009E4480">
        <w:tc>
          <w:tcPr>
            <w:tcW w:w="10065" w:type="dxa"/>
          </w:tcPr>
          <w:p w14:paraId="798D4CA4" w14:textId="0BC5D8E1" w:rsidR="00A46C6E" w:rsidRPr="009E4480" w:rsidRDefault="00A46C6E" w:rsidP="00572CD7">
            <w:pPr>
              <w:ind w:firstLine="596"/>
              <w:jc w:val="both"/>
              <w:rPr>
                <w:b/>
                <w:lang w:val="ro-RO"/>
              </w:rPr>
            </w:pPr>
            <w:r w:rsidRPr="009E4480">
              <w:rPr>
                <w:lang w:val="ro-RO"/>
              </w:rPr>
              <w:t xml:space="preserve">Ministerul </w:t>
            </w:r>
            <w:r w:rsidR="00572CD7">
              <w:rPr>
                <w:lang w:val="ro-RO"/>
              </w:rPr>
              <w:t>Infrastructurii</w:t>
            </w:r>
            <w:r w:rsidR="00C44992" w:rsidRPr="009E4480">
              <w:rPr>
                <w:lang w:val="ro-RO"/>
              </w:rPr>
              <w:t xml:space="preserve"> și Dezvoltării Regionale</w:t>
            </w:r>
          </w:p>
        </w:tc>
      </w:tr>
      <w:tr w:rsidR="00A46C6E" w:rsidRPr="009E4480" w14:paraId="72331855" w14:textId="77777777" w:rsidTr="009E4480">
        <w:tc>
          <w:tcPr>
            <w:tcW w:w="10065" w:type="dxa"/>
          </w:tcPr>
          <w:p w14:paraId="01D56291" w14:textId="0F7427D5" w:rsidR="00A46C6E" w:rsidRPr="009E4480" w:rsidRDefault="00A46C6E" w:rsidP="00A46C6E">
            <w:pPr>
              <w:ind w:firstLine="596"/>
              <w:jc w:val="both"/>
              <w:rPr>
                <w:b/>
                <w:lang w:val="ro-RO"/>
              </w:rPr>
            </w:pPr>
            <w:r w:rsidRPr="009E4480">
              <w:rPr>
                <w:b/>
                <w:lang w:val="ro-RO"/>
              </w:rPr>
              <w:t>2. Condiţiile ce au impus elaborarea proiectului actului normativ şi finalitățile urmărite</w:t>
            </w:r>
          </w:p>
        </w:tc>
      </w:tr>
      <w:tr w:rsidR="00A46C6E" w:rsidRPr="009E4480" w14:paraId="4788E054" w14:textId="77777777" w:rsidTr="009E4480">
        <w:tc>
          <w:tcPr>
            <w:tcW w:w="10065" w:type="dxa"/>
          </w:tcPr>
          <w:p w14:paraId="4F867838" w14:textId="1ABDA3E5" w:rsidR="005C0F25" w:rsidRPr="009E4480" w:rsidRDefault="005C0F25" w:rsidP="00687C2B">
            <w:pPr>
              <w:ind w:firstLine="504"/>
              <w:jc w:val="both"/>
              <w:rPr>
                <w:lang w:val="ro-RO"/>
              </w:rPr>
            </w:pPr>
            <w:r w:rsidRPr="009E4480">
              <w:rPr>
                <w:lang w:val="ro-RO"/>
              </w:rPr>
              <w:t xml:space="preserve">Ca urmare a crizei pandemice, fluctuațiilor de pe piața carburanților și </w:t>
            </w:r>
            <w:r w:rsidR="00D65F01">
              <w:rPr>
                <w:lang w:val="ro-RO"/>
              </w:rPr>
              <w:t xml:space="preserve">a </w:t>
            </w:r>
            <w:r w:rsidRPr="009E4480">
              <w:rPr>
                <w:lang w:val="ro-RO"/>
              </w:rPr>
              <w:t>situației regionale</w:t>
            </w:r>
            <w:r w:rsidR="00D65F01">
              <w:rPr>
                <w:lang w:val="ro-RO"/>
              </w:rPr>
              <w:t>,</w:t>
            </w:r>
            <w:r w:rsidRPr="009E4480">
              <w:rPr>
                <w:lang w:val="ro-RO"/>
              </w:rPr>
              <w:t xml:space="preserve"> costurile operaționale pentru operatorii din Republica Moldova au înregistrat o creștere de cel puțin 40%, ceea ce a condus inevitabil la scăderea competitivității în raport cu principalii competitori de pe piața regională.</w:t>
            </w:r>
          </w:p>
          <w:p w14:paraId="74BEECBC" w14:textId="4C2E9513" w:rsidR="005C0F25" w:rsidRPr="009E4480" w:rsidRDefault="005C0F25" w:rsidP="00687C2B">
            <w:pPr>
              <w:ind w:firstLine="504"/>
              <w:jc w:val="both"/>
              <w:rPr>
                <w:lang w:val="ro-RO"/>
              </w:rPr>
            </w:pPr>
            <w:r w:rsidRPr="009E4480">
              <w:rPr>
                <w:lang w:val="ro-RO"/>
              </w:rPr>
              <w:t>Totodată, a fost limitat accesul spre unele piețe tradiționale sau traseul de transportare practic s-a dublat pentru a ocoli teritoriul Ucrainei, inclus</w:t>
            </w:r>
            <w:r w:rsidR="00D65F01">
              <w:rPr>
                <w:lang w:val="ro-RO"/>
              </w:rPr>
              <w:t>iv</w:t>
            </w:r>
            <w:r w:rsidRPr="009E4480">
              <w:rPr>
                <w:lang w:val="ro-RO"/>
              </w:rPr>
              <w:t xml:space="preserve"> s-a majorat numărul de autorizații necesare pentru țările de tranzit.</w:t>
            </w:r>
          </w:p>
          <w:p w14:paraId="52B64F6C" w14:textId="71F53CA6" w:rsidR="003D70EC" w:rsidRPr="009E4480" w:rsidRDefault="005C0F25" w:rsidP="00687C2B">
            <w:pPr>
              <w:ind w:firstLine="504"/>
              <w:jc w:val="both"/>
              <w:rPr>
                <w:lang w:val="ro-RO"/>
              </w:rPr>
            </w:pPr>
            <w:r w:rsidRPr="009E4480">
              <w:rPr>
                <w:lang w:val="ro-RO"/>
              </w:rPr>
              <w:t>În acest context, pentru a atenua impactul situației create și a nu admite falimentarea acestui domeniu</w:t>
            </w:r>
            <w:r w:rsidR="00D65F01">
              <w:rPr>
                <w:lang w:val="ro-RO"/>
              </w:rPr>
              <w:t>,</w:t>
            </w:r>
            <w:r w:rsidRPr="009E4480">
              <w:rPr>
                <w:lang w:val="ro-RO"/>
              </w:rPr>
              <w:t xml:space="preserve"> sunt necesare măsuri de susținere a activității operatorilor de transport rutier, prin compensarea directă sau indirectă a unei părți din costuri.</w:t>
            </w:r>
          </w:p>
          <w:p w14:paraId="1120EBF3" w14:textId="77777777" w:rsidR="005C0F25" w:rsidRPr="009E4480" w:rsidRDefault="005C0F25" w:rsidP="00687C2B">
            <w:pPr>
              <w:ind w:firstLine="504"/>
              <w:jc w:val="both"/>
              <w:rPr>
                <w:lang w:val="ro-RO"/>
              </w:rPr>
            </w:pPr>
            <w:r w:rsidRPr="009E4480">
              <w:rPr>
                <w:lang w:val="ro-RO"/>
              </w:rPr>
              <w:t>Necesitatea elaborării și aprobării prezentelor modificări reiese din necesitatea micșorării cheltuielilor suportate de operatorii de transport rutier pentru sporirea competitivității acestora pe piața regională a serviciilor de transport rutier de mărfuri.</w:t>
            </w:r>
          </w:p>
          <w:p w14:paraId="37089614" w14:textId="22982050" w:rsidR="005C0F25" w:rsidRPr="009E4480" w:rsidRDefault="005C0F25" w:rsidP="00687C2B">
            <w:pPr>
              <w:ind w:firstLine="504"/>
              <w:jc w:val="both"/>
              <w:rPr>
                <w:lang w:val="ro-RO"/>
              </w:rPr>
            </w:pPr>
            <w:r w:rsidRPr="009E4480">
              <w:rPr>
                <w:lang w:val="ro-RO"/>
              </w:rPr>
              <w:t xml:space="preserve">Pe parcursul ultimilor 2 ani domeniul transporturilor rutiere a fost afectat de mai multe crize, </w:t>
            </w:r>
            <w:r w:rsidR="00D65F01">
              <w:rPr>
                <w:lang w:val="ro-RO"/>
              </w:rPr>
              <w:t>avînd</w:t>
            </w:r>
            <w:r w:rsidRPr="009E4480">
              <w:rPr>
                <w:lang w:val="ro-RO"/>
              </w:rPr>
              <w:t xml:space="preserve"> un impact major asupra operatorilor de transport care activează în trafic internațional. Pandemia, majorarea prețurilor la carburanți și conflictul din Ucraina au majorat esențial costurile operaționale și </w:t>
            </w:r>
            <w:r w:rsidR="00D65F01">
              <w:rPr>
                <w:lang w:val="ro-RO"/>
              </w:rPr>
              <w:t xml:space="preserve">a </w:t>
            </w:r>
            <w:r w:rsidRPr="009E4480">
              <w:rPr>
                <w:lang w:val="ro-RO"/>
              </w:rPr>
              <w:t xml:space="preserve">condus la reorientarea fluxurilor de mărfuri. Acestă situație a lăsat o amprentă majoră asupra acestui domeniu, iar ca rezultat rezervele acumulate pe parcursul ultimilor ani au fost </w:t>
            </w:r>
            <w:r w:rsidR="005D3221">
              <w:rPr>
                <w:lang w:val="ro-RO"/>
              </w:rPr>
              <w:t xml:space="preserve">utilizate </w:t>
            </w:r>
            <w:r w:rsidRPr="009E4480">
              <w:rPr>
                <w:lang w:val="ro-RO"/>
              </w:rPr>
              <w:t xml:space="preserve">pentru acoperirea cheltuielilor curente și nu spre investiții în dezvoltare. </w:t>
            </w:r>
          </w:p>
          <w:p w14:paraId="5F725E12" w14:textId="6994FE9F" w:rsidR="005C0F25" w:rsidRPr="009E4480" w:rsidRDefault="005C0F25" w:rsidP="00687C2B">
            <w:pPr>
              <w:ind w:firstLine="504"/>
              <w:jc w:val="both"/>
              <w:rPr>
                <w:lang w:val="ro-RO"/>
              </w:rPr>
            </w:pPr>
            <w:r w:rsidRPr="009E4480">
              <w:rPr>
                <w:lang w:val="ro-RO"/>
              </w:rPr>
              <w:t>Suplimentar, ca urmare a conflictului din Ucraina</w:t>
            </w:r>
            <w:r w:rsidR="00D65F01">
              <w:rPr>
                <w:lang w:val="ro-RO"/>
              </w:rPr>
              <w:t>,</w:t>
            </w:r>
            <w:r w:rsidRPr="009E4480">
              <w:rPr>
                <w:lang w:val="ro-RO"/>
              </w:rPr>
              <w:t xml:space="preserve"> pentru onorarea obligațiilor contractuale operatorii de transport sunt </w:t>
            </w:r>
            <w:r w:rsidR="005D3221">
              <w:rPr>
                <w:lang w:val="ro-RO"/>
              </w:rPr>
              <w:t>impuși</w:t>
            </w:r>
            <w:r w:rsidRPr="009E4480">
              <w:rPr>
                <w:lang w:val="ro-RO"/>
              </w:rPr>
              <w:t xml:space="preserve"> să ocolească teritoriul acestei țări, iar ca rezultat s-a dublat și numărul de autorizații necesare pentru a ajunge la destinație, respectiv s-au majorat și costurile de operare a acestor servicii.</w:t>
            </w:r>
          </w:p>
          <w:p w14:paraId="418FCC74" w14:textId="77777777" w:rsidR="005C0F25" w:rsidRPr="009E4480" w:rsidRDefault="005C0F25" w:rsidP="00687C2B">
            <w:pPr>
              <w:ind w:firstLine="504"/>
              <w:jc w:val="both"/>
              <w:rPr>
                <w:lang w:val="ro-RO"/>
              </w:rPr>
            </w:pPr>
            <w:r w:rsidRPr="009E4480">
              <w:rPr>
                <w:lang w:val="ro-RO"/>
              </w:rPr>
              <w:t xml:space="preserve">Una din soluțiile posibile este reducerea costurilor administrative de gestionare a afacerii prin diminuarea prețului la actele permisive. </w:t>
            </w:r>
          </w:p>
          <w:p w14:paraId="44A357E8" w14:textId="77777777" w:rsidR="005C0F25" w:rsidRPr="009E4480" w:rsidRDefault="005C0F25" w:rsidP="00687C2B">
            <w:pPr>
              <w:ind w:firstLine="504"/>
              <w:jc w:val="both"/>
              <w:rPr>
                <w:lang w:val="ro-RO"/>
              </w:rPr>
            </w:pPr>
            <w:r w:rsidRPr="009E4480">
              <w:rPr>
                <w:lang w:val="ro-RO"/>
              </w:rPr>
              <w:t xml:space="preserve">În conformitate cu prevederile Anexei nr.1 „Nomenclatorul actelor permisive eliberate de către autoritățile emitente persoanelor fizice și persoanelor juridice pentru practicarea activității de întreprinzător” pct. II „Actele permisive care se încadrează în categoria autorizațiilor” din Legea nr.160/2011 privind reglementarea prin autorizare a activității de întreprinzător, Agenția Națională Transport Auto </w:t>
            </w:r>
            <w:r w:rsidRPr="009E4480">
              <w:rPr>
                <w:i/>
                <w:iCs/>
                <w:lang w:val="ro-RO"/>
              </w:rPr>
              <w:t>(în continuare ANTA)</w:t>
            </w:r>
            <w:r w:rsidRPr="009E4480">
              <w:rPr>
                <w:lang w:val="ro-RO"/>
              </w:rPr>
              <w:t xml:space="preserve"> eliberează autorizații pentru transportatorii rutieri care efectuează transport internațional de marfă la următoarele prețuri:</w:t>
            </w:r>
          </w:p>
          <w:p w14:paraId="497029FC" w14:textId="77777777" w:rsidR="005C0F25" w:rsidRPr="009E4480" w:rsidRDefault="005C0F25" w:rsidP="00687C2B">
            <w:pPr>
              <w:ind w:firstLine="504"/>
              <w:jc w:val="both"/>
              <w:rPr>
                <w:lang w:val="ro-RO"/>
              </w:rPr>
            </w:pPr>
            <w:r w:rsidRPr="009E4480">
              <w:rPr>
                <w:lang w:val="ro-RO"/>
              </w:rPr>
              <w:t>- autorizație multilaterală CEMT anuală, cu carnet de drum – 580 euro;</w:t>
            </w:r>
          </w:p>
          <w:p w14:paraId="6F07860E" w14:textId="77777777" w:rsidR="005C0F25" w:rsidRPr="009E4480" w:rsidRDefault="005C0F25" w:rsidP="00687C2B">
            <w:pPr>
              <w:ind w:firstLine="504"/>
              <w:jc w:val="both"/>
              <w:rPr>
                <w:lang w:val="ro-RO"/>
              </w:rPr>
            </w:pPr>
            <w:r w:rsidRPr="009E4480">
              <w:rPr>
                <w:lang w:val="ro-RO"/>
              </w:rPr>
              <w:t>- autorizație multilaterală CEMT pe termen scurt, cu carnet de drum – 50 euro;</w:t>
            </w:r>
          </w:p>
          <w:p w14:paraId="0EAEBB4E" w14:textId="77777777" w:rsidR="005C0F25" w:rsidRPr="009E4480" w:rsidRDefault="005C0F25" w:rsidP="00687C2B">
            <w:pPr>
              <w:ind w:firstLine="504"/>
              <w:jc w:val="both"/>
              <w:rPr>
                <w:lang w:val="ro-RO"/>
              </w:rPr>
            </w:pPr>
            <w:r w:rsidRPr="009E4480">
              <w:rPr>
                <w:lang w:val="ro-RO"/>
              </w:rPr>
              <w:t>- autorizații cu plata taxei rutiere pentru Ucraina, Belarus și Ungaria și pentru produse ușor alterabile pentru Ucraina – 8 euro;</w:t>
            </w:r>
          </w:p>
          <w:p w14:paraId="60544852" w14:textId="77777777" w:rsidR="005C0F25" w:rsidRPr="009E4480" w:rsidRDefault="005C0F25" w:rsidP="00687C2B">
            <w:pPr>
              <w:ind w:firstLine="504"/>
              <w:jc w:val="both"/>
              <w:rPr>
                <w:lang w:val="ro-RO"/>
              </w:rPr>
            </w:pPr>
            <w:r w:rsidRPr="009E4480">
              <w:rPr>
                <w:lang w:val="ro-RO"/>
              </w:rPr>
              <w:t>- autorizații de tranzit pentru Austria (într-o direcție) și fără plata taxei rutiere pentru Belarus și Ucraina – 12 euro;</w:t>
            </w:r>
          </w:p>
          <w:p w14:paraId="1C675958" w14:textId="77777777" w:rsidR="005C0F25" w:rsidRPr="009E4480" w:rsidRDefault="005C0F25" w:rsidP="00687C2B">
            <w:pPr>
              <w:ind w:firstLine="504"/>
              <w:jc w:val="both"/>
              <w:rPr>
                <w:lang w:val="ro-RO"/>
              </w:rPr>
            </w:pPr>
            <w:r w:rsidRPr="009E4480">
              <w:rPr>
                <w:lang w:val="ro-RO"/>
              </w:rPr>
              <w:t>- autorizații fără plata taxei rutiere pentru Ungaria; universală multiplă (pentru o cursă); pentru toate statele, cu excepția Ucrainei și Belarusului (pentru o cursă) – 24 euro;</w:t>
            </w:r>
          </w:p>
          <w:p w14:paraId="43DB397E" w14:textId="77777777" w:rsidR="005C0F25" w:rsidRPr="009E4480" w:rsidRDefault="005C0F25" w:rsidP="00687C2B">
            <w:pPr>
              <w:ind w:firstLine="504"/>
              <w:jc w:val="both"/>
              <w:rPr>
                <w:lang w:val="ro-RO"/>
              </w:rPr>
            </w:pPr>
            <w:r w:rsidRPr="009E4480">
              <w:rPr>
                <w:lang w:val="ro-RO"/>
              </w:rPr>
              <w:t>- autorizație universală multiplă eliberată de o țară terță tuturor statelor (pentru transportatorii autohtoni) – 35 euro.</w:t>
            </w:r>
          </w:p>
          <w:p w14:paraId="4C397D46" w14:textId="255C8E1F" w:rsidR="005C0F25" w:rsidRPr="009E4480" w:rsidRDefault="005C0F25" w:rsidP="00687C2B">
            <w:pPr>
              <w:ind w:firstLine="504"/>
              <w:jc w:val="both"/>
              <w:rPr>
                <w:lang w:val="ro-RO"/>
              </w:rPr>
            </w:pPr>
            <w:r w:rsidRPr="009E4480">
              <w:rPr>
                <w:lang w:val="ro-RO"/>
              </w:rPr>
              <w:t xml:space="preserve">Operatorii de transport rutier de marfă care efectuează transporturi internaționale se confruntă cu o problemă majoră ce ține de costul transportărilor. Prețul autorizațiilor de transport eliberate de ANTA este de cca 5-10 ori mai mare comparativ cu alte țări </w:t>
            </w:r>
            <w:r w:rsidRPr="009E4480">
              <w:rPr>
                <w:i/>
                <w:iCs/>
                <w:lang w:val="ro-RO"/>
              </w:rPr>
              <w:t>(România, Belarus, Federația Rusă etc.)</w:t>
            </w:r>
            <w:r w:rsidRPr="009E4480">
              <w:rPr>
                <w:lang w:val="ro-RO"/>
              </w:rPr>
              <w:t xml:space="preserve">. Aceasta la rândul său, duce la pierderea numărului de clienți, respectiv la micșorarea volumelor de transportare per ansamblu și la o concurență neloială. </w:t>
            </w:r>
          </w:p>
          <w:p w14:paraId="615C9F62" w14:textId="6AC4FB9F" w:rsidR="005C0F25" w:rsidRPr="009E4480" w:rsidRDefault="005C0F25" w:rsidP="00687C2B">
            <w:pPr>
              <w:ind w:firstLine="504"/>
              <w:jc w:val="both"/>
              <w:rPr>
                <w:bCs/>
                <w:lang w:val="ro-RO" w:eastAsia="ja-JP"/>
              </w:rPr>
            </w:pPr>
            <w:r w:rsidRPr="009E4480">
              <w:rPr>
                <w:bCs/>
                <w:lang w:val="ro-RO" w:eastAsia="ja-JP"/>
              </w:rPr>
              <w:lastRenderedPageBreak/>
              <w:t xml:space="preserve">Dacă e să facem o analiză a costurilor, putem observa o diferență de prețuri de cel puțin 30% mai mare față de costurile din țările vecine. Aceasta </w:t>
            </w:r>
            <w:r w:rsidR="00F342A1">
              <w:rPr>
                <w:bCs/>
                <w:lang w:val="ro-RO" w:eastAsia="ja-JP"/>
              </w:rPr>
              <w:t>respectiv</w:t>
            </w:r>
            <w:r w:rsidRPr="009E4480">
              <w:rPr>
                <w:bCs/>
                <w:lang w:val="ro-RO" w:eastAsia="ja-JP"/>
              </w:rPr>
              <w:t xml:space="preserve"> se reflectă negativ asupra competitivității operatorilor de transport rutier din Republica Moldova față de operatorii de transport rutier din țările vecine. </w:t>
            </w:r>
          </w:p>
          <w:p w14:paraId="395B573B" w14:textId="41C91A08" w:rsidR="005C0F25" w:rsidRPr="009E4480" w:rsidRDefault="005C0F25" w:rsidP="00687C2B">
            <w:pPr>
              <w:ind w:firstLine="504"/>
              <w:jc w:val="both"/>
              <w:rPr>
                <w:lang w:val="ro-RO"/>
              </w:rPr>
            </w:pPr>
            <w:r w:rsidRPr="009E4480">
              <w:rPr>
                <w:bCs/>
                <w:lang w:val="ro-RO" w:eastAsia="ja-JP"/>
              </w:rPr>
              <w:t xml:space="preserve">În acest context, se impune necesitatea </w:t>
            </w:r>
            <w:r w:rsidR="00F342A1">
              <w:rPr>
                <w:bCs/>
                <w:lang w:val="ro-RO" w:eastAsia="ja-JP"/>
              </w:rPr>
              <w:t>de a revedea</w:t>
            </w:r>
            <w:r w:rsidR="00F342A1" w:rsidRPr="009E4480">
              <w:rPr>
                <w:bCs/>
                <w:lang w:val="ro-RO" w:eastAsia="ja-JP"/>
              </w:rPr>
              <w:t xml:space="preserve"> </w:t>
            </w:r>
            <w:r w:rsidRPr="009E4480">
              <w:rPr>
                <w:bCs/>
                <w:lang w:val="ro-RO" w:eastAsia="ja-JP"/>
              </w:rPr>
              <w:t>situați</w:t>
            </w:r>
            <w:r w:rsidR="00F342A1">
              <w:rPr>
                <w:bCs/>
                <w:lang w:val="ro-RO" w:eastAsia="ja-JP"/>
              </w:rPr>
              <w:t>a</w:t>
            </w:r>
            <w:r w:rsidRPr="009E4480">
              <w:rPr>
                <w:bCs/>
                <w:lang w:val="ro-RO" w:eastAsia="ja-JP"/>
              </w:rPr>
              <w:t xml:space="preserve"> creat</w:t>
            </w:r>
            <w:r w:rsidR="00F342A1">
              <w:rPr>
                <w:bCs/>
                <w:lang w:val="ro-RO" w:eastAsia="ja-JP"/>
              </w:rPr>
              <w:t>ă</w:t>
            </w:r>
            <w:r w:rsidRPr="009E4480">
              <w:rPr>
                <w:bCs/>
                <w:lang w:val="ro-RO" w:eastAsia="ja-JP"/>
              </w:rPr>
              <w:t xml:space="preserve"> pentru a nu admite migrarea operatorilor de transport rutier din Republica Moldova spre alte țări sau excluderea acestora de pe această piață. </w:t>
            </w:r>
            <w:r w:rsidRPr="009E4480">
              <w:rPr>
                <w:lang w:val="ro-RO"/>
              </w:rPr>
              <w:t xml:space="preserve"> </w:t>
            </w:r>
          </w:p>
          <w:p w14:paraId="002E4A1B" w14:textId="0B316AE8" w:rsidR="005C0F25" w:rsidRPr="009E4480" w:rsidRDefault="005C0F25" w:rsidP="00687C2B">
            <w:pPr>
              <w:ind w:firstLine="504"/>
              <w:jc w:val="both"/>
              <w:rPr>
                <w:lang w:val="ro-RO"/>
              </w:rPr>
            </w:pPr>
            <w:r w:rsidRPr="009E4480">
              <w:rPr>
                <w:lang w:val="ro-RO"/>
              </w:rPr>
              <w:t xml:space="preserve">Mai mult ca atât, prețul actual al autorizațiilor de transport inevitabil duce la majorarea costului de transportare a mărfurilor. Astfel, operatorii de transport din alte țări efectuează aceleași transportări la un preț mult mai redus, </w:t>
            </w:r>
            <w:r w:rsidR="001243B3" w:rsidRPr="009E4480">
              <w:rPr>
                <w:lang w:val="ro-RO"/>
              </w:rPr>
              <w:t>ce</w:t>
            </w:r>
            <w:r w:rsidR="001243B3">
              <w:rPr>
                <w:lang w:val="ro-RO"/>
              </w:rPr>
              <w:t>e</w:t>
            </w:r>
            <w:r w:rsidR="001243B3" w:rsidRPr="009E4480">
              <w:rPr>
                <w:lang w:val="ro-RO"/>
              </w:rPr>
              <w:t>a</w:t>
            </w:r>
            <w:r w:rsidRPr="009E4480">
              <w:rPr>
                <w:lang w:val="ro-RO"/>
              </w:rPr>
              <w:t xml:space="preserve"> ce îi face pe transportatorii moldoveni absolut necompetitivi pe piața internațională. </w:t>
            </w:r>
          </w:p>
          <w:p w14:paraId="0ADD8EDB" w14:textId="6EA1B651" w:rsidR="005C0F25" w:rsidRPr="009E4480" w:rsidRDefault="005C0F25" w:rsidP="00687C2B">
            <w:pPr>
              <w:ind w:firstLine="504"/>
              <w:jc w:val="both"/>
              <w:rPr>
                <w:lang w:val="ro-RO"/>
              </w:rPr>
            </w:pPr>
            <w:r w:rsidRPr="009E4480">
              <w:rPr>
                <w:lang w:val="ro-RO"/>
              </w:rPr>
              <w:t xml:space="preserve">Efectuând o examinare a unităților de transport rutiere, putem constata că în transportul internațional de mărfuri sunt implicate cca 5000 unități de transport și cca 20000 angajați </w:t>
            </w:r>
            <w:r w:rsidRPr="009E4480">
              <w:rPr>
                <w:i/>
                <w:iCs/>
                <w:lang w:val="ro-RO"/>
              </w:rPr>
              <w:t>(manageri, conducători auto, personal auxiliar, deservirea tehnică etc.)</w:t>
            </w:r>
            <w:r w:rsidRPr="009E4480">
              <w:rPr>
                <w:lang w:val="ro-RO"/>
              </w:rPr>
              <w:t xml:space="preserve">. </w:t>
            </w:r>
          </w:p>
          <w:p w14:paraId="70BE1F01" w14:textId="4424DF26" w:rsidR="005C0F25" w:rsidRPr="009E4480" w:rsidRDefault="005C0F25" w:rsidP="00687C2B">
            <w:pPr>
              <w:ind w:firstLine="504"/>
              <w:jc w:val="both"/>
              <w:rPr>
                <w:lang w:val="ro-RO"/>
              </w:rPr>
            </w:pPr>
            <w:r w:rsidRPr="009E4480">
              <w:rPr>
                <w:lang w:val="ro-RO"/>
              </w:rPr>
              <w:t>Ca urmare a procesului de negocieri cu partenerii externi, pentru anul 2022 stocul total de autorizaţii unitare disponibile este de cca 100000 autorizații unitare, iar cota autorizațiilor multilaterale CEMT alocată Republicii Moldova de către FIT pentru anul 2022 constituie:</w:t>
            </w:r>
          </w:p>
          <w:p w14:paraId="48B86177" w14:textId="55919BAE" w:rsidR="005C0F25" w:rsidRPr="009E4480" w:rsidRDefault="005C0F25" w:rsidP="00687C2B">
            <w:pPr>
              <w:ind w:firstLine="504"/>
              <w:jc w:val="both"/>
              <w:rPr>
                <w:lang w:val="ro-RO"/>
              </w:rPr>
            </w:pPr>
            <w:r w:rsidRPr="009E4480">
              <w:rPr>
                <w:lang w:val="ro-RO"/>
              </w:rPr>
              <w:t>- 1120 autorizații CEMT pentru unitățile de transport ”EURO V sigur”, dintre care 110 autorizații pe termen scurt</w:t>
            </w:r>
            <w:r w:rsidR="00F342A1">
              <w:rPr>
                <w:lang w:val="ro-RO"/>
              </w:rPr>
              <w:t>;</w:t>
            </w:r>
          </w:p>
          <w:p w14:paraId="647FE360" w14:textId="77777777" w:rsidR="005C0F25" w:rsidRPr="009E4480" w:rsidRDefault="005C0F25" w:rsidP="00687C2B">
            <w:pPr>
              <w:ind w:firstLine="504"/>
              <w:jc w:val="both"/>
              <w:rPr>
                <w:lang w:val="ro-RO"/>
              </w:rPr>
            </w:pPr>
            <w:r w:rsidRPr="009E4480">
              <w:rPr>
                <w:lang w:val="ro-RO"/>
              </w:rPr>
              <w:t xml:space="preserve">- 456 autorizații CEMT anuale pentru unitățile de transport ”EURO VI sigur”, dintre care 36 autorizații pe termen scurt.  </w:t>
            </w:r>
          </w:p>
          <w:p w14:paraId="1942CF37" w14:textId="4E0E4B1C" w:rsidR="005C0F25" w:rsidRPr="009E4480" w:rsidRDefault="005C0F25" w:rsidP="00687C2B">
            <w:pPr>
              <w:ind w:firstLine="504"/>
              <w:jc w:val="both"/>
              <w:rPr>
                <w:lang w:val="ro-RO"/>
              </w:rPr>
            </w:pPr>
            <w:r w:rsidRPr="009E4480">
              <w:rPr>
                <w:lang w:val="ro-RO"/>
              </w:rPr>
              <w:t>În aceste condiții</w:t>
            </w:r>
            <w:r w:rsidR="00F342A1">
              <w:rPr>
                <w:lang w:val="ro-RO"/>
              </w:rPr>
              <w:t>,</w:t>
            </w:r>
            <w:r w:rsidRPr="009E4480">
              <w:rPr>
                <w:lang w:val="ro-RO"/>
              </w:rPr>
              <w:t xml:space="preserve"> costurile administrative anuale pentru operatorii de transport rutier se estimează la cca 52 </w:t>
            </w:r>
            <w:proofErr w:type="spellStart"/>
            <w:r w:rsidRPr="009E4480">
              <w:rPr>
                <w:lang w:val="ro-RO"/>
              </w:rPr>
              <w:t>mln</w:t>
            </w:r>
            <w:proofErr w:type="spellEnd"/>
            <w:r w:rsidRPr="009E4480">
              <w:rPr>
                <w:lang w:val="ro-RO"/>
              </w:rPr>
              <w:t>. lei.</w:t>
            </w:r>
          </w:p>
          <w:p w14:paraId="331435B1" w14:textId="18FC7C2D" w:rsidR="005C0F25" w:rsidRPr="009E4480" w:rsidRDefault="00095448" w:rsidP="00687C2B">
            <w:pPr>
              <w:ind w:firstLine="504"/>
              <w:jc w:val="both"/>
              <w:rPr>
                <w:lang w:val="ro-RO"/>
              </w:rPr>
            </w:pPr>
            <w:r>
              <w:rPr>
                <w:lang w:val="ro-RO"/>
              </w:rPr>
              <w:t>Suplimentar, în cazul unor state</w:t>
            </w:r>
            <w:r w:rsidR="005C0F25" w:rsidRPr="009E4480">
              <w:rPr>
                <w:lang w:val="ro-RO"/>
              </w:rPr>
              <w:t xml:space="preserve"> autorizațiile de transport rutier se eliberează gratuit, ceea ce conduce la o inechitate în activitatea acestora.</w:t>
            </w:r>
          </w:p>
          <w:p w14:paraId="295C906F" w14:textId="5CD5DF81" w:rsidR="005C0F25" w:rsidRPr="009E4480" w:rsidRDefault="005C0F25" w:rsidP="00687C2B">
            <w:pPr>
              <w:ind w:firstLine="504"/>
              <w:jc w:val="both"/>
              <w:rPr>
                <w:lang w:val="ro-RO"/>
              </w:rPr>
            </w:pPr>
            <w:r w:rsidRPr="009E4480">
              <w:rPr>
                <w:lang w:val="ro-RO"/>
              </w:rPr>
              <w:t>Astfel</w:t>
            </w:r>
            <w:r w:rsidR="0025636F">
              <w:rPr>
                <w:lang w:val="ro-RO"/>
              </w:rPr>
              <w:t>,</w:t>
            </w:r>
            <w:r w:rsidRPr="009E4480">
              <w:rPr>
                <w:lang w:val="ro-RO"/>
              </w:rPr>
              <w:t xml:space="preserve"> revizuirea prețului la aceste acte va permite operatorilor de transport rutier reducerea costurilor administrative și va reprezenta o măsură de susținere a activității acestora, va da un imbold pentru menținerea operatorilor de transport pe piața de transport din regiune.</w:t>
            </w:r>
          </w:p>
          <w:p w14:paraId="5F1DB097" w14:textId="15645667" w:rsidR="005C0F25" w:rsidRPr="009E4480" w:rsidRDefault="005C0F25" w:rsidP="00687C2B">
            <w:pPr>
              <w:ind w:firstLine="504"/>
              <w:jc w:val="both"/>
              <w:rPr>
                <w:lang w:val="ro-RO"/>
              </w:rPr>
            </w:pPr>
            <w:r w:rsidRPr="009E4480">
              <w:rPr>
                <w:lang w:val="ro-RO"/>
              </w:rPr>
              <w:t>Un alt aspect important pentru activitatea operatorilor de transport rutier este și calitatea parcului utilizat la prestarea acestor serviciilor. Menționăm că</w:t>
            </w:r>
            <w:r w:rsidR="0025636F">
              <w:rPr>
                <w:lang w:val="ro-RO"/>
              </w:rPr>
              <w:t>,</w:t>
            </w:r>
            <w:r w:rsidRPr="009E4480">
              <w:rPr>
                <w:lang w:val="ro-RO"/>
              </w:rPr>
              <w:t xml:space="preserve"> relațiile în domeniul transporturilor în trafic internațional sunt reglementate în conformitate cu prevederile acordurilor bilaterale și multilaterale la care Republica Moldova a aderat. În marea majoritate a acestora sunt incluse și restricții privind condițiile tehnice pe care trebuie să le respecte unitățile de transport, în special cerințe de siguranță și condiții de poluare a mediului.</w:t>
            </w:r>
          </w:p>
          <w:p w14:paraId="110C6886" w14:textId="77777777" w:rsidR="005C0F25" w:rsidRPr="009E4480" w:rsidRDefault="005C0F25" w:rsidP="00687C2B">
            <w:pPr>
              <w:ind w:firstLine="504"/>
              <w:jc w:val="both"/>
              <w:rPr>
                <w:lang w:val="ro-RO"/>
              </w:rPr>
            </w:pPr>
            <w:r w:rsidRPr="009E4480">
              <w:rPr>
                <w:lang w:val="ro-RO"/>
              </w:rPr>
              <w:t>Astfel, operatorii de transport rutier sunt obligați să renoveze periodic parcul de autovehicule pentru a putea fi admiși la prestarea acestor servicii.</w:t>
            </w:r>
          </w:p>
          <w:p w14:paraId="2412A417" w14:textId="3CF39699" w:rsidR="005C0F25" w:rsidRDefault="005C0F25" w:rsidP="00687C2B">
            <w:pPr>
              <w:ind w:firstLine="504"/>
              <w:jc w:val="both"/>
              <w:rPr>
                <w:lang w:val="ro-RO"/>
              </w:rPr>
            </w:pPr>
            <w:r w:rsidRPr="009E4480">
              <w:rPr>
                <w:lang w:val="ro-RO"/>
              </w:rPr>
              <w:t xml:space="preserve">Ca urmare a pandemiei pe parcursul anilor 2020-2021 și </w:t>
            </w:r>
            <w:r w:rsidR="0025636F">
              <w:rPr>
                <w:lang w:val="ro-RO"/>
              </w:rPr>
              <w:t xml:space="preserve">a </w:t>
            </w:r>
            <w:r w:rsidRPr="009E4480">
              <w:rPr>
                <w:lang w:val="ro-RO"/>
              </w:rPr>
              <w:t>restricţiilor impuse, majorării prețurilor la carburanți, iar mai recent și conflictul din Ucraina, operatorii de transport au fost în imposibilitate de a acumula rezervele necesare pentru renovarea parcului, resursele disponibile fiind utilizate pentru acoperirea cheltuielilor operaționale.</w:t>
            </w:r>
          </w:p>
          <w:p w14:paraId="084C2E30" w14:textId="67E537C8" w:rsidR="00606FDA" w:rsidRDefault="00606FDA" w:rsidP="00687C2B">
            <w:pPr>
              <w:ind w:firstLine="504"/>
              <w:jc w:val="both"/>
              <w:rPr>
                <w:lang w:val="ro-RO"/>
              </w:rPr>
            </w:pPr>
            <w:r>
              <w:rPr>
                <w:lang w:val="ro-RO"/>
              </w:rPr>
              <w:t>Conflictul din Ucraina, în special deteriorarea infrastructurii feroviare, a condus la migrarea principalelor lanțuri logistice</w:t>
            </w:r>
            <w:r w:rsidR="005608CD">
              <w:rPr>
                <w:lang w:val="ro-RO"/>
              </w:rPr>
              <w:t xml:space="preserve"> spre căile rutiere. Acest factor a dus la majorarea timpului efectiv de livrare a mărfurilor, dar și a redus din volumele transportate </w:t>
            </w:r>
            <w:r w:rsidR="005608CD" w:rsidRPr="005608CD">
              <w:rPr>
                <w:i/>
                <w:lang w:val="ro-RO"/>
              </w:rPr>
              <w:t>(datorită caracteristicilor tehnice ale parcului rulant)</w:t>
            </w:r>
            <w:r w:rsidR="005608CD">
              <w:rPr>
                <w:lang w:val="ro-RO"/>
              </w:rPr>
              <w:t>. În rezultat</w:t>
            </w:r>
            <w:r w:rsidR="0025636F">
              <w:rPr>
                <w:lang w:val="ro-RO"/>
              </w:rPr>
              <w:t>,</w:t>
            </w:r>
            <w:r w:rsidR="005608CD">
              <w:rPr>
                <w:lang w:val="ro-RO"/>
              </w:rPr>
              <w:t xml:space="preserve"> parcul auto disponibil la operatorii de transport rutier nu poate satisface cererea de pe piață.</w:t>
            </w:r>
          </w:p>
          <w:p w14:paraId="3B0483F2" w14:textId="4B3EC100" w:rsidR="00D96496" w:rsidRDefault="005608CD" w:rsidP="00687C2B">
            <w:pPr>
              <w:ind w:firstLine="504"/>
              <w:jc w:val="both"/>
              <w:rPr>
                <w:lang w:val="ro-RO"/>
              </w:rPr>
            </w:pPr>
            <w:r>
              <w:rPr>
                <w:lang w:val="ro-RO"/>
              </w:rPr>
              <w:t xml:space="preserve">Situația este acutizată și </w:t>
            </w:r>
            <w:r w:rsidR="0025636F">
              <w:rPr>
                <w:lang w:val="ro-RO"/>
              </w:rPr>
              <w:t xml:space="preserve">de </w:t>
            </w:r>
            <w:r>
              <w:rPr>
                <w:lang w:val="ro-RO"/>
              </w:rPr>
              <w:t>faptul că principalele categorii de mărfuri transportate sunt produsele alimentare, în special cereale</w:t>
            </w:r>
            <w:r w:rsidR="003A232F">
              <w:rPr>
                <w:lang w:val="ro-RO"/>
              </w:rPr>
              <w:t>,</w:t>
            </w:r>
            <w:r>
              <w:rPr>
                <w:lang w:val="ro-RO"/>
              </w:rPr>
              <w:t xml:space="preserve"> </w:t>
            </w:r>
            <w:r w:rsidR="0025636F">
              <w:rPr>
                <w:lang w:val="ro-RO"/>
              </w:rPr>
              <w:t>f</w:t>
            </w:r>
            <w:r>
              <w:rPr>
                <w:lang w:val="ro-RO"/>
              </w:rPr>
              <w:t xml:space="preserve">actor care influențează în mod direct securitatea alimentară atît a Republicii Moldova, cît și </w:t>
            </w:r>
            <w:r w:rsidR="00CD4639">
              <w:rPr>
                <w:lang w:val="ro-RO"/>
              </w:rPr>
              <w:t xml:space="preserve">a </w:t>
            </w:r>
            <w:r>
              <w:rPr>
                <w:lang w:val="ro-RO"/>
              </w:rPr>
              <w:t>întregii Europe</w:t>
            </w:r>
            <w:r w:rsidR="00CD4639">
              <w:rPr>
                <w:lang w:val="ro-RO"/>
              </w:rPr>
              <w:t>.</w:t>
            </w:r>
            <w:r w:rsidR="00D96496">
              <w:rPr>
                <w:lang w:val="ro-RO"/>
              </w:rPr>
              <w:t xml:space="preserve"> </w:t>
            </w:r>
          </w:p>
          <w:p w14:paraId="0EBBE234" w14:textId="65DEEDA5" w:rsidR="005608CD" w:rsidRPr="009E4480" w:rsidRDefault="005A3F21" w:rsidP="00687C2B">
            <w:pPr>
              <w:ind w:firstLine="504"/>
              <w:jc w:val="both"/>
              <w:rPr>
                <w:lang w:val="ro-RO"/>
              </w:rPr>
            </w:pPr>
            <w:r>
              <w:rPr>
                <w:lang w:val="ro-RO"/>
              </w:rPr>
              <w:t>Drept dovadă a i</w:t>
            </w:r>
            <w:r w:rsidR="00D96496">
              <w:rPr>
                <w:lang w:val="ro-RO"/>
              </w:rPr>
              <w:t>mportanț</w:t>
            </w:r>
            <w:r>
              <w:rPr>
                <w:lang w:val="ro-RO"/>
              </w:rPr>
              <w:t>ei</w:t>
            </w:r>
            <w:r w:rsidR="00D96496">
              <w:rPr>
                <w:lang w:val="ro-RO"/>
              </w:rPr>
              <w:t xml:space="preserve"> </w:t>
            </w:r>
            <w:r w:rsidR="009E44EE">
              <w:rPr>
                <w:lang w:val="ro-RO"/>
              </w:rPr>
              <w:t>acestui domeniu este și deschiderea de care dă dovadă Uniunea Europeană, prin inițierea dialogului privind liberalizarea transporturilor, precum și disponibilitatea de a p</w:t>
            </w:r>
            <w:r w:rsidR="00650701">
              <w:rPr>
                <w:lang w:val="ro-RO"/>
              </w:rPr>
              <w:t>articipa activ în eficientizarea transporturilor și dezvoltarea coridoarelor de transport.</w:t>
            </w:r>
            <w:r w:rsidR="00D96496">
              <w:rPr>
                <w:lang w:val="ro-RO"/>
              </w:rPr>
              <w:t xml:space="preserve"> </w:t>
            </w:r>
            <w:r w:rsidR="005608CD">
              <w:rPr>
                <w:lang w:val="ro-RO"/>
              </w:rPr>
              <w:t xml:space="preserve"> </w:t>
            </w:r>
          </w:p>
          <w:p w14:paraId="7A2DBDCD" w14:textId="77777777" w:rsidR="005C0F25" w:rsidRPr="009E4480" w:rsidRDefault="005C0F25" w:rsidP="00687C2B">
            <w:pPr>
              <w:ind w:firstLine="504"/>
              <w:jc w:val="both"/>
              <w:rPr>
                <w:lang w:val="ro-RO"/>
              </w:rPr>
            </w:pPr>
            <w:r w:rsidRPr="009E4480">
              <w:rPr>
                <w:lang w:val="ro-RO"/>
              </w:rPr>
              <w:lastRenderedPageBreak/>
              <w:t>O situație similară este înregistrată și în cazul operatorilor de transport rutier care deservesc servicii regulate, unde tarifele sunt reglementate, iar posibilitățile de reînnoire a parcului sunt reduse.</w:t>
            </w:r>
          </w:p>
          <w:p w14:paraId="47D74B32" w14:textId="417EFC02" w:rsidR="005C0F25" w:rsidRPr="009E4480" w:rsidRDefault="005C0F25" w:rsidP="00687C2B">
            <w:pPr>
              <w:ind w:firstLine="504"/>
              <w:jc w:val="both"/>
              <w:rPr>
                <w:lang w:val="ro-RO"/>
              </w:rPr>
            </w:pPr>
            <w:r w:rsidRPr="009E4480">
              <w:rPr>
                <w:lang w:val="ro-RO"/>
              </w:rPr>
              <w:t>În aceste condiții</w:t>
            </w:r>
            <w:r w:rsidR="0025636F">
              <w:rPr>
                <w:lang w:val="ro-RO"/>
              </w:rPr>
              <w:t>,</w:t>
            </w:r>
            <w:r w:rsidRPr="009E4480">
              <w:rPr>
                <w:lang w:val="ro-RO"/>
              </w:rPr>
              <w:t xml:space="preserve"> luînd în considerare că la importul unităților de transport sunt achitate accize sau taxe vamale</w:t>
            </w:r>
            <w:r w:rsidR="0025636F">
              <w:rPr>
                <w:lang w:val="ro-RO"/>
              </w:rPr>
              <w:t>,</w:t>
            </w:r>
            <w:r w:rsidRPr="009E4480">
              <w:rPr>
                <w:lang w:val="ro-RO"/>
              </w:rPr>
              <w:t xml:space="preserve"> care constituie cca 10-20% din prețul de cumpărare a unității de transport, eliminarea acestora sau reducerea acestora ar putea stimula reînnoirea parcului auto, precum și spori competitivitatea acestora pe piața regională.  </w:t>
            </w:r>
          </w:p>
          <w:p w14:paraId="106D2DF6" w14:textId="2D23DC0C" w:rsidR="005C0F25" w:rsidRPr="009E4480" w:rsidRDefault="005C0F25" w:rsidP="00687C2B">
            <w:pPr>
              <w:ind w:firstLine="504"/>
              <w:jc w:val="both"/>
              <w:rPr>
                <w:lang w:val="ro-RO"/>
              </w:rPr>
            </w:pPr>
            <w:r w:rsidRPr="009E4480">
              <w:rPr>
                <w:lang w:val="ro-RO"/>
              </w:rPr>
              <w:t>Ca urmare a problemelor identificate pentru suportul operatorilor de transport rutier sunt  necesare măsuri de susținere</w:t>
            </w:r>
            <w:r w:rsidR="002A0093">
              <w:rPr>
                <w:lang w:val="ro-RO"/>
              </w:rPr>
              <w:t>,</w:t>
            </w:r>
            <w:r w:rsidRPr="009E4480">
              <w:rPr>
                <w:lang w:val="ro-RO"/>
              </w:rPr>
              <w:t xml:space="preserve"> care vor avea un impact minor asupra bugetului de stat, dar vor permite reducerea costurilor operaționale ale acestora.</w:t>
            </w:r>
          </w:p>
        </w:tc>
      </w:tr>
      <w:tr w:rsidR="00A46C6E" w:rsidRPr="009E4480" w14:paraId="6CB6C311" w14:textId="77777777" w:rsidTr="009E4480">
        <w:tc>
          <w:tcPr>
            <w:tcW w:w="10065" w:type="dxa"/>
          </w:tcPr>
          <w:p w14:paraId="1032175B" w14:textId="6E9DF695" w:rsidR="00A46C6E" w:rsidRPr="009E4480" w:rsidRDefault="00A46C6E" w:rsidP="00A46C6E">
            <w:pPr>
              <w:ind w:firstLine="596"/>
              <w:jc w:val="both"/>
              <w:rPr>
                <w:b/>
                <w:lang w:val="ro-RO"/>
              </w:rPr>
            </w:pPr>
            <w:r w:rsidRPr="009E4480">
              <w:rPr>
                <w:b/>
                <w:lang w:val="ro-RO"/>
              </w:rPr>
              <w:lastRenderedPageBreak/>
              <w:t xml:space="preserve">3. Descrierea gradului de compatibilitate pentru proiectele care au ca scop armonizarea legislației naționale cu legislația Uniunii Europene </w:t>
            </w:r>
          </w:p>
        </w:tc>
      </w:tr>
      <w:tr w:rsidR="00A46C6E" w:rsidRPr="009E4480" w14:paraId="741E0AB8" w14:textId="77777777" w:rsidTr="009E4480">
        <w:tc>
          <w:tcPr>
            <w:tcW w:w="10065" w:type="dxa"/>
          </w:tcPr>
          <w:p w14:paraId="00EBE0DC" w14:textId="1524A124" w:rsidR="00A46C6E" w:rsidRPr="009E4480" w:rsidRDefault="00F703C9">
            <w:pPr>
              <w:ind w:firstLine="596"/>
              <w:jc w:val="both"/>
              <w:rPr>
                <w:bCs/>
                <w:lang w:val="ro-RO"/>
              </w:rPr>
            </w:pPr>
            <w:r w:rsidRPr="009E4480">
              <w:rPr>
                <w:bCs/>
                <w:lang w:val="ro-RO"/>
              </w:rPr>
              <w:t xml:space="preserve">Proiectul de </w:t>
            </w:r>
            <w:r w:rsidR="002A0093">
              <w:rPr>
                <w:bCs/>
                <w:lang w:val="ro-RO"/>
              </w:rPr>
              <w:t>lege</w:t>
            </w:r>
            <w:r w:rsidR="002A0093" w:rsidRPr="009E4480">
              <w:rPr>
                <w:bCs/>
                <w:lang w:val="ro-RO"/>
              </w:rPr>
              <w:t xml:space="preserve"> </w:t>
            </w:r>
            <w:r w:rsidRPr="009E4480">
              <w:rPr>
                <w:bCs/>
                <w:lang w:val="ro-RO"/>
              </w:rPr>
              <w:t xml:space="preserve">nu </w:t>
            </w:r>
            <w:r w:rsidR="000A0589" w:rsidRPr="009E4480">
              <w:rPr>
                <w:bCs/>
                <w:lang w:val="ro-RO"/>
              </w:rPr>
              <w:t>conține</w:t>
            </w:r>
            <w:r w:rsidRPr="009E4480">
              <w:rPr>
                <w:bCs/>
                <w:lang w:val="ro-RO"/>
              </w:rPr>
              <w:t xml:space="preserve"> norme privind armonizarea legislaţiei naţionale cu acquis-</w:t>
            </w:r>
            <w:proofErr w:type="spellStart"/>
            <w:r w:rsidRPr="009E4480">
              <w:rPr>
                <w:bCs/>
                <w:lang w:val="ro-RO"/>
              </w:rPr>
              <w:t>ul</w:t>
            </w:r>
            <w:proofErr w:type="spellEnd"/>
            <w:r w:rsidRPr="009E4480">
              <w:rPr>
                <w:bCs/>
                <w:lang w:val="ro-RO"/>
              </w:rPr>
              <w:t xml:space="preserve"> comunitar.</w:t>
            </w:r>
          </w:p>
        </w:tc>
      </w:tr>
      <w:tr w:rsidR="00A46C6E" w:rsidRPr="009E4480" w14:paraId="24CBDEB9" w14:textId="77777777" w:rsidTr="009E4480">
        <w:tc>
          <w:tcPr>
            <w:tcW w:w="10065" w:type="dxa"/>
          </w:tcPr>
          <w:p w14:paraId="4E76208F" w14:textId="08302C40" w:rsidR="00A46C6E" w:rsidRPr="009E4480" w:rsidRDefault="00A46C6E" w:rsidP="00A46C6E">
            <w:pPr>
              <w:ind w:firstLine="596"/>
              <w:jc w:val="both"/>
              <w:rPr>
                <w:b/>
                <w:lang w:val="ro-RO"/>
              </w:rPr>
            </w:pPr>
            <w:r w:rsidRPr="009E4480">
              <w:rPr>
                <w:b/>
                <w:lang w:val="ro-RO"/>
              </w:rPr>
              <w:t>4. Principalele prevederi ale proiectului şi evidențierea elementelor noi</w:t>
            </w:r>
          </w:p>
        </w:tc>
      </w:tr>
      <w:tr w:rsidR="00A46C6E" w:rsidRPr="009E4480" w14:paraId="4FAAAA03" w14:textId="77777777" w:rsidTr="009E4480">
        <w:tc>
          <w:tcPr>
            <w:tcW w:w="10065" w:type="dxa"/>
          </w:tcPr>
          <w:p w14:paraId="354D7BA1" w14:textId="319E9B54" w:rsidR="005C0F25" w:rsidRPr="009E4480" w:rsidRDefault="005C0F25" w:rsidP="005C0F25">
            <w:pPr>
              <w:ind w:firstLine="504"/>
              <w:rPr>
                <w:bCs/>
                <w:lang w:val="ro-RO"/>
              </w:rPr>
            </w:pPr>
            <w:r w:rsidRPr="009E4480">
              <w:rPr>
                <w:bCs/>
                <w:lang w:val="ro-RO"/>
              </w:rPr>
              <w:t>Ca urmare a examinării situației curente au fost identificate două măsuri de susținere a activității operatorilor de transport rutier</w:t>
            </w:r>
            <w:r w:rsidR="002A0093">
              <w:rPr>
                <w:bCs/>
                <w:lang w:val="ro-RO"/>
              </w:rPr>
              <w:t>,</w:t>
            </w:r>
            <w:r w:rsidRPr="009E4480">
              <w:rPr>
                <w:bCs/>
                <w:lang w:val="ro-RO"/>
              </w:rPr>
              <w:t xml:space="preserve"> și anume:</w:t>
            </w:r>
          </w:p>
          <w:p w14:paraId="788C91A6" w14:textId="3946A3CA" w:rsidR="005C0F25" w:rsidRPr="009E4480" w:rsidRDefault="005C0F25" w:rsidP="005C0F25">
            <w:pPr>
              <w:numPr>
                <w:ilvl w:val="0"/>
                <w:numId w:val="2"/>
              </w:numPr>
              <w:ind w:firstLine="504"/>
              <w:jc w:val="both"/>
              <w:rPr>
                <w:bCs/>
                <w:lang w:val="ro-RO"/>
              </w:rPr>
            </w:pPr>
            <w:r w:rsidRPr="009E4480">
              <w:rPr>
                <w:bCs/>
                <w:lang w:val="ro-RO"/>
              </w:rPr>
              <w:t>ajustarea prețului la actele permisive eliberate operatorilor de transport rutier</w:t>
            </w:r>
            <w:r w:rsidR="002A0093">
              <w:rPr>
                <w:bCs/>
                <w:lang w:val="ro-RO"/>
              </w:rPr>
              <w:t>;</w:t>
            </w:r>
          </w:p>
          <w:p w14:paraId="43BC760E" w14:textId="77777777" w:rsidR="005C0F25" w:rsidRPr="009E4480" w:rsidRDefault="005C0F25" w:rsidP="005C0F25">
            <w:pPr>
              <w:numPr>
                <w:ilvl w:val="0"/>
                <w:numId w:val="2"/>
              </w:numPr>
              <w:ind w:firstLine="504"/>
              <w:jc w:val="both"/>
              <w:rPr>
                <w:bCs/>
                <w:lang w:val="ro-RO"/>
              </w:rPr>
            </w:pPr>
            <w:r w:rsidRPr="009E4480">
              <w:rPr>
                <w:bCs/>
                <w:lang w:val="ro-RO"/>
              </w:rPr>
              <w:t>extinderea categoriilor de vehicule și majorarea vîrstei pentru unitățile de transport scutite de plata taxelor vamale.</w:t>
            </w:r>
          </w:p>
          <w:p w14:paraId="3009CE87" w14:textId="7D4061BC" w:rsidR="005C0F25" w:rsidRPr="009E4480" w:rsidRDefault="005C0F25" w:rsidP="005C0F25">
            <w:pPr>
              <w:numPr>
                <w:ilvl w:val="0"/>
                <w:numId w:val="3"/>
              </w:numPr>
              <w:ind w:left="0" w:firstLine="645"/>
              <w:jc w:val="both"/>
              <w:rPr>
                <w:lang w:val="ro-RO"/>
              </w:rPr>
            </w:pPr>
            <w:r w:rsidRPr="009E4480">
              <w:rPr>
                <w:lang w:val="ro-RO"/>
              </w:rPr>
              <w:t xml:space="preserve">Prețul autorizațiilor de transport rutier este reglementat în compartimentul II din </w:t>
            </w:r>
            <w:r w:rsidR="002A0093">
              <w:rPr>
                <w:lang w:val="ro-RO"/>
              </w:rPr>
              <w:t>A</w:t>
            </w:r>
            <w:r w:rsidRPr="009E4480">
              <w:rPr>
                <w:lang w:val="ro-RO"/>
              </w:rPr>
              <w:t>nexa nr. 1 la Legea privind reglementarea prin autorizare a activităţii de întreprinzător nr. 160/2011 și Anexa nr. 3 la Legea fondului rutier nr. 720/1996.</w:t>
            </w:r>
          </w:p>
          <w:p w14:paraId="0344E9E9" w14:textId="4BA2D0EC" w:rsidR="005C0F25" w:rsidRPr="009E4480" w:rsidRDefault="005C0F25" w:rsidP="00D1256E">
            <w:pPr>
              <w:ind w:firstLine="504"/>
              <w:jc w:val="both"/>
              <w:rPr>
                <w:lang w:val="ro-RO"/>
              </w:rPr>
            </w:pPr>
            <w:r w:rsidRPr="009E4480">
              <w:rPr>
                <w:lang w:val="ro-RO"/>
              </w:rPr>
              <w:t>Proiectul urmează să uniformizeze costurile pentru autorizații</w:t>
            </w:r>
            <w:r w:rsidR="002A0093">
              <w:rPr>
                <w:lang w:val="ro-RO"/>
              </w:rPr>
              <w:t>,</w:t>
            </w:r>
            <w:r w:rsidRPr="009E4480">
              <w:rPr>
                <w:lang w:val="ro-RO"/>
              </w:rPr>
              <w:t xml:space="preserve"> fiind stabilită doar o singură grilă de prețuri pentru toate autorizațiile unitare, iar prețurile stabilite urmează să fie ajustate la nivelul prețurilor regionale. </w:t>
            </w:r>
          </w:p>
          <w:p w14:paraId="05CE5375" w14:textId="4035C121" w:rsidR="005C0F25" w:rsidRPr="009E4480" w:rsidRDefault="005C0F25" w:rsidP="005C0F25">
            <w:pPr>
              <w:ind w:firstLine="504"/>
              <w:rPr>
                <w:lang w:val="ro-RO"/>
              </w:rPr>
            </w:pPr>
            <w:r w:rsidRPr="009E4480">
              <w:rPr>
                <w:lang w:val="ro-RO"/>
              </w:rPr>
              <w:t>În acest sens</w:t>
            </w:r>
            <w:r w:rsidR="002A0093">
              <w:rPr>
                <w:lang w:val="ro-RO"/>
              </w:rPr>
              <w:t>,</w:t>
            </w:r>
            <w:r w:rsidRPr="009E4480">
              <w:rPr>
                <w:lang w:val="ro-RO"/>
              </w:rPr>
              <w:t xml:space="preserve"> se propune stabilirea următoarelor prețuri:</w:t>
            </w:r>
          </w:p>
          <w:p w14:paraId="576471BE" w14:textId="29F259C4" w:rsidR="005C0F25" w:rsidRPr="009E4480" w:rsidRDefault="005C0F25" w:rsidP="005C0F25">
            <w:pPr>
              <w:numPr>
                <w:ilvl w:val="0"/>
                <w:numId w:val="2"/>
              </w:numPr>
              <w:jc w:val="both"/>
              <w:rPr>
                <w:lang w:val="ro-RO"/>
              </w:rPr>
            </w:pPr>
            <w:r w:rsidRPr="009E4480">
              <w:rPr>
                <w:lang w:val="ro-RO"/>
              </w:rPr>
              <w:t>150 euro - autorizaţie multilaterală CEMT anuală, cu carnet de drum;</w:t>
            </w:r>
          </w:p>
          <w:p w14:paraId="436C665F" w14:textId="516A8068" w:rsidR="005C0F25" w:rsidRPr="009E4480" w:rsidRDefault="005C0F25" w:rsidP="005C0F25">
            <w:pPr>
              <w:numPr>
                <w:ilvl w:val="0"/>
                <w:numId w:val="2"/>
              </w:numPr>
              <w:jc w:val="both"/>
              <w:rPr>
                <w:lang w:val="ro-RO"/>
              </w:rPr>
            </w:pPr>
            <w:r w:rsidRPr="009E4480">
              <w:rPr>
                <w:lang w:val="ro-RO"/>
              </w:rPr>
              <w:t>40 euro - autorizaţie multilaterală CEMT pe termen scurt, cu carnet de drum;</w:t>
            </w:r>
          </w:p>
          <w:p w14:paraId="30A02BB2" w14:textId="77777777" w:rsidR="005C0F25" w:rsidRPr="009E4480" w:rsidRDefault="005C0F25" w:rsidP="005C0F25">
            <w:pPr>
              <w:numPr>
                <w:ilvl w:val="0"/>
                <w:numId w:val="2"/>
              </w:numPr>
              <w:jc w:val="both"/>
              <w:rPr>
                <w:lang w:val="ro-RO"/>
              </w:rPr>
            </w:pPr>
            <w:r w:rsidRPr="009E4480">
              <w:rPr>
                <w:lang w:val="ro-RO"/>
              </w:rPr>
              <w:t>5 euro - autorizaţie pentru transporturi rutiere internaţionale de mărfuri.</w:t>
            </w:r>
          </w:p>
          <w:p w14:paraId="0BB915B2" w14:textId="3029FD22" w:rsidR="005C0F25" w:rsidRPr="009E4480" w:rsidRDefault="005C0F25" w:rsidP="00D1256E">
            <w:pPr>
              <w:ind w:firstLine="504"/>
              <w:jc w:val="both"/>
              <w:rPr>
                <w:bCs/>
                <w:lang w:val="ro-RO"/>
              </w:rPr>
            </w:pPr>
            <w:r w:rsidRPr="009E4480">
              <w:rPr>
                <w:bCs/>
                <w:lang w:val="ro-RO"/>
              </w:rPr>
              <w:t>Astfel</w:t>
            </w:r>
            <w:r w:rsidR="002A0093">
              <w:rPr>
                <w:bCs/>
                <w:lang w:val="ro-RO"/>
              </w:rPr>
              <w:t>,</w:t>
            </w:r>
            <w:r w:rsidRPr="009E4480">
              <w:rPr>
                <w:bCs/>
                <w:lang w:val="ro-RO"/>
              </w:rPr>
              <w:t xml:space="preserve"> urmează a fi modificate prevederile legilor prenotate pentru </w:t>
            </w:r>
            <w:r w:rsidR="002A0093">
              <w:rPr>
                <w:bCs/>
                <w:lang w:val="ro-RO"/>
              </w:rPr>
              <w:t xml:space="preserve">a </w:t>
            </w:r>
            <w:r w:rsidRPr="009E4480">
              <w:rPr>
                <w:bCs/>
                <w:lang w:val="ro-RO"/>
              </w:rPr>
              <w:t>reduce prețul actelor permisive. Această modificare va permite reducerea poverii administrative și va spori competitivitatea operatorilor de transport, în special pe plan regional.</w:t>
            </w:r>
          </w:p>
          <w:p w14:paraId="568212D2" w14:textId="237DB274" w:rsidR="005C0F25" w:rsidRPr="009E4480" w:rsidRDefault="005C0F25" w:rsidP="005C0F25">
            <w:pPr>
              <w:numPr>
                <w:ilvl w:val="0"/>
                <w:numId w:val="3"/>
              </w:numPr>
              <w:ind w:left="0" w:firstLine="504"/>
              <w:jc w:val="both"/>
              <w:rPr>
                <w:bCs/>
                <w:lang w:val="ro-RO"/>
              </w:rPr>
            </w:pPr>
            <w:r w:rsidRPr="009E4480">
              <w:rPr>
                <w:bCs/>
                <w:lang w:val="ro-RO"/>
              </w:rPr>
              <w:t>Importul vehiculelor, taxele vamale achitate și scutirile acordate sunt reglementate în conformitate cu prevederile Legii nr. 172</w:t>
            </w:r>
            <w:r w:rsidR="001243B3">
              <w:rPr>
                <w:bCs/>
                <w:lang w:val="ro-RO"/>
              </w:rPr>
              <w:t>/</w:t>
            </w:r>
            <w:r w:rsidRPr="009E4480">
              <w:rPr>
                <w:bCs/>
                <w:lang w:val="ro-RO"/>
              </w:rPr>
              <w:t>2014 privind aprobarea Nomenclaturii combinate a mărfurilor.</w:t>
            </w:r>
          </w:p>
          <w:p w14:paraId="5718F53A" w14:textId="77777777" w:rsidR="005C0F25" w:rsidRPr="009E4480" w:rsidRDefault="005C0F25" w:rsidP="00D1256E">
            <w:pPr>
              <w:ind w:firstLine="504"/>
              <w:jc w:val="both"/>
              <w:rPr>
                <w:bCs/>
                <w:lang w:val="ro-RO"/>
              </w:rPr>
            </w:pPr>
            <w:r w:rsidRPr="009E4480">
              <w:rPr>
                <w:bCs/>
                <w:lang w:val="ro-RO"/>
              </w:rPr>
              <w:t xml:space="preserve">Pct. 7 al Regulilor generale de aplicare a taxei vamale din Nomenclatura combinată a mărfurilor stabilește cazurile cînd taxele vamale nu se percep și pentru ce poziții tarifare acestea se aplică. </w:t>
            </w:r>
          </w:p>
          <w:p w14:paraId="7384A455" w14:textId="77777777" w:rsidR="005C0F25" w:rsidRPr="009E4480" w:rsidRDefault="005C0F25" w:rsidP="005C0F25">
            <w:pPr>
              <w:ind w:firstLine="504"/>
              <w:rPr>
                <w:bCs/>
                <w:lang w:val="ro-RO"/>
              </w:rPr>
            </w:pPr>
            <w:r w:rsidRPr="009E4480">
              <w:rPr>
                <w:bCs/>
                <w:lang w:val="ro-RO"/>
              </w:rPr>
              <w:t>În acest context se propune:</w:t>
            </w:r>
          </w:p>
          <w:p w14:paraId="42A15128" w14:textId="77777777" w:rsidR="005C0F25" w:rsidRPr="009E4480" w:rsidRDefault="005C0F25" w:rsidP="00D1256E">
            <w:pPr>
              <w:ind w:firstLine="504"/>
              <w:rPr>
                <w:bCs/>
                <w:lang w:val="ro-RO"/>
              </w:rPr>
            </w:pPr>
            <w:r w:rsidRPr="009E4480">
              <w:rPr>
                <w:bCs/>
                <w:lang w:val="ro-RO"/>
              </w:rPr>
              <w:t>- extinderea listei pozițiilor tarifare față de care se aplică aceste prevederi, prin completarea acesteia cu poziția tarifară 870120;</w:t>
            </w:r>
          </w:p>
          <w:p w14:paraId="41B3442C" w14:textId="77777777" w:rsidR="005C0F25" w:rsidRPr="009E4480" w:rsidRDefault="005C0F25" w:rsidP="00D1256E">
            <w:pPr>
              <w:ind w:firstLine="504"/>
              <w:jc w:val="both"/>
              <w:rPr>
                <w:bCs/>
                <w:lang w:val="ro-RO"/>
              </w:rPr>
            </w:pPr>
            <w:r w:rsidRPr="009E4480">
              <w:rPr>
                <w:bCs/>
                <w:lang w:val="ro-RO"/>
              </w:rPr>
              <w:t>- extinderea termenului de exploatare pînă la 10</w:t>
            </w:r>
            <w:r w:rsidR="0000425C">
              <w:rPr>
                <w:bCs/>
                <w:lang w:val="ro-RO"/>
              </w:rPr>
              <w:t xml:space="preserve"> ani inclusiv,</w:t>
            </w:r>
            <w:r w:rsidRPr="009E4480">
              <w:rPr>
                <w:bCs/>
                <w:lang w:val="ro-RO"/>
              </w:rPr>
              <w:t xml:space="preserve"> pentru vehiculele specificate la poziția tarifară 8702 </w:t>
            </w:r>
            <w:r w:rsidRPr="009E4480">
              <w:rPr>
                <w:bCs/>
                <w:i/>
                <w:lang w:val="ro-RO"/>
              </w:rPr>
              <w:t>(Autovehicule pentru transportul de minimum 10 persoane, inclusiv șoferul)</w:t>
            </w:r>
            <w:r w:rsidRPr="009E4480">
              <w:rPr>
                <w:bCs/>
                <w:lang w:val="ro-RO"/>
              </w:rPr>
              <w:t>.</w:t>
            </w:r>
          </w:p>
          <w:p w14:paraId="154B2141" w14:textId="77777777" w:rsidR="005C0F25" w:rsidRPr="009E4480" w:rsidRDefault="005C0F25" w:rsidP="00D1256E">
            <w:pPr>
              <w:jc w:val="both"/>
              <w:rPr>
                <w:bCs/>
                <w:lang w:val="ro-RO"/>
              </w:rPr>
            </w:pPr>
            <w:r w:rsidRPr="009E4480">
              <w:rPr>
                <w:bCs/>
                <w:lang w:val="ro-RO"/>
              </w:rPr>
              <w:t xml:space="preserve">Prevederile propuse vor extinde scutirile acordate și pentru tractoarele rutiere pentru semiremorci, iar în cazul autocarelor se va majora vîrsta de import. </w:t>
            </w:r>
          </w:p>
          <w:p w14:paraId="680DF5B8" w14:textId="77777777" w:rsidR="005C0F25" w:rsidRDefault="005C0F25" w:rsidP="005C0F25">
            <w:pPr>
              <w:ind w:firstLine="589"/>
              <w:jc w:val="both"/>
              <w:rPr>
                <w:bCs/>
                <w:lang w:val="ro-RO"/>
              </w:rPr>
            </w:pPr>
            <w:r w:rsidRPr="009E4480">
              <w:rPr>
                <w:bCs/>
                <w:lang w:val="ro-RO"/>
              </w:rPr>
              <w:t>Modificările au ca scop crearea unor condiții mai avantajoase pentru operatorii de transport rutier pentru reînnoirea treptată a parcului de unități de transport.</w:t>
            </w:r>
          </w:p>
          <w:p w14:paraId="067B9FB6" w14:textId="7A988B34" w:rsidR="00356AD8" w:rsidRPr="009E4480" w:rsidRDefault="00356AD8" w:rsidP="005C0F25">
            <w:pPr>
              <w:ind w:firstLine="589"/>
              <w:jc w:val="both"/>
              <w:rPr>
                <w:lang w:val="ro-RO"/>
              </w:rPr>
            </w:pPr>
            <w:r w:rsidRPr="00AF6378">
              <w:rPr>
                <w:lang w:val="ro-RO"/>
              </w:rPr>
              <w:t>Acest factor va stimula creșterea competitivității pe plan regional în cazul transporturilor de mărfuri, precum și sporirea siguranței rutiere și gradului de confort în cazul transportului rutier de persoane prin servicii regulate, inclusiv reduce gradul de poluare.</w:t>
            </w:r>
          </w:p>
        </w:tc>
      </w:tr>
      <w:tr w:rsidR="00A46C6E" w:rsidRPr="009E4480" w14:paraId="2733F849" w14:textId="77777777" w:rsidTr="009E4480">
        <w:tc>
          <w:tcPr>
            <w:tcW w:w="10065" w:type="dxa"/>
          </w:tcPr>
          <w:p w14:paraId="49504355" w14:textId="57F31A13" w:rsidR="00A46C6E" w:rsidRPr="009E4480" w:rsidRDefault="00A46C6E" w:rsidP="00A46C6E">
            <w:pPr>
              <w:ind w:firstLine="596"/>
              <w:jc w:val="both"/>
              <w:rPr>
                <w:b/>
                <w:lang w:val="ro-RO"/>
              </w:rPr>
            </w:pPr>
            <w:r w:rsidRPr="009E4480">
              <w:rPr>
                <w:rFonts w:eastAsia="Calibri"/>
                <w:b/>
                <w:lang w:val="ro-RO"/>
              </w:rPr>
              <w:t>5. Fundamentarea economico-financiară</w:t>
            </w:r>
          </w:p>
        </w:tc>
      </w:tr>
      <w:tr w:rsidR="00A46C6E" w:rsidRPr="009E4480" w14:paraId="0B98CCCA" w14:textId="77777777" w:rsidTr="009E4480">
        <w:tc>
          <w:tcPr>
            <w:tcW w:w="10065" w:type="dxa"/>
          </w:tcPr>
          <w:p w14:paraId="2F24C231" w14:textId="6B0A94FC" w:rsidR="00687C2B" w:rsidRPr="009E4480" w:rsidRDefault="009E4480" w:rsidP="009E4480">
            <w:pPr>
              <w:ind w:firstLine="602"/>
              <w:jc w:val="both"/>
              <w:rPr>
                <w:lang w:val="ro-RO"/>
              </w:rPr>
            </w:pPr>
            <w:r w:rsidRPr="009E4480">
              <w:rPr>
                <w:lang w:val="ro-RO"/>
              </w:rPr>
              <w:t>P</w:t>
            </w:r>
            <w:r w:rsidR="00687C2B" w:rsidRPr="009E4480">
              <w:rPr>
                <w:lang w:val="ro-RO"/>
              </w:rPr>
              <w:t xml:space="preserve">entru evaluarea costului intervenției a fost </w:t>
            </w:r>
            <w:r w:rsidR="00127312">
              <w:rPr>
                <w:lang w:val="ro-RO"/>
              </w:rPr>
              <w:t>utilizată</w:t>
            </w:r>
            <w:r w:rsidR="00127312" w:rsidRPr="009E4480">
              <w:rPr>
                <w:lang w:val="ro-RO"/>
              </w:rPr>
              <w:t xml:space="preserve"> </w:t>
            </w:r>
            <w:r w:rsidR="00687C2B" w:rsidRPr="009E4480">
              <w:rPr>
                <w:lang w:val="ro-RO"/>
              </w:rPr>
              <w:t>informația privind autorizațiile de transport rutier care au fost eliberate pe parcursul anului</w:t>
            </w:r>
            <w:r w:rsidR="00127312">
              <w:rPr>
                <w:lang w:val="ro-RO"/>
              </w:rPr>
              <w:t xml:space="preserve"> </w:t>
            </w:r>
            <w:r w:rsidR="00687C2B" w:rsidRPr="009E4480">
              <w:rPr>
                <w:lang w:val="ro-RO"/>
              </w:rPr>
              <w:t xml:space="preserve">2021. </w:t>
            </w:r>
          </w:p>
          <w:p w14:paraId="303AA679" w14:textId="495E6242" w:rsidR="00687C2B" w:rsidRPr="009E4480" w:rsidRDefault="00687C2B" w:rsidP="009E4480">
            <w:pPr>
              <w:ind w:firstLine="602"/>
              <w:jc w:val="both"/>
              <w:rPr>
                <w:lang w:val="ro-RO"/>
              </w:rPr>
            </w:pPr>
            <w:r w:rsidRPr="009E4480">
              <w:rPr>
                <w:lang w:val="ro-RO"/>
              </w:rPr>
              <w:lastRenderedPageBreak/>
              <w:t>În conformitate cu informațiile Agenţiei Naționale Transport Auto</w:t>
            </w:r>
            <w:r w:rsidR="00AE6E3F">
              <w:rPr>
                <w:lang w:val="ro-RO"/>
              </w:rPr>
              <w:t>,</w:t>
            </w:r>
            <w:r w:rsidRPr="009E4480">
              <w:rPr>
                <w:lang w:val="ro-RO"/>
              </w:rPr>
              <w:t xml:space="preserve"> operatorilor de transport rutier pe parcursul anului 2021 </w:t>
            </w:r>
            <w:r w:rsidR="00AE6E3F">
              <w:rPr>
                <w:lang w:val="ro-RO"/>
              </w:rPr>
              <w:t>le-</w:t>
            </w:r>
            <w:r w:rsidRPr="009E4480">
              <w:rPr>
                <w:lang w:val="ro-RO"/>
              </w:rPr>
              <w:t xml:space="preserve">au fost eliberate 130655 autorizații pentru transporturile de mărfuri, în valoare de 50,4 </w:t>
            </w:r>
            <w:proofErr w:type="spellStart"/>
            <w:r w:rsidRPr="009E4480">
              <w:rPr>
                <w:lang w:val="ro-RO"/>
              </w:rPr>
              <w:t>ml</w:t>
            </w:r>
            <w:r w:rsidR="00AE6E3F">
              <w:rPr>
                <w:lang w:val="ro-RO"/>
              </w:rPr>
              <w:t>n</w:t>
            </w:r>
            <w:proofErr w:type="spellEnd"/>
            <w:r w:rsidRPr="009E4480">
              <w:rPr>
                <w:lang w:val="ro-RO"/>
              </w:rPr>
              <w:t>. lei.</w:t>
            </w:r>
          </w:p>
          <w:p w14:paraId="55112D2C" w14:textId="3DADE573" w:rsidR="00687C2B" w:rsidRPr="009E4480" w:rsidRDefault="00687C2B" w:rsidP="009E4480">
            <w:pPr>
              <w:ind w:firstLine="602"/>
              <w:jc w:val="both"/>
              <w:rPr>
                <w:lang w:val="ro-RO"/>
              </w:rPr>
            </w:pPr>
            <w:r w:rsidRPr="009E4480">
              <w:rPr>
                <w:lang w:val="ro-RO"/>
              </w:rPr>
              <w:t xml:space="preserve">Ca urmare a implementării propunerilor înaintate în cazul eliberării unui număr similar de autorizații, valoarea acestora ar fi de 17,9 </w:t>
            </w:r>
            <w:proofErr w:type="spellStart"/>
            <w:r w:rsidRPr="009E4480">
              <w:rPr>
                <w:lang w:val="ro-RO"/>
              </w:rPr>
              <w:t>ml</w:t>
            </w:r>
            <w:r w:rsidR="00946CA9">
              <w:rPr>
                <w:lang w:val="ro-RO"/>
              </w:rPr>
              <w:t>n</w:t>
            </w:r>
            <w:proofErr w:type="spellEnd"/>
            <w:r w:rsidRPr="009E4480">
              <w:rPr>
                <w:lang w:val="ro-RO"/>
              </w:rPr>
              <w:t>. lei.</w:t>
            </w:r>
          </w:p>
          <w:p w14:paraId="0EFEDA30" w14:textId="170EE9F8" w:rsidR="00687C2B" w:rsidRPr="009E4480" w:rsidRDefault="00687C2B" w:rsidP="009E4480">
            <w:pPr>
              <w:ind w:firstLine="602"/>
              <w:jc w:val="both"/>
              <w:rPr>
                <w:lang w:val="ro-RO"/>
              </w:rPr>
            </w:pPr>
            <w:r w:rsidRPr="009E4480">
              <w:rPr>
                <w:lang w:val="ro-RO"/>
              </w:rPr>
              <w:t xml:space="preserve">În acest context, costul pentru stat de la implementarea proiectului ar putea fi de 32,5 </w:t>
            </w:r>
            <w:proofErr w:type="spellStart"/>
            <w:r w:rsidRPr="009E4480">
              <w:rPr>
                <w:lang w:val="ro-RO"/>
              </w:rPr>
              <w:t>ml</w:t>
            </w:r>
            <w:r w:rsidR="00946CA9">
              <w:rPr>
                <w:lang w:val="ro-RO"/>
              </w:rPr>
              <w:t>n</w:t>
            </w:r>
            <w:proofErr w:type="spellEnd"/>
            <w:r w:rsidRPr="009E4480">
              <w:rPr>
                <w:lang w:val="ro-RO"/>
              </w:rPr>
              <w:t>. lei, bani care nu vor fi acumulați ca urmare a reducerii prețului.</w:t>
            </w:r>
          </w:p>
          <w:p w14:paraId="620517D0" w14:textId="5D8FEC56" w:rsidR="00687C2B" w:rsidRPr="009E4480" w:rsidRDefault="00687C2B" w:rsidP="009E4480">
            <w:pPr>
              <w:ind w:firstLine="602"/>
              <w:jc w:val="both"/>
              <w:rPr>
                <w:lang w:val="ro-RO"/>
              </w:rPr>
            </w:pPr>
            <w:r w:rsidRPr="009E4480">
              <w:rPr>
                <w:lang w:val="ro-RO"/>
              </w:rPr>
              <w:t>Este necesar de menționat că</w:t>
            </w:r>
            <w:r w:rsidR="00946CA9">
              <w:rPr>
                <w:lang w:val="ro-RO"/>
              </w:rPr>
              <w:t>,</w:t>
            </w:r>
            <w:r w:rsidRPr="009E4480">
              <w:rPr>
                <w:lang w:val="ro-RO"/>
              </w:rPr>
              <w:t xml:space="preserve"> cifra are la bază cotele de autorizații și situația de pe piață pentru </w:t>
            </w:r>
            <w:r w:rsidR="00946CA9">
              <w:rPr>
                <w:lang w:val="ro-RO"/>
              </w:rPr>
              <w:t xml:space="preserve">anul </w:t>
            </w:r>
            <w:r w:rsidRPr="009E4480">
              <w:rPr>
                <w:lang w:val="ro-RO"/>
              </w:rPr>
              <w:t xml:space="preserve">2021, fără a lua în calcul situația curentă de pe piață, inclusiv procesele </w:t>
            </w:r>
            <w:r w:rsidR="00946CA9">
              <w:rPr>
                <w:lang w:val="ro-RO"/>
              </w:rPr>
              <w:t xml:space="preserve">de </w:t>
            </w:r>
            <w:r w:rsidRPr="009E4480">
              <w:rPr>
                <w:lang w:val="ro-RO"/>
              </w:rPr>
              <w:t xml:space="preserve">reorientare a lanțurilor logistice, ca urmare a conflictului din Ucraina. </w:t>
            </w:r>
          </w:p>
          <w:p w14:paraId="2E0B7F3D" w14:textId="3232924E" w:rsidR="009E4480" w:rsidRPr="009E4480" w:rsidRDefault="00946CA9" w:rsidP="009E4480">
            <w:pPr>
              <w:ind w:firstLine="602"/>
              <w:jc w:val="both"/>
              <w:rPr>
                <w:lang w:val="ro-RO"/>
              </w:rPr>
            </w:pPr>
            <w:r>
              <w:rPr>
                <w:lang w:val="ro-RO"/>
              </w:rPr>
              <w:t>Din cauza</w:t>
            </w:r>
            <w:r w:rsidRPr="009E4480">
              <w:rPr>
                <w:lang w:val="ro-RO"/>
              </w:rPr>
              <w:t xml:space="preserve"> </w:t>
            </w:r>
            <w:r w:rsidR="009E4480" w:rsidRPr="009E4480">
              <w:rPr>
                <w:lang w:val="ro-RO"/>
              </w:rPr>
              <w:t>reorientării lanțurilor logistice</w:t>
            </w:r>
            <w:r>
              <w:rPr>
                <w:lang w:val="ro-RO"/>
              </w:rPr>
              <w:t>,</w:t>
            </w:r>
            <w:r w:rsidR="009E4480" w:rsidRPr="009E4480">
              <w:rPr>
                <w:lang w:val="ro-RO"/>
              </w:rPr>
              <w:t xml:space="preserve"> operatorii de transport sunt obligați să parcurgă o distanță de 2 ori mai mare, inclusiv tranzitarea mai multor state. Aceste modificări se reflectă în mod direct în costul de prestare a serviciilor, iar necesitatea unor autorizații suplimentare este parte din aceste costuri. </w:t>
            </w:r>
          </w:p>
          <w:p w14:paraId="0A1D1EE8" w14:textId="5923918D" w:rsidR="009E4480" w:rsidRPr="009E4480" w:rsidRDefault="009E4480" w:rsidP="009E4480">
            <w:pPr>
              <w:ind w:firstLine="602"/>
              <w:jc w:val="both"/>
              <w:rPr>
                <w:lang w:val="ro-RO"/>
              </w:rPr>
            </w:pPr>
            <w:r w:rsidRPr="009E4480">
              <w:rPr>
                <w:lang w:val="ro-RO"/>
              </w:rPr>
              <w:t>Atragem atenția că</w:t>
            </w:r>
            <w:r w:rsidR="00946CA9">
              <w:rPr>
                <w:lang w:val="ro-RO"/>
              </w:rPr>
              <w:t>,</w:t>
            </w:r>
            <w:r w:rsidRPr="009E4480">
              <w:rPr>
                <w:lang w:val="ro-RO"/>
              </w:rPr>
              <w:t xml:space="preserve"> la nivel de cooperare internațională este intenția de a liberaliza treptat serviciile de transport rutier, în special operațiunil</w:t>
            </w:r>
            <w:r w:rsidR="00946CA9">
              <w:rPr>
                <w:lang w:val="ro-RO"/>
              </w:rPr>
              <w:t>e</w:t>
            </w:r>
            <w:r w:rsidRPr="009E4480">
              <w:rPr>
                <w:lang w:val="ro-RO"/>
              </w:rPr>
              <w:t xml:space="preserve"> de tranzit. Urmare a ședinței Comisiei mixte moldo-ucrainene din domeniul transporturilor rutiere din </w:t>
            </w:r>
            <w:r w:rsidR="00946CA9">
              <w:rPr>
                <w:lang w:val="ro-RO"/>
              </w:rPr>
              <w:t xml:space="preserve">luna </w:t>
            </w:r>
            <w:r w:rsidRPr="009E4480">
              <w:rPr>
                <w:lang w:val="ro-RO"/>
              </w:rPr>
              <w:t xml:space="preserve">decembrie 2021 și </w:t>
            </w:r>
            <w:r w:rsidR="00946CA9">
              <w:rPr>
                <w:lang w:val="ro-RO"/>
              </w:rPr>
              <w:t xml:space="preserve">a </w:t>
            </w:r>
            <w:r w:rsidRPr="009E4480">
              <w:rPr>
                <w:lang w:val="ro-RO"/>
              </w:rPr>
              <w:t>dialogului cu Comisia Europeană, există un accept prealabil de a liberaliza tranzitul între state, deciziile urmînd a fi formalizate în perioada următoare.</w:t>
            </w:r>
          </w:p>
          <w:p w14:paraId="1A37524C" w14:textId="77777777" w:rsidR="009E4480" w:rsidRPr="009E4480" w:rsidRDefault="009E4480" w:rsidP="009E4480">
            <w:pPr>
              <w:ind w:firstLine="602"/>
              <w:jc w:val="both"/>
              <w:rPr>
                <w:lang w:val="ro-RO"/>
              </w:rPr>
            </w:pPr>
            <w:r w:rsidRPr="009E4480">
              <w:rPr>
                <w:lang w:val="ro-RO"/>
              </w:rPr>
              <w:t xml:space="preserve">În acest context, veniturile acumulate de la vînzarea autorizațiilor nu au un caracter permanent, care variază în dependență de evoluția situației de pe piață, iar potențialele venituri ratate urmează a fi recuperate din impozitele și taxele achitate ca urmare a majorării volumelor de mărfuri transportate.  </w:t>
            </w:r>
          </w:p>
          <w:p w14:paraId="575CE0EF" w14:textId="70E782D1" w:rsidR="009E4480" w:rsidRPr="009E4480" w:rsidRDefault="009E4480" w:rsidP="009E4480">
            <w:pPr>
              <w:ind w:firstLine="602"/>
              <w:jc w:val="both"/>
              <w:rPr>
                <w:bCs/>
                <w:lang w:val="ro-RO"/>
              </w:rPr>
            </w:pPr>
            <w:r w:rsidRPr="009E4480">
              <w:rPr>
                <w:lang w:val="ro-RO"/>
              </w:rPr>
              <w:t xml:space="preserve">Referitor la modificarea regulilor de aplicare a </w:t>
            </w:r>
            <w:r w:rsidRPr="009E4480">
              <w:rPr>
                <w:bCs/>
                <w:lang w:val="ro-RO"/>
              </w:rPr>
              <w:t>Nomenclaturii combinate a mărfurilor menționăm că</w:t>
            </w:r>
            <w:r w:rsidR="00946CA9">
              <w:rPr>
                <w:bCs/>
                <w:lang w:val="ro-RO"/>
              </w:rPr>
              <w:t>,</w:t>
            </w:r>
            <w:r w:rsidRPr="009E4480">
              <w:rPr>
                <w:bCs/>
                <w:lang w:val="ro-RO"/>
              </w:rPr>
              <w:t xml:space="preserve"> în conformitate cu informațiile prezentate de Serviciul Vamal pe parcursul anilor 2019-2021 în Republica Moldova au fost importate: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4"/>
              <w:gridCol w:w="1324"/>
              <w:gridCol w:w="1324"/>
              <w:gridCol w:w="1325"/>
            </w:tblGrid>
            <w:tr w:rsidR="009E4480" w:rsidRPr="009E4480" w14:paraId="75CC040F" w14:textId="77777777" w:rsidTr="000C33B5">
              <w:trPr>
                <w:jc w:val="center"/>
              </w:trPr>
              <w:tc>
                <w:tcPr>
                  <w:tcW w:w="1324" w:type="dxa"/>
                  <w:vMerge w:val="restart"/>
                  <w:shd w:val="clear" w:color="auto" w:fill="auto"/>
                  <w:vAlign w:val="center"/>
                </w:tcPr>
                <w:p w14:paraId="212E1AED" w14:textId="77777777" w:rsidR="009E4480" w:rsidRPr="009E4480" w:rsidRDefault="009E4480" w:rsidP="000C33B5">
                  <w:pPr>
                    <w:jc w:val="center"/>
                    <w:rPr>
                      <w:b/>
                      <w:i/>
                      <w:sz w:val="22"/>
                      <w:lang w:val="ro-RO"/>
                    </w:rPr>
                  </w:pPr>
                  <w:r w:rsidRPr="009E4480">
                    <w:rPr>
                      <w:b/>
                      <w:i/>
                      <w:sz w:val="22"/>
                      <w:lang w:val="ro-RO"/>
                    </w:rPr>
                    <w:t>Poziția tarifară</w:t>
                  </w:r>
                </w:p>
              </w:tc>
              <w:tc>
                <w:tcPr>
                  <w:tcW w:w="2648" w:type="dxa"/>
                  <w:gridSpan w:val="2"/>
                  <w:shd w:val="clear" w:color="auto" w:fill="auto"/>
                  <w:vAlign w:val="center"/>
                </w:tcPr>
                <w:p w14:paraId="00CBB15F" w14:textId="77777777" w:rsidR="009E4480" w:rsidRPr="009E4480" w:rsidRDefault="009E4480" w:rsidP="00D1256E">
                  <w:pPr>
                    <w:jc w:val="center"/>
                    <w:rPr>
                      <w:b/>
                      <w:i/>
                      <w:sz w:val="22"/>
                      <w:lang w:val="ro-RO"/>
                    </w:rPr>
                  </w:pPr>
                  <w:r w:rsidRPr="009E4480">
                    <w:rPr>
                      <w:b/>
                      <w:i/>
                      <w:sz w:val="22"/>
                      <w:lang w:val="ro-RO"/>
                    </w:rPr>
                    <w:t>2019</w:t>
                  </w:r>
                </w:p>
              </w:tc>
              <w:tc>
                <w:tcPr>
                  <w:tcW w:w="2648" w:type="dxa"/>
                  <w:gridSpan w:val="2"/>
                  <w:shd w:val="clear" w:color="auto" w:fill="auto"/>
                  <w:vAlign w:val="center"/>
                </w:tcPr>
                <w:p w14:paraId="216030A0" w14:textId="77777777" w:rsidR="009E4480" w:rsidRPr="009E4480" w:rsidRDefault="009E4480" w:rsidP="00D1256E">
                  <w:pPr>
                    <w:jc w:val="center"/>
                    <w:rPr>
                      <w:b/>
                      <w:i/>
                      <w:sz w:val="22"/>
                      <w:lang w:val="ro-RO"/>
                    </w:rPr>
                  </w:pPr>
                  <w:r w:rsidRPr="009E4480">
                    <w:rPr>
                      <w:b/>
                      <w:i/>
                      <w:sz w:val="22"/>
                      <w:lang w:val="ro-RO"/>
                    </w:rPr>
                    <w:t>2020</w:t>
                  </w:r>
                </w:p>
              </w:tc>
              <w:tc>
                <w:tcPr>
                  <w:tcW w:w="2649" w:type="dxa"/>
                  <w:gridSpan w:val="2"/>
                  <w:shd w:val="clear" w:color="auto" w:fill="auto"/>
                  <w:vAlign w:val="center"/>
                </w:tcPr>
                <w:p w14:paraId="02363CED" w14:textId="77777777" w:rsidR="009E4480" w:rsidRPr="009E4480" w:rsidRDefault="009E4480" w:rsidP="00D1256E">
                  <w:pPr>
                    <w:jc w:val="center"/>
                    <w:rPr>
                      <w:b/>
                      <w:i/>
                      <w:sz w:val="22"/>
                      <w:lang w:val="ro-RO"/>
                    </w:rPr>
                  </w:pPr>
                  <w:r w:rsidRPr="009E4480">
                    <w:rPr>
                      <w:b/>
                      <w:i/>
                      <w:sz w:val="22"/>
                      <w:lang w:val="ro-RO"/>
                    </w:rPr>
                    <w:t>2021</w:t>
                  </w:r>
                </w:p>
              </w:tc>
            </w:tr>
            <w:tr w:rsidR="009E4480" w:rsidRPr="009E4480" w14:paraId="2740B10F" w14:textId="77777777" w:rsidTr="000C33B5">
              <w:trPr>
                <w:jc w:val="center"/>
              </w:trPr>
              <w:tc>
                <w:tcPr>
                  <w:tcW w:w="1324" w:type="dxa"/>
                  <w:vMerge/>
                  <w:shd w:val="clear" w:color="auto" w:fill="auto"/>
                  <w:vAlign w:val="center"/>
                </w:tcPr>
                <w:p w14:paraId="2EC49F3D" w14:textId="77777777" w:rsidR="009E4480" w:rsidRPr="009E4480" w:rsidRDefault="009E4480" w:rsidP="000C33B5">
                  <w:pPr>
                    <w:jc w:val="center"/>
                    <w:rPr>
                      <w:b/>
                      <w:i/>
                      <w:sz w:val="22"/>
                      <w:lang w:val="ro-RO"/>
                    </w:rPr>
                  </w:pPr>
                </w:p>
              </w:tc>
              <w:tc>
                <w:tcPr>
                  <w:tcW w:w="1324" w:type="dxa"/>
                  <w:shd w:val="clear" w:color="auto" w:fill="auto"/>
                  <w:vAlign w:val="center"/>
                </w:tcPr>
                <w:p w14:paraId="481DA99F" w14:textId="77777777" w:rsidR="009E4480" w:rsidRPr="009E4480" w:rsidRDefault="009E4480" w:rsidP="000C33B5">
                  <w:pPr>
                    <w:jc w:val="center"/>
                    <w:rPr>
                      <w:b/>
                      <w:i/>
                      <w:sz w:val="22"/>
                      <w:lang w:val="ro-RO"/>
                    </w:rPr>
                  </w:pPr>
                  <w:r w:rsidRPr="009E4480">
                    <w:rPr>
                      <w:b/>
                      <w:i/>
                      <w:sz w:val="22"/>
                      <w:lang w:val="ro-RO"/>
                    </w:rPr>
                    <w:t>Total</w:t>
                  </w:r>
                </w:p>
              </w:tc>
              <w:tc>
                <w:tcPr>
                  <w:tcW w:w="1324" w:type="dxa"/>
                  <w:shd w:val="clear" w:color="auto" w:fill="auto"/>
                  <w:vAlign w:val="center"/>
                </w:tcPr>
                <w:p w14:paraId="35011706" w14:textId="77777777" w:rsidR="009E4480" w:rsidRPr="009E4480" w:rsidRDefault="009E4480" w:rsidP="000C33B5">
                  <w:pPr>
                    <w:jc w:val="center"/>
                    <w:rPr>
                      <w:b/>
                      <w:i/>
                      <w:sz w:val="22"/>
                      <w:lang w:val="ro-RO"/>
                    </w:rPr>
                  </w:pPr>
                  <w:r w:rsidRPr="009E4480">
                    <w:rPr>
                      <w:b/>
                      <w:i/>
                      <w:sz w:val="22"/>
                      <w:lang w:val="ro-RO"/>
                    </w:rPr>
                    <w:t>Scutite de plățile vamale</w:t>
                  </w:r>
                </w:p>
              </w:tc>
              <w:tc>
                <w:tcPr>
                  <w:tcW w:w="1324" w:type="dxa"/>
                  <w:shd w:val="clear" w:color="auto" w:fill="auto"/>
                  <w:vAlign w:val="center"/>
                </w:tcPr>
                <w:p w14:paraId="05DD07FE" w14:textId="77777777" w:rsidR="009E4480" w:rsidRPr="009E4480" w:rsidRDefault="009E4480" w:rsidP="000C33B5">
                  <w:pPr>
                    <w:jc w:val="center"/>
                    <w:rPr>
                      <w:b/>
                      <w:i/>
                      <w:sz w:val="22"/>
                      <w:lang w:val="ro-RO"/>
                    </w:rPr>
                  </w:pPr>
                  <w:r w:rsidRPr="009E4480">
                    <w:rPr>
                      <w:b/>
                      <w:i/>
                      <w:sz w:val="22"/>
                      <w:lang w:val="ro-RO"/>
                    </w:rPr>
                    <w:t>Total</w:t>
                  </w:r>
                </w:p>
              </w:tc>
              <w:tc>
                <w:tcPr>
                  <w:tcW w:w="1324" w:type="dxa"/>
                  <w:shd w:val="clear" w:color="auto" w:fill="auto"/>
                  <w:vAlign w:val="center"/>
                </w:tcPr>
                <w:p w14:paraId="0B884157" w14:textId="77777777" w:rsidR="009E4480" w:rsidRPr="009E4480" w:rsidRDefault="009E4480" w:rsidP="000C33B5">
                  <w:pPr>
                    <w:jc w:val="center"/>
                    <w:rPr>
                      <w:b/>
                      <w:i/>
                      <w:sz w:val="22"/>
                      <w:lang w:val="ro-RO"/>
                    </w:rPr>
                  </w:pPr>
                  <w:r w:rsidRPr="009E4480">
                    <w:rPr>
                      <w:b/>
                      <w:i/>
                      <w:sz w:val="22"/>
                      <w:lang w:val="ro-RO"/>
                    </w:rPr>
                    <w:t>Scutite de plățile vamale</w:t>
                  </w:r>
                </w:p>
              </w:tc>
              <w:tc>
                <w:tcPr>
                  <w:tcW w:w="1324" w:type="dxa"/>
                  <w:shd w:val="clear" w:color="auto" w:fill="auto"/>
                  <w:vAlign w:val="center"/>
                </w:tcPr>
                <w:p w14:paraId="053F6493" w14:textId="77777777" w:rsidR="009E4480" w:rsidRPr="009E4480" w:rsidRDefault="009E4480" w:rsidP="000C33B5">
                  <w:pPr>
                    <w:jc w:val="center"/>
                    <w:rPr>
                      <w:b/>
                      <w:i/>
                      <w:sz w:val="22"/>
                      <w:lang w:val="ro-RO"/>
                    </w:rPr>
                  </w:pPr>
                  <w:r w:rsidRPr="009E4480">
                    <w:rPr>
                      <w:b/>
                      <w:i/>
                      <w:sz w:val="22"/>
                      <w:lang w:val="ro-RO"/>
                    </w:rPr>
                    <w:t>Total</w:t>
                  </w:r>
                </w:p>
              </w:tc>
              <w:tc>
                <w:tcPr>
                  <w:tcW w:w="1325" w:type="dxa"/>
                  <w:shd w:val="clear" w:color="auto" w:fill="auto"/>
                  <w:vAlign w:val="center"/>
                </w:tcPr>
                <w:p w14:paraId="6C021731" w14:textId="77777777" w:rsidR="009E4480" w:rsidRPr="009E4480" w:rsidRDefault="009E4480" w:rsidP="000C33B5">
                  <w:pPr>
                    <w:jc w:val="center"/>
                    <w:rPr>
                      <w:b/>
                      <w:i/>
                      <w:sz w:val="22"/>
                      <w:lang w:val="ro-RO"/>
                    </w:rPr>
                  </w:pPr>
                  <w:r w:rsidRPr="009E4480">
                    <w:rPr>
                      <w:b/>
                      <w:i/>
                      <w:sz w:val="22"/>
                      <w:lang w:val="ro-RO"/>
                    </w:rPr>
                    <w:t>Scutite de plățile vamale</w:t>
                  </w:r>
                </w:p>
              </w:tc>
            </w:tr>
            <w:tr w:rsidR="009E4480" w:rsidRPr="009E4480" w14:paraId="60BD863B" w14:textId="77777777" w:rsidTr="000C33B5">
              <w:trPr>
                <w:jc w:val="center"/>
              </w:trPr>
              <w:tc>
                <w:tcPr>
                  <w:tcW w:w="1324" w:type="dxa"/>
                  <w:shd w:val="clear" w:color="auto" w:fill="auto"/>
                </w:tcPr>
                <w:p w14:paraId="77D54278" w14:textId="77777777" w:rsidR="009E4480" w:rsidRPr="009E4480" w:rsidRDefault="009E4480" w:rsidP="000C33B5">
                  <w:pPr>
                    <w:jc w:val="center"/>
                    <w:rPr>
                      <w:lang w:val="ro-RO"/>
                    </w:rPr>
                  </w:pPr>
                  <w:r w:rsidRPr="009E4480">
                    <w:rPr>
                      <w:lang w:val="ro-RO"/>
                    </w:rPr>
                    <w:t>870120</w:t>
                  </w:r>
                </w:p>
              </w:tc>
              <w:tc>
                <w:tcPr>
                  <w:tcW w:w="1324" w:type="dxa"/>
                  <w:shd w:val="clear" w:color="auto" w:fill="auto"/>
                </w:tcPr>
                <w:p w14:paraId="4B63F45F" w14:textId="77777777" w:rsidR="009E4480" w:rsidRPr="009E4480" w:rsidRDefault="009E4480" w:rsidP="000C33B5">
                  <w:pPr>
                    <w:jc w:val="right"/>
                    <w:rPr>
                      <w:lang w:val="ro-RO"/>
                    </w:rPr>
                  </w:pPr>
                  <w:r w:rsidRPr="009E4480">
                    <w:rPr>
                      <w:lang w:val="ro-RO"/>
                    </w:rPr>
                    <w:t>1044</w:t>
                  </w:r>
                </w:p>
              </w:tc>
              <w:tc>
                <w:tcPr>
                  <w:tcW w:w="1324" w:type="dxa"/>
                  <w:shd w:val="clear" w:color="auto" w:fill="auto"/>
                </w:tcPr>
                <w:p w14:paraId="54A2C73D" w14:textId="77777777" w:rsidR="009E4480" w:rsidRPr="009E4480" w:rsidRDefault="009E4480" w:rsidP="000C33B5">
                  <w:pPr>
                    <w:jc w:val="right"/>
                    <w:rPr>
                      <w:lang w:val="ro-RO"/>
                    </w:rPr>
                  </w:pPr>
                  <w:r w:rsidRPr="009E4480">
                    <w:rPr>
                      <w:lang w:val="ro-RO"/>
                    </w:rPr>
                    <w:t>201</w:t>
                  </w:r>
                </w:p>
              </w:tc>
              <w:tc>
                <w:tcPr>
                  <w:tcW w:w="1324" w:type="dxa"/>
                  <w:shd w:val="clear" w:color="auto" w:fill="auto"/>
                </w:tcPr>
                <w:p w14:paraId="03C24A21" w14:textId="77777777" w:rsidR="009E4480" w:rsidRPr="009E4480" w:rsidRDefault="009E4480" w:rsidP="000C33B5">
                  <w:pPr>
                    <w:jc w:val="right"/>
                    <w:rPr>
                      <w:lang w:val="ro-RO"/>
                    </w:rPr>
                  </w:pPr>
                  <w:r w:rsidRPr="009E4480">
                    <w:rPr>
                      <w:lang w:val="ro-RO"/>
                    </w:rPr>
                    <w:t>902</w:t>
                  </w:r>
                </w:p>
              </w:tc>
              <w:tc>
                <w:tcPr>
                  <w:tcW w:w="1324" w:type="dxa"/>
                  <w:shd w:val="clear" w:color="auto" w:fill="auto"/>
                </w:tcPr>
                <w:p w14:paraId="4FA274BB" w14:textId="77777777" w:rsidR="009E4480" w:rsidRPr="009E4480" w:rsidRDefault="009E4480" w:rsidP="000C33B5">
                  <w:pPr>
                    <w:jc w:val="right"/>
                    <w:rPr>
                      <w:lang w:val="ro-RO"/>
                    </w:rPr>
                  </w:pPr>
                  <w:r w:rsidRPr="009E4480">
                    <w:rPr>
                      <w:lang w:val="ro-RO"/>
                    </w:rPr>
                    <w:t>193</w:t>
                  </w:r>
                </w:p>
              </w:tc>
              <w:tc>
                <w:tcPr>
                  <w:tcW w:w="1324" w:type="dxa"/>
                  <w:shd w:val="clear" w:color="auto" w:fill="auto"/>
                </w:tcPr>
                <w:p w14:paraId="2665123C" w14:textId="77777777" w:rsidR="009E4480" w:rsidRPr="009E4480" w:rsidRDefault="009E4480" w:rsidP="000C33B5">
                  <w:pPr>
                    <w:jc w:val="right"/>
                    <w:rPr>
                      <w:lang w:val="ro-RO"/>
                    </w:rPr>
                  </w:pPr>
                  <w:r w:rsidRPr="009E4480">
                    <w:rPr>
                      <w:lang w:val="ro-RO"/>
                    </w:rPr>
                    <w:t>1014</w:t>
                  </w:r>
                </w:p>
              </w:tc>
              <w:tc>
                <w:tcPr>
                  <w:tcW w:w="1325" w:type="dxa"/>
                  <w:shd w:val="clear" w:color="auto" w:fill="auto"/>
                </w:tcPr>
                <w:p w14:paraId="0E795BA5" w14:textId="77777777" w:rsidR="009E4480" w:rsidRPr="009E4480" w:rsidRDefault="009E4480" w:rsidP="000C33B5">
                  <w:pPr>
                    <w:jc w:val="right"/>
                    <w:rPr>
                      <w:lang w:val="ro-RO"/>
                    </w:rPr>
                  </w:pPr>
                  <w:r w:rsidRPr="009E4480">
                    <w:rPr>
                      <w:lang w:val="ro-RO"/>
                    </w:rPr>
                    <w:t>174</w:t>
                  </w:r>
                </w:p>
              </w:tc>
            </w:tr>
            <w:tr w:rsidR="009E4480" w:rsidRPr="009E4480" w14:paraId="0493FEA2" w14:textId="77777777" w:rsidTr="000C33B5">
              <w:trPr>
                <w:jc w:val="center"/>
              </w:trPr>
              <w:tc>
                <w:tcPr>
                  <w:tcW w:w="1324" w:type="dxa"/>
                  <w:shd w:val="clear" w:color="auto" w:fill="auto"/>
                </w:tcPr>
                <w:p w14:paraId="61D37599" w14:textId="77777777" w:rsidR="009E4480" w:rsidRPr="009E4480" w:rsidRDefault="009E4480" w:rsidP="000C33B5">
                  <w:pPr>
                    <w:jc w:val="center"/>
                    <w:rPr>
                      <w:lang w:val="ro-RO"/>
                    </w:rPr>
                  </w:pPr>
                  <w:r w:rsidRPr="009E4480">
                    <w:rPr>
                      <w:lang w:val="ro-RO"/>
                    </w:rPr>
                    <w:t>8704</w:t>
                  </w:r>
                </w:p>
              </w:tc>
              <w:tc>
                <w:tcPr>
                  <w:tcW w:w="1324" w:type="dxa"/>
                  <w:shd w:val="clear" w:color="auto" w:fill="auto"/>
                </w:tcPr>
                <w:p w14:paraId="08536B91" w14:textId="77777777" w:rsidR="009E4480" w:rsidRPr="009E4480" w:rsidRDefault="009E4480" w:rsidP="000C33B5">
                  <w:pPr>
                    <w:jc w:val="right"/>
                    <w:rPr>
                      <w:lang w:val="ro-RO"/>
                    </w:rPr>
                  </w:pPr>
                  <w:r w:rsidRPr="009E4480">
                    <w:rPr>
                      <w:lang w:val="ro-RO"/>
                    </w:rPr>
                    <w:t>5417</w:t>
                  </w:r>
                </w:p>
              </w:tc>
              <w:tc>
                <w:tcPr>
                  <w:tcW w:w="1324" w:type="dxa"/>
                  <w:shd w:val="clear" w:color="auto" w:fill="auto"/>
                </w:tcPr>
                <w:p w14:paraId="03524C42" w14:textId="77777777" w:rsidR="009E4480" w:rsidRPr="009E4480" w:rsidRDefault="009E4480" w:rsidP="000C33B5">
                  <w:pPr>
                    <w:jc w:val="right"/>
                    <w:rPr>
                      <w:lang w:val="ro-RO"/>
                    </w:rPr>
                  </w:pPr>
                  <w:r w:rsidRPr="009E4480">
                    <w:rPr>
                      <w:lang w:val="ro-RO"/>
                    </w:rPr>
                    <w:t>162</w:t>
                  </w:r>
                </w:p>
              </w:tc>
              <w:tc>
                <w:tcPr>
                  <w:tcW w:w="1324" w:type="dxa"/>
                  <w:shd w:val="clear" w:color="auto" w:fill="auto"/>
                </w:tcPr>
                <w:p w14:paraId="07442465" w14:textId="77777777" w:rsidR="009E4480" w:rsidRPr="009E4480" w:rsidRDefault="009E4480" w:rsidP="000C33B5">
                  <w:pPr>
                    <w:jc w:val="right"/>
                    <w:rPr>
                      <w:lang w:val="ro-RO"/>
                    </w:rPr>
                  </w:pPr>
                  <w:r w:rsidRPr="009E4480">
                    <w:rPr>
                      <w:lang w:val="ro-RO"/>
                    </w:rPr>
                    <w:t>5048</w:t>
                  </w:r>
                </w:p>
              </w:tc>
              <w:tc>
                <w:tcPr>
                  <w:tcW w:w="1324" w:type="dxa"/>
                  <w:shd w:val="clear" w:color="auto" w:fill="auto"/>
                </w:tcPr>
                <w:p w14:paraId="5C34F4CF" w14:textId="77777777" w:rsidR="009E4480" w:rsidRPr="009E4480" w:rsidRDefault="009E4480" w:rsidP="000C33B5">
                  <w:pPr>
                    <w:jc w:val="right"/>
                    <w:rPr>
                      <w:lang w:val="ro-RO"/>
                    </w:rPr>
                  </w:pPr>
                  <w:r w:rsidRPr="009E4480">
                    <w:rPr>
                      <w:lang w:val="ro-RO"/>
                    </w:rPr>
                    <w:t>144</w:t>
                  </w:r>
                </w:p>
              </w:tc>
              <w:tc>
                <w:tcPr>
                  <w:tcW w:w="1324" w:type="dxa"/>
                  <w:shd w:val="clear" w:color="auto" w:fill="auto"/>
                </w:tcPr>
                <w:p w14:paraId="76A089EB" w14:textId="77777777" w:rsidR="009E4480" w:rsidRPr="009E4480" w:rsidRDefault="009E4480" w:rsidP="000C33B5">
                  <w:pPr>
                    <w:jc w:val="right"/>
                    <w:rPr>
                      <w:lang w:val="ro-RO"/>
                    </w:rPr>
                  </w:pPr>
                  <w:r w:rsidRPr="009E4480">
                    <w:rPr>
                      <w:lang w:val="ro-RO"/>
                    </w:rPr>
                    <w:t>6064</w:t>
                  </w:r>
                </w:p>
              </w:tc>
              <w:tc>
                <w:tcPr>
                  <w:tcW w:w="1325" w:type="dxa"/>
                  <w:shd w:val="clear" w:color="auto" w:fill="auto"/>
                </w:tcPr>
                <w:p w14:paraId="07D80066" w14:textId="77777777" w:rsidR="009E4480" w:rsidRPr="009E4480" w:rsidRDefault="009E4480" w:rsidP="000C33B5">
                  <w:pPr>
                    <w:jc w:val="right"/>
                    <w:rPr>
                      <w:lang w:val="ro-RO"/>
                    </w:rPr>
                  </w:pPr>
                  <w:r w:rsidRPr="009E4480">
                    <w:rPr>
                      <w:lang w:val="ro-RO"/>
                    </w:rPr>
                    <w:t>186</w:t>
                  </w:r>
                </w:p>
              </w:tc>
            </w:tr>
            <w:tr w:rsidR="009E4480" w:rsidRPr="009E4480" w14:paraId="1CECC880" w14:textId="77777777" w:rsidTr="000C33B5">
              <w:trPr>
                <w:jc w:val="center"/>
              </w:trPr>
              <w:tc>
                <w:tcPr>
                  <w:tcW w:w="1324" w:type="dxa"/>
                  <w:shd w:val="clear" w:color="auto" w:fill="auto"/>
                </w:tcPr>
                <w:p w14:paraId="3C9C3B75" w14:textId="77777777" w:rsidR="009E4480" w:rsidRPr="009E4480" w:rsidRDefault="009E4480" w:rsidP="000C33B5">
                  <w:pPr>
                    <w:jc w:val="center"/>
                    <w:rPr>
                      <w:lang w:val="ro-RO"/>
                    </w:rPr>
                  </w:pPr>
                  <w:r w:rsidRPr="009E4480">
                    <w:rPr>
                      <w:lang w:val="ro-RO"/>
                    </w:rPr>
                    <w:t>8702</w:t>
                  </w:r>
                </w:p>
              </w:tc>
              <w:tc>
                <w:tcPr>
                  <w:tcW w:w="1324" w:type="dxa"/>
                  <w:shd w:val="clear" w:color="auto" w:fill="auto"/>
                </w:tcPr>
                <w:p w14:paraId="50A1D098" w14:textId="77777777" w:rsidR="009E4480" w:rsidRPr="009E4480" w:rsidRDefault="009E4480" w:rsidP="000C33B5">
                  <w:pPr>
                    <w:jc w:val="right"/>
                    <w:rPr>
                      <w:lang w:val="ro-RO"/>
                    </w:rPr>
                  </w:pPr>
                  <w:r w:rsidRPr="009E4480">
                    <w:rPr>
                      <w:lang w:val="ro-RO"/>
                    </w:rPr>
                    <w:t>267</w:t>
                  </w:r>
                </w:p>
              </w:tc>
              <w:tc>
                <w:tcPr>
                  <w:tcW w:w="1324" w:type="dxa"/>
                  <w:shd w:val="clear" w:color="auto" w:fill="auto"/>
                </w:tcPr>
                <w:p w14:paraId="6ACC2FEE" w14:textId="77777777" w:rsidR="009E4480" w:rsidRPr="009E4480" w:rsidRDefault="009E4480" w:rsidP="000C33B5">
                  <w:pPr>
                    <w:jc w:val="right"/>
                    <w:rPr>
                      <w:lang w:val="ro-RO"/>
                    </w:rPr>
                  </w:pPr>
                  <w:r w:rsidRPr="009E4480">
                    <w:rPr>
                      <w:lang w:val="ro-RO"/>
                    </w:rPr>
                    <w:t>124</w:t>
                  </w:r>
                </w:p>
              </w:tc>
              <w:tc>
                <w:tcPr>
                  <w:tcW w:w="1324" w:type="dxa"/>
                  <w:shd w:val="clear" w:color="auto" w:fill="auto"/>
                </w:tcPr>
                <w:p w14:paraId="3657C010" w14:textId="77777777" w:rsidR="009E4480" w:rsidRPr="009E4480" w:rsidRDefault="009E4480" w:rsidP="000C33B5">
                  <w:pPr>
                    <w:jc w:val="right"/>
                    <w:rPr>
                      <w:lang w:val="ro-RO"/>
                    </w:rPr>
                  </w:pPr>
                  <w:r w:rsidRPr="009E4480">
                    <w:rPr>
                      <w:lang w:val="ro-RO"/>
                    </w:rPr>
                    <w:t>160</w:t>
                  </w:r>
                </w:p>
              </w:tc>
              <w:tc>
                <w:tcPr>
                  <w:tcW w:w="1324" w:type="dxa"/>
                  <w:shd w:val="clear" w:color="auto" w:fill="auto"/>
                </w:tcPr>
                <w:p w14:paraId="5F6FF05D" w14:textId="77777777" w:rsidR="009E4480" w:rsidRPr="009E4480" w:rsidRDefault="009E4480" w:rsidP="000C33B5">
                  <w:pPr>
                    <w:jc w:val="right"/>
                    <w:rPr>
                      <w:lang w:val="ro-RO"/>
                    </w:rPr>
                  </w:pPr>
                  <w:r w:rsidRPr="009E4480">
                    <w:rPr>
                      <w:lang w:val="ro-RO"/>
                    </w:rPr>
                    <w:t>62</w:t>
                  </w:r>
                </w:p>
              </w:tc>
              <w:tc>
                <w:tcPr>
                  <w:tcW w:w="1324" w:type="dxa"/>
                  <w:shd w:val="clear" w:color="auto" w:fill="auto"/>
                </w:tcPr>
                <w:p w14:paraId="646515B8" w14:textId="77777777" w:rsidR="009E4480" w:rsidRPr="009E4480" w:rsidRDefault="009E4480" w:rsidP="000C33B5">
                  <w:pPr>
                    <w:jc w:val="right"/>
                    <w:rPr>
                      <w:lang w:val="ro-RO"/>
                    </w:rPr>
                  </w:pPr>
                  <w:r w:rsidRPr="009E4480">
                    <w:rPr>
                      <w:lang w:val="ro-RO"/>
                    </w:rPr>
                    <w:t>154</w:t>
                  </w:r>
                </w:p>
              </w:tc>
              <w:tc>
                <w:tcPr>
                  <w:tcW w:w="1325" w:type="dxa"/>
                  <w:shd w:val="clear" w:color="auto" w:fill="auto"/>
                </w:tcPr>
                <w:p w14:paraId="14FF304D" w14:textId="77777777" w:rsidR="009E4480" w:rsidRPr="009E4480" w:rsidRDefault="009E4480" w:rsidP="000C33B5">
                  <w:pPr>
                    <w:jc w:val="right"/>
                    <w:rPr>
                      <w:lang w:val="ro-RO"/>
                    </w:rPr>
                  </w:pPr>
                  <w:r w:rsidRPr="009E4480">
                    <w:rPr>
                      <w:lang w:val="ro-RO"/>
                    </w:rPr>
                    <w:t>82</w:t>
                  </w:r>
                </w:p>
              </w:tc>
            </w:tr>
          </w:tbl>
          <w:p w14:paraId="42D497C3" w14:textId="4493B88C" w:rsidR="009E4480" w:rsidRPr="009E4480" w:rsidRDefault="009E4480" w:rsidP="009E4480">
            <w:pPr>
              <w:jc w:val="both"/>
              <w:rPr>
                <w:lang w:val="ro-RO"/>
              </w:rPr>
            </w:pPr>
          </w:p>
          <w:p w14:paraId="75912A51" w14:textId="721BA308" w:rsidR="00B04858" w:rsidRDefault="00B04858" w:rsidP="00B04858">
            <w:pPr>
              <w:rPr>
                <w:lang w:val="ro-RO"/>
              </w:rPr>
            </w:pPr>
            <w:r>
              <w:rPr>
                <w:lang w:val="ro-RO"/>
              </w:rPr>
              <w:t>Totodată, ca urmare a importurilor efectuate, în perioada de referință au fost achitate taxe sub forma drepturilor de import în valoare de:</w:t>
            </w:r>
          </w:p>
          <w:p w14:paraId="5D1169E6" w14:textId="77777777" w:rsidR="00B04858" w:rsidRDefault="00B04858" w:rsidP="00B04858">
            <w:pPr>
              <w:rPr>
                <w:lang w:val="ro-RO"/>
              </w:rPr>
            </w:pPr>
          </w:p>
          <w:tbl>
            <w:tblPr>
              <w:tblW w:w="8396" w:type="dxa"/>
              <w:jc w:val="center"/>
              <w:tblLook w:val="04A0" w:firstRow="1" w:lastRow="0" w:firstColumn="1" w:lastColumn="0" w:noHBand="0" w:noVBand="1"/>
            </w:tblPr>
            <w:tblGrid>
              <w:gridCol w:w="936"/>
              <w:gridCol w:w="1307"/>
              <w:gridCol w:w="1276"/>
              <w:gridCol w:w="1134"/>
              <w:gridCol w:w="1276"/>
              <w:gridCol w:w="1206"/>
              <w:gridCol w:w="1261"/>
            </w:tblGrid>
            <w:tr w:rsidR="00B04858" w:rsidRPr="00073663" w14:paraId="6257552F" w14:textId="77777777" w:rsidTr="00005DD1">
              <w:trPr>
                <w:trHeight w:val="646"/>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87BCB" w14:textId="77777777" w:rsidR="00B04858" w:rsidRPr="00073663" w:rsidRDefault="00B04858" w:rsidP="00B04858">
                  <w:pPr>
                    <w:jc w:val="center"/>
                    <w:rPr>
                      <w:b/>
                      <w:bCs/>
                      <w:i/>
                      <w:iCs/>
                      <w:color w:val="000000"/>
                      <w:sz w:val="22"/>
                      <w:szCs w:val="22"/>
                    </w:rPr>
                  </w:pPr>
                  <w:r w:rsidRPr="00073663">
                    <w:rPr>
                      <w:b/>
                      <w:bCs/>
                      <w:i/>
                      <w:iCs/>
                      <w:color w:val="000000"/>
                      <w:sz w:val="22"/>
                      <w:lang w:val="ro-RO"/>
                    </w:rPr>
                    <w:t>Poziția tarifară</w:t>
                  </w:r>
                </w:p>
              </w:tc>
              <w:tc>
                <w:tcPr>
                  <w:tcW w:w="2583" w:type="dxa"/>
                  <w:gridSpan w:val="2"/>
                  <w:tcBorders>
                    <w:top w:val="single" w:sz="4" w:space="0" w:color="auto"/>
                    <w:left w:val="nil"/>
                    <w:bottom w:val="single" w:sz="4" w:space="0" w:color="auto"/>
                    <w:right w:val="single" w:sz="4" w:space="0" w:color="auto"/>
                  </w:tcBorders>
                  <w:shd w:val="clear" w:color="auto" w:fill="auto"/>
                  <w:vAlign w:val="center"/>
                  <w:hideMark/>
                </w:tcPr>
                <w:p w14:paraId="4651C90D" w14:textId="77777777" w:rsidR="00B04858" w:rsidRPr="00073663" w:rsidRDefault="00B04858" w:rsidP="00B04858">
                  <w:pPr>
                    <w:jc w:val="center"/>
                    <w:rPr>
                      <w:b/>
                      <w:bCs/>
                      <w:i/>
                      <w:iCs/>
                      <w:color w:val="000000"/>
                      <w:sz w:val="22"/>
                      <w:szCs w:val="22"/>
                    </w:rPr>
                  </w:pPr>
                  <w:r w:rsidRPr="00073663">
                    <w:rPr>
                      <w:b/>
                      <w:bCs/>
                      <w:i/>
                      <w:iCs/>
                      <w:color w:val="000000"/>
                      <w:sz w:val="22"/>
                      <w:lang w:val="ro-RO"/>
                    </w:rPr>
                    <w:t>2019</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4A9ADB4E" w14:textId="77777777" w:rsidR="00B04858" w:rsidRPr="00073663" w:rsidRDefault="00B04858" w:rsidP="00B04858">
                  <w:pPr>
                    <w:jc w:val="center"/>
                    <w:rPr>
                      <w:b/>
                      <w:bCs/>
                      <w:i/>
                      <w:iCs/>
                      <w:color w:val="000000"/>
                      <w:sz w:val="22"/>
                      <w:szCs w:val="22"/>
                    </w:rPr>
                  </w:pPr>
                  <w:r w:rsidRPr="00073663">
                    <w:rPr>
                      <w:b/>
                      <w:bCs/>
                      <w:i/>
                      <w:iCs/>
                      <w:color w:val="000000"/>
                      <w:sz w:val="22"/>
                      <w:lang w:val="ro-RO"/>
                    </w:rPr>
                    <w:t>2020</w:t>
                  </w:r>
                </w:p>
              </w:tc>
              <w:tc>
                <w:tcPr>
                  <w:tcW w:w="2467" w:type="dxa"/>
                  <w:gridSpan w:val="2"/>
                  <w:tcBorders>
                    <w:top w:val="single" w:sz="4" w:space="0" w:color="auto"/>
                    <w:left w:val="nil"/>
                    <w:bottom w:val="single" w:sz="4" w:space="0" w:color="auto"/>
                    <w:right w:val="single" w:sz="4" w:space="0" w:color="auto"/>
                  </w:tcBorders>
                  <w:shd w:val="clear" w:color="auto" w:fill="auto"/>
                  <w:vAlign w:val="center"/>
                  <w:hideMark/>
                </w:tcPr>
                <w:p w14:paraId="31DC0FCF" w14:textId="77777777" w:rsidR="00B04858" w:rsidRPr="00073663" w:rsidRDefault="00B04858" w:rsidP="00B04858">
                  <w:pPr>
                    <w:jc w:val="center"/>
                    <w:rPr>
                      <w:b/>
                      <w:bCs/>
                      <w:i/>
                      <w:iCs/>
                      <w:color w:val="000000"/>
                      <w:sz w:val="22"/>
                      <w:szCs w:val="22"/>
                    </w:rPr>
                  </w:pPr>
                  <w:r w:rsidRPr="00073663">
                    <w:rPr>
                      <w:b/>
                      <w:bCs/>
                      <w:i/>
                      <w:iCs/>
                      <w:color w:val="000000"/>
                      <w:sz w:val="22"/>
                      <w:lang w:val="ro-RO"/>
                    </w:rPr>
                    <w:t>2021</w:t>
                  </w:r>
                </w:p>
              </w:tc>
            </w:tr>
            <w:tr w:rsidR="00B04858" w:rsidRPr="00073663" w14:paraId="2369AE79" w14:textId="77777777" w:rsidTr="00005DD1">
              <w:trPr>
                <w:trHeight w:val="571"/>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4B6BD5DF" w14:textId="77777777" w:rsidR="00B04858" w:rsidRPr="00073663" w:rsidRDefault="00B04858" w:rsidP="00B04858">
                  <w:pPr>
                    <w:rPr>
                      <w:b/>
                      <w:bCs/>
                      <w:i/>
                      <w:iCs/>
                      <w:color w:val="000000"/>
                      <w:sz w:val="22"/>
                      <w:szCs w:val="22"/>
                    </w:rPr>
                  </w:pPr>
                </w:p>
              </w:tc>
              <w:tc>
                <w:tcPr>
                  <w:tcW w:w="1307" w:type="dxa"/>
                  <w:tcBorders>
                    <w:top w:val="nil"/>
                    <w:left w:val="nil"/>
                    <w:bottom w:val="single" w:sz="4" w:space="0" w:color="auto"/>
                    <w:right w:val="single" w:sz="4" w:space="0" w:color="auto"/>
                  </w:tcBorders>
                  <w:shd w:val="clear" w:color="auto" w:fill="auto"/>
                  <w:vAlign w:val="center"/>
                  <w:hideMark/>
                </w:tcPr>
                <w:p w14:paraId="02F8B823" w14:textId="77777777" w:rsidR="00B04858" w:rsidRPr="00073663" w:rsidRDefault="00B04858" w:rsidP="00B04858">
                  <w:pPr>
                    <w:jc w:val="center"/>
                    <w:rPr>
                      <w:b/>
                      <w:bCs/>
                      <w:i/>
                      <w:iCs/>
                      <w:color w:val="000000"/>
                      <w:sz w:val="22"/>
                      <w:szCs w:val="22"/>
                    </w:rPr>
                  </w:pPr>
                  <w:r w:rsidRPr="00073663">
                    <w:rPr>
                      <w:b/>
                      <w:bCs/>
                      <w:i/>
                      <w:iCs/>
                      <w:color w:val="000000"/>
                      <w:sz w:val="22"/>
                      <w:lang w:val="ro-RO"/>
                    </w:rPr>
                    <w:t>Total</w:t>
                  </w:r>
                </w:p>
              </w:tc>
              <w:tc>
                <w:tcPr>
                  <w:tcW w:w="1276" w:type="dxa"/>
                  <w:tcBorders>
                    <w:top w:val="nil"/>
                    <w:left w:val="nil"/>
                    <w:bottom w:val="single" w:sz="4" w:space="0" w:color="auto"/>
                    <w:right w:val="single" w:sz="4" w:space="0" w:color="auto"/>
                  </w:tcBorders>
                  <w:shd w:val="clear" w:color="auto" w:fill="auto"/>
                  <w:vAlign w:val="center"/>
                  <w:hideMark/>
                </w:tcPr>
                <w:p w14:paraId="1ABCCE50" w14:textId="77777777" w:rsidR="00B04858" w:rsidRPr="00073663" w:rsidRDefault="00B04858" w:rsidP="00B04858">
                  <w:pPr>
                    <w:jc w:val="center"/>
                    <w:rPr>
                      <w:b/>
                      <w:bCs/>
                      <w:i/>
                      <w:iCs/>
                      <w:color w:val="000000"/>
                      <w:sz w:val="22"/>
                      <w:szCs w:val="22"/>
                    </w:rPr>
                  </w:pPr>
                  <w:r w:rsidRPr="00073663">
                    <w:rPr>
                      <w:b/>
                      <w:bCs/>
                      <w:i/>
                      <w:iCs/>
                      <w:color w:val="000000"/>
                      <w:sz w:val="22"/>
                      <w:lang w:val="ro-RO"/>
                    </w:rPr>
                    <w:t>Achitate de persoane juridice</w:t>
                  </w:r>
                </w:p>
              </w:tc>
              <w:tc>
                <w:tcPr>
                  <w:tcW w:w="1134" w:type="dxa"/>
                  <w:tcBorders>
                    <w:top w:val="nil"/>
                    <w:left w:val="nil"/>
                    <w:bottom w:val="single" w:sz="4" w:space="0" w:color="auto"/>
                    <w:right w:val="single" w:sz="4" w:space="0" w:color="auto"/>
                  </w:tcBorders>
                  <w:shd w:val="clear" w:color="auto" w:fill="auto"/>
                  <w:vAlign w:val="center"/>
                  <w:hideMark/>
                </w:tcPr>
                <w:p w14:paraId="5843A45C" w14:textId="77777777" w:rsidR="00B04858" w:rsidRPr="00073663" w:rsidRDefault="00B04858" w:rsidP="00B04858">
                  <w:pPr>
                    <w:jc w:val="center"/>
                    <w:rPr>
                      <w:b/>
                      <w:bCs/>
                      <w:i/>
                      <w:iCs/>
                      <w:color w:val="000000"/>
                      <w:sz w:val="22"/>
                      <w:szCs w:val="22"/>
                    </w:rPr>
                  </w:pPr>
                  <w:r w:rsidRPr="00073663">
                    <w:rPr>
                      <w:b/>
                      <w:bCs/>
                      <w:i/>
                      <w:iCs/>
                      <w:color w:val="000000"/>
                      <w:sz w:val="22"/>
                      <w:lang w:val="ro-RO"/>
                    </w:rPr>
                    <w:t>Total</w:t>
                  </w:r>
                </w:p>
              </w:tc>
              <w:tc>
                <w:tcPr>
                  <w:tcW w:w="1276" w:type="dxa"/>
                  <w:tcBorders>
                    <w:top w:val="nil"/>
                    <w:left w:val="nil"/>
                    <w:bottom w:val="single" w:sz="4" w:space="0" w:color="auto"/>
                    <w:right w:val="single" w:sz="4" w:space="0" w:color="auto"/>
                  </w:tcBorders>
                  <w:shd w:val="clear" w:color="auto" w:fill="auto"/>
                  <w:vAlign w:val="center"/>
                  <w:hideMark/>
                </w:tcPr>
                <w:p w14:paraId="36055156" w14:textId="77777777" w:rsidR="00B04858" w:rsidRPr="00073663" w:rsidRDefault="00B04858" w:rsidP="00B04858">
                  <w:pPr>
                    <w:jc w:val="center"/>
                    <w:rPr>
                      <w:b/>
                      <w:bCs/>
                      <w:i/>
                      <w:iCs/>
                      <w:color w:val="000000"/>
                      <w:sz w:val="22"/>
                      <w:szCs w:val="22"/>
                    </w:rPr>
                  </w:pPr>
                  <w:r w:rsidRPr="00073663">
                    <w:rPr>
                      <w:b/>
                      <w:bCs/>
                      <w:i/>
                      <w:iCs/>
                      <w:color w:val="000000"/>
                      <w:sz w:val="22"/>
                      <w:lang w:val="ro-RO"/>
                    </w:rPr>
                    <w:t>Achitate de persoane juridice</w:t>
                  </w:r>
                </w:p>
              </w:tc>
              <w:tc>
                <w:tcPr>
                  <w:tcW w:w="1206" w:type="dxa"/>
                  <w:tcBorders>
                    <w:top w:val="nil"/>
                    <w:left w:val="nil"/>
                    <w:bottom w:val="single" w:sz="4" w:space="0" w:color="auto"/>
                    <w:right w:val="single" w:sz="4" w:space="0" w:color="auto"/>
                  </w:tcBorders>
                  <w:shd w:val="clear" w:color="auto" w:fill="auto"/>
                  <w:vAlign w:val="center"/>
                  <w:hideMark/>
                </w:tcPr>
                <w:p w14:paraId="050E2A03" w14:textId="77777777" w:rsidR="00B04858" w:rsidRPr="00073663" w:rsidRDefault="00B04858" w:rsidP="00B04858">
                  <w:pPr>
                    <w:jc w:val="center"/>
                    <w:rPr>
                      <w:b/>
                      <w:bCs/>
                      <w:i/>
                      <w:iCs/>
                      <w:color w:val="000000"/>
                      <w:sz w:val="22"/>
                      <w:szCs w:val="22"/>
                    </w:rPr>
                  </w:pPr>
                  <w:r w:rsidRPr="00073663">
                    <w:rPr>
                      <w:b/>
                      <w:bCs/>
                      <w:i/>
                      <w:iCs/>
                      <w:color w:val="000000"/>
                      <w:sz w:val="22"/>
                      <w:lang w:val="ro-RO"/>
                    </w:rPr>
                    <w:t>Total</w:t>
                  </w:r>
                </w:p>
              </w:tc>
              <w:tc>
                <w:tcPr>
                  <w:tcW w:w="1261" w:type="dxa"/>
                  <w:tcBorders>
                    <w:top w:val="nil"/>
                    <w:left w:val="nil"/>
                    <w:bottom w:val="single" w:sz="4" w:space="0" w:color="auto"/>
                    <w:right w:val="single" w:sz="4" w:space="0" w:color="auto"/>
                  </w:tcBorders>
                  <w:shd w:val="clear" w:color="auto" w:fill="auto"/>
                  <w:vAlign w:val="center"/>
                  <w:hideMark/>
                </w:tcPr>
                <w:p w14:paraId="0B6E596F" w14:textId="77777777" w:rsidR="00B04858" w:rsidRPr="00073663" w:rsidRDefault="00B04858" w:rsidP="00B04858">
                  <w:pPr>
                    <w:jc w:val="center"/>
                    <w:rPr>
                      <w:b/>
                      <w:bCs/>
                      <w:i/>
                      <w:iCs/>
                      <w:color w:val="000000"/>
                      <w:sz w:val="22"/>
                      <w:szCs w:val="22"/>
                    </w:rPr>
                  </w:pPr>
                  <w:r w:rsidRPr="00073663">
                    <w:rPr>
                      <w:b/>
                      <w:bCs/>
                      <w:i/>
                      <w:iCs/>
                      <w:color w:val="000000"/>
                      <w:sz w:val="22"/>
                      <w:lang w:val="ro-RO"/>
                    </w:rPr>
                    <w:t>Achitate de persoane juridice</w:t>
                  </w:r>
                </w:p>
              </w:tc>
            </w:tr>
            <w:tr w:rsidR="00B04858" w:rsidRPr="00073663" w14:paraId="39A92372" w14:textId="77777777" w:rsidTr="00005DD1">
              <w:trPr>
                <w:trHeight w:val="326"/>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85725CF" w14:textId="77777777" w:rsidR="00B04858" w:rsidRPr="00073663" w:rsidRDefault="00B04858" w:rsidP="00B04858">
                  <w:pPr>
                    <w:rPr>
                      <w:color w:val="000000"/>
                    </w:rPr>
                  </w:pPr>
                  <w:r w:rsidRPr="00073663">
                    <w:rPr>
                      <w:color w:val="000000"/>
                      <w:lang w:val="ro-RO"/>
                    </w:rPr>
                    <w:t>870120</w:t>
                  </w:r>
                </w:p>
              </w:tc>
              <w:tc>
                <w:tcPr>
                  <w:tcW w:w="1307" w:type="dxa"/>
                  <w:tcBorders>
                    <w:top w:val="nil"/>
                    <w:left w:val="nil"/>
                    <w:bottom w:val="single" w:sz="4" w:space="0" w:color="auto"/>
                    <w:right w:val="single" w:sz="4" w:space="0" w:color="auto"/>
                  </w:tcBorders>
                  <w:shd w:val="clear" w:color="auto" w:fill="auto"/>
                  <w:noWrap/>
                  <w:vAlign w:val="bottom"/>
                  <w:hideMark/>
                </w:tcPr>
                <w:p w14:paraId="32524579" w14:textId="77777777" w:rsidR="00B04858" w:rsidRPr="00073663" w:rsidRDefault="00B04858" w:rsidP="00B04858">
                  <w:pPr>
                    <w:jc w:val="right"/>
                    <w:rPr>
                      <w:color w:val="000000"/>
                      <w:sz w:val="22"/>
                      <w:szCs w:val="22"/>
                    </w:rPr>
                  </w:pPr>
                  <w:r w:rsidRPr="00073663">
                    <w:rPr>
                      <w:color w:val="000000"/>
                      <w:sz w:val="22"/>
                      <w:szCs w:val="22"/>
                    </w:rPr>
                    <w:t>101292225</w:t>
                  </w:r>
                </w:p>
              </w:tc>
              <w:tc>
                <w:tcPr>
                  <w:tcW w:w="1276" w:type="dxa"/>
                  <w:tcBorders>
                    <w:top w:val="nil"/>
                    <w:left w:val="nil"/>
                    <w:bottom w:val="single" w:sz="4" w:space="0" w:color="auto"/>
                    <w:right w:val="single" w:sz="4" w:space="0" w:color="auto"/>
                  </w:tcBorders>
                  <w:shd w:val="clear" w:color="auto" w:fill="auto"/>
                  <w:noWrap/>
                  <w:vAlign w:val="bottom"/>
                  <w:hideMark/>
                </w:tcPr>
                <w:p w14:paraId="1940138B" w14:textId="77777777" w:rsidR="00B04858" w:rsidRPr="00073663" w:rsidRDefault="00B04858" w:rsidP="00B04858">
                  <w:pPr>
                    <w:jc w:val="right"/>
                    <w:rPr>
                      <w:color w:val="000000"/>
                      <w:sz w:val="22"/>
                      <w:szCs w:val="22"/>
                    </w:rPr>
                  </w:pPr>
                  <w:r w:rsidRPr="00073663">
                    <w:rPr>
                      <w:color w:val="000000"/>
                      <w:sz w:val="22"/>
                      <w:szCs w:val="22"/>
                    </w:rPr>
                    <w:t>101292225</w:t>
                  </w:r>
                </w:p>
              </w:tc>
              <w:tc>
                <w:tcPr>
                  <w:tcW w:w="1134" w:type="dxa"/>
                  <w:tcBorders>
                    <w:top w:val="nil"/>
                    <w:left w:val="nil"/>
                    <w:bottom w:val="single" w:sz="4" w:space="0" w:color="auto"/>
                    <w:right w:val="single" w:sz="4" w:space="0" w:color="auto"/>
                  </w:tcBorders>
                  <w:shd w:val="clear" w:color="auto" w:fill="auto"/>
                  <w:noWrap/>
                  <w:vAlign w:val="bottom"/>
                  <w:hideMark/>
                </w:tcPr>
                <w:p w14:paraId="4A3A7424" w14:textId="77777777" w:rsidR="00B04858" w:rsidRPr="00073663" w:rsidRDefault="00B04858" w:rsidP="00B04858">
                  <w:pPr>
                    <w:jc w:val="right"/>
                    <w:rPr>
                      <w:color w:val="000000"/>
                      <w:sz w:val="22"/>
                      <w:szCs w:val="22"/>
                    </w:rPr>
                  </w:pPr>
                  <w:r w:rsidRPr="00073663">
                    <w:rPr>
                      <w:color w:val="000000"/>
                      <w:sz w:val="22"/>
                      <w:szCs w:val="22"/>
                    </w:rPr>
                    <w:t>88992193</w:t>
                  </w:r>
                </w:p>
              </w:tc>
              <w:tc>
                <w:tcPr>
                  <w:tcW w:w="1276" w:type="dxa"/>
                  <w:tcBorders>
                    <w:top w:val="nil"/>
                    <w:left w:val="nil"/>
                    <w:bottom w:val="single" w:sz="4" w:space="0" w:color="auto"/>
                    <w:right w:val="single" w:sz="4" w:space="0" w:color="auto"/>
                  </w:tcBorders>
                  <w:shd w:val="clear" w:color="auto" w:fill="auto"/>
                  <w:noWrap/>
                  <w:vAlign w:val="bottom"/>
                  <w:hideMark/>
                </w:tcPr>
                <w:p w14:paraId="3F866F35" w14:textId="77777777" w:rsidR="00B04858" w:rsidRPr="00073663" w:rsidRDefault="00B04858" w:rsidP="00B04858">
                  <w:pPr>
                    <w:jc w:val="right"/>
                    <w:rPr>
                      <w:color w:val="000000"/>
                      <w:sz w:val="22"/>
                      <w:szCs w:val="22"/>
                    </w:rPr>
                  </w:pPr>
                  <w:r w:rsidRPr="00073663">
                    <w:rPr>
                      <w:color w:val="000000"/>
                      <w:sz w:val="22"/>
                      <w:szCs w:val="22"/>
                    </w:rPr>
                    <w:t>88992193</w:t>
                  </w:r>
                </w:p>
              </w:tc>
              <w:tc>
                <w:tcPr>
                  <w:tcW w:w="1206" w:type="dxa"/>
                  <w:tcBorders>
                    <w:top w:val="nil"/>
                    <w:left w:val="nil"/>
                    <w:bottom w:val="single" w:sz="4" w:space="0" w:color="auto"/>
                    <w:right w:val="single" w:sz="4" w:space="0" w:color="auto"/>
                  </w:tcBorders>
                  <w:shd w:val="clear" w:color="auto" w:fill="auto"/>
                  <w:noWrap/>
                  <w:vAlign w:val="bottom"/>
                  <w:hideMark/>
                </w:tcPr>
                <w:p w14:paraId="23650DD6" w14:textId="77777777" w:rsidR="00B04858" w:rsidRPr="00073663" w:rsidRDefault="00B04858" w:rsidP="00B04858">
                  <w:pPr>
                    <w:jc w:val="right"/>
                    <w:rPr>
                      <w:color w:val="000000"/>
                      <w:sz w:val="22"/>
                      <w:szCs w:val="22"/>
                    </w:rPr>
                  </w:pPr>
                  <w:r w:rsidRPr="00073663">
                    <w:rPr>
                      <w:color w:val="000000"/>
                      <w:sz w:val="22"/>
                      <w:szCs w:val="22"/>
                    </w:rPr>
                    <w:t>131113873</w:t>
                  </w:r>
                </w:p>
              </w:tc>
              <w:tc>
                <w:tcPr>
                  <w:tcW w:w="1261" w:type="dxa"/>
                  <w:tcBorders>
                    <w:top w:val="nil"/>
                    <w:left w:val="nil"/>
                    <w:bottom w:val="single" w:sz="4" w:space="0" w:color="auto"/>
                    <w:right w:val="single" w:sz="4" w:space="0" w:color="auto"/>
                  </w:tcBorders>
                  <w:shd w:val="clear" w:color="auto" w:fill="auto"/>
                  <w:noWrap/>
                  <w:vAlign w:val="bottom"/>
                  <w:hideMark/>
                </w:tcPr>
                <w:p w14:paraId="76D08C74" w14:textId="77777777" w:rsidR="00B04858" w:rsidRPr="00073663" w:rsidRDefault="00B04858" w:rsidP="00B04858">
                  <w:pPr>
                    <w:jc w:val="right"/>
                    <w:rPr>
                      <w:color w:val="000000"/>
                      <w:sz w:val="22"/>
                      <w:szCs w:val="22"/>
                    </w:rPr>
                  </w:pPr>
                  <w:r w:rsidRPr="00073663">
                    <w:rPr>
                      <w:color w:val="000000"/>
                      <w:sz w:val="22"/>
                      <w:szCs w:val="22"/>
                    </w:rPr>
                    <w:t>127563194</w:t>
                  </w:r>
                </w:p>
              </w:tc>
            </w:tr>
            <w:tr w:rsidR="00B04858" w:rsidRPr="00073663" w14:paraId="2866F859" w14:textId="77777777" w:rsidTr="00005DD1">
              <w:trPr>
                <w:trHeight w:val="340"/>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8C19612" w14:textId="77777777" w:rsidR="00B04858" w:rsidRPr="00073663" w:rsidRDefault="00B04858" w:rsidP="00B04858">
                  <w:pPr>
                    <w:rPr>
                      <w:color w:val="000000"/>
                    </w:rPr>
                  </w:pPr>
                  <w:r w:rsidRPr="00073663">
                    <w:rPr>
                      <w:color w:val="000000"/>
                      <w:lang w:val="ro-RO"/>
                    </w:rPr>
                    <w:t>8704</w:t>
                  </w:r>
                </w:p>
              </w:tc>
              <w:tc>
                <w:tcPr>
                  <w:tcW w:w="1307" w:type="dxa"/>
                  <w:tcBorders>
                    <w:top w:val="nil"/>
                    <w:left w:val="nil"/>
                    <w:bottom w:val="single" w:sz="4" w:space="0" w:color="auto"/>
                    <w:right w:val="single" w:sz="4" w:space="0" w:color="auto"/>
                  </w:tcBorders>
                  <w:shd w:val="clear" w:color="auto" w:fill="auto"/>
                  <w:noWrap/>
                  <w:vAlign w:val="bottom"/>
                  <w:hideMark/>
                </w:tcPr>
                <w:p w14:paraId="25A6F939" w14:textId="77777777" w:rsidR="00B04858" w:rsidRPr="00073663" w:rsidRDefault="00B04858" w:rsidP="00B04858">
                  <w:pPr>
                    <w:jc w:val="right"/>
                    <w:rPr>
                      <w:color w:val="000000"/>
                      <w:sz w:val="22"/>
                      <w:szCs w:val="22"/>
                    </w:rPr>
                  </w:pPr>
                  <w:r w:rsidRPr="00073663">
                    <w:rPr>
                      <w:color w:val="000000"/>
                      <w:sz w:val="22"/>
                      <w:szCs w:val="22"/>
                    </w:rPr>
                    <w:t>60989914</w:t>
                  </w:r>
                </w:p>
              </w:tc>
              <w:tc>
                <w:tcPr>
                  <w:tcW w:w="1276" w:type="dxa"/>
                  <w:tcBorders>
                    <w:top w:val="nil"/>
                    <w:left w:val="nil"/>
                    <w:bottom w:val="single" w:sz="4" w:space="0" w:color="auto"/>
                    <w:right w:val="single" w:sz="4" w:space="0" w:color="auto"/>
                  </w:tcBorders>
                  <w:shd w:val="clear" w:color="auto" w:fill="auto"/>
                  <w:noWrap/>
                  <w:vAlign w:val="bottom"/>
                  <w:hideMark/>
                </w:tcPr>
                <w:p w14:paraId="11B3BA87" w14:textId="77777777" w:rsidR="00B04858" w:rsidRPr="00073663" w:rsidRDefault="00B04858" w:rsidP="00B04858">
                  <w:pPr>
                    <w:jc w:val="right"/>
                    <w:rPr>
                      <w:color w:val="000000"/>
                      <w:sz w:val="22"/>
                      <w:szCs w:val="22"/>
                    </w:rPr>
                  </w:pPr>
                  <w:r w:rsidRPr="00073663">
                    <w:rPr>
                      <w:color w:val="000000"/>
                      <w:sz w:val="22"/>
                      <w:szCs w:val="22"/>
                    </w:rPr>
                    <w:t>17639247</w:t>
                  </w:r>
                </w:p>
              </w:tc>
              <w:tc>
                <w:tcPr>
                  <w:tcW w:w="1134" w:type="dxa"/>
                  <w:tcBorders>
                    <w:top w:val="nil"/>
                    <w:left w:val="nil"/>
                    <w:bottom w:val="single" w:sz="4" w:space="0" w:color="auto"/>
                    <w:right w:val="single" w:sz="4" w:space="0" w:color="auto"/>
                  </w:tcBorders>
                  <w:shd w:val="clear" w:color="auto" w:fill="auto"/>
                  <w:noWrap/>
                  <w:vAlign w:val="bottom"/>
                  <w:hideMark/>
                </w:tcPr>
                <w:p w14:paraId="37079713" w14:textId="77777777" w:rsidR="00B04858" w:rsidRPr="00073663" w:rsidRDefault="00B04858" w:rsidP="00B04858">
                  <w:pPr>
                    <w:jc w:val="right"/>
                    <w:rPr>
                      <w:color w:val="000000"/>
                      <w:sz w:val="22"/>
                      <w:szCs w:val="22"/>
                    </w:rPr>
                  </w:pPr>
                  <w:r w:rsidRPr="00073663">
                    <w:rPr>
                      <w:color w:val="000000"/>
                      <w:sz w:val="22"/>
                      <w:szCs w:val="22"/>
                    </w:rPr>
                    <w:t>51727326</w:t>
                  </w:r>
                </w:p>
              </w:tc>
              <w:tc>
                <w:tcPr>
                  <w:tcW w:w="1276" w:type="dxa"/>
                  <w:tcBorders>
                    <w:top w:val="nil"/>
                    <w:left w:val="nil"/>
                    <w:bottom w:val="single" w:sz="4" w:space="0" w:color="auto"/>
                    <w:right w:val="single" w:sz="4" w:space="0" w:color="auto"/>
                  </w:tcBorders>
                  <w:shd w:val="clear" w:color="auto" w:fill="auto"/>
                  <w:noWrap/>
                  <w:vAlign w:val="bottom"/>
                  <w:hideMark/>
                </w:tcPr>
                <w:p w14:paraId="393B7910" w14:textId="77777777" w:rsidR="00B04858" w:rsidRPr="00073663" w:rsidRDefault="00B04858" w:rsidP="00B04858">
                  <w:pPr>
                    <w:jc w:val="right"/>
                    <w:rPr>
                      <w:color w:val="000000"/>
                      <w:sz w:val="22"/>
                      <w:szCs w:val="22"/>
                    </w:rPr>
                  </w:pPr>
                  <w:r w:rsidRPr="00073663">
                    <w:rPr>
                      <w:color w:val="000000"/>
                      <w:sz w:val="22"/>
                      <w:szCs w:val="22"/>
                    </w:rPr>
                    <w:t>6098994</w:t>
                  </w:r>
                </w:p>
              </w:tc>
              <w:tc>
                <w:tcPr>
                  <w:tcW w:w="1206" w:type="dxa"/>
                  <w:tcBorders>
                    <w:top w:val="nil"/>
                    <w:left w:val="nil"/>
                    <w:bottom w:val="single" w:sz="4" w:space="0" w:color="auto"/>
                    <w:right w:val="single" w:sz="4" w:space="0" w:color="auto"/>
                  </w:tcBorders>
                  <w:shd w:val="clear" w:color="auto" w:fill="auto"/>
                  <w:noWrap/>
                  <w:vAlign w:val="bottom"/>
                  <w:hideMark/>
                </w:tcPr>
                <w:p w14:paraId="39A02764" w14:textId="77777777" w:rsidR="00B04858" w:rsidRPr="00073663" w:rsidRDefault="00B04858" w:rsidP="00B04858">
                  <w:pPr>
                    <w:jc w:val="right"/>
                    <w:rPr>
                      <w:color w:val="000000"/>
                      <w:sz w:val="22"/>
                      <w:szCs w:val="22"/>
                    </w:rPr>
                  </w:pPr>
                  <w:r w:rsidRPr="00073663">
                    <w:rPr>
                      <w:color w:val="000000"/>
                      <w:sz w:val="22"/>
                      <w:szCs w:val="22"/>
                    </w:rPr>
                    <w:t>91155320</w:t>
                  </w:r>
                </w:p>
              </w:tc>
              <w:tc>
                <w:tcPr>
                  <w:tcW w:w="1261" w:type="dxa"/>
                  <w:tcBorders>
                    <w:top w:val="nil"/>
                    <w:left w:val="nil"/>
                    <w:bottom w:val="single" w:sz="4" w:space="0" w:color="auto"/>
                    <w:right w:val="single" w:sz="4" w:space="0" w:color="auto"/>
                  </w:tcBorders>
                  <w:shd w:val="clear" w:color="auto" w:fill="auto"/>
                  <w:noWrap/>
                  <w:vAlign w:val="bottom"/>
                  <w:hideMark/>
                </w:tcPr>
                <w:p w14:paraId="5013F33B" w14:textId="77777777" w:rsidR="00B04858" w:rsidRPr="00073663" w:rsidRDefault="00B04858" w:rsidP="00B04858">
                  <w:pPr>
                    <w:jc w:val="right"/>
                    <w:rPr>
                      <w:color w:val="000000"/>
                      <w:sz w:val="22"/>
                      <w:szCs w:val="22"/>
                    </w:rPr>
                  </w:pPr>
                  <w:r w:rsidRPr="00073663">
                    <w:rPr>
                      <w:color w:val="000000"/>
                      <w:sz w:val="22"/>
                      <w:szCs w:val="22"/>
                    </w:rPr>
                    <w:t>69129184</w:t>
                  </w:r>
                </w:p>
              </w:tc>
            </w:tr>
            <w:tr w:rsidR="00B04858" w:rsidRPr="00073663" w14:paraId="1AFADE40" w14:textId="77777777" w:rsidTr="00005DD1">
              <w:trPr>
                <w:trHeight w:val="326"/>
                <w:jc w:val="center"/>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15246FA" w14:textId="77777777" w:rsidR="00B04858" w:rsidRPr="00073663" w:rsidRDefault="00B04858" w:rsidP="00B04858">
                  <w:pPr>
                    <w:rPr>
                      <w:color w:val="000000"/>
                    </w:rPr>
                  </w:pPr>
                  <w:r w:rsidRPr="00073663">
                    <w:rPr>
                      <w:color w:val="000000"/>
                      <w:lang w:val="ro-RO"/>
                    </w:rPr>
                    <w:t>8702</w:t>
                  </w:r>
                </w:p>
              </w:tc>
              <w:tc>
                <w:tcPr>
                  <w:tcW w:w="1307" w:type="dxa"/>
                  <w:tcBorders>
                    <w:top w:val="nil"/>
                    <w:left w:val="nil"/>
                    <w:bottom w:val="single" w:sz="4" w:space="0" w:color="auto"/>
                    <w:right w:val="single" w:sz="4" w:space="0" w:color="auto"/>
                  </w:tcBorders>
                  <w:shd w:val="clear" w:color="auto" w:fill="auto"/>
                  <w:noWrap/>
                  <w:vAlign w:val="bottom"/>
                  <w:hideMark/>
                </w:tcPr>
                <w:p w14:paraId="1C7993BA" w14:textId="77777777" w:rsidR="00B04858" w:rsidRPr="00073663" w:rsidRDefault="00B04858" w:rsidP="00B04858">
                  <w:pPr>
                    <w:jc w:val="right"/>
                    <w:rPr>
                      <w:color w:val="000000"/>
                      <w:sz w:val="22"/>
                      <w:szCs w:val="22"/>
                    </w:rPr>
                  </w:pPr>
                  <w:r w:rsidRPr="00073663">
                    <w:rPr>
                      <w:color w:val="000000"/>
                      <w:sz w:val="22"/>
                      <w:szCs w:val="22"/>
                    </w:rPr>
                    <w:t>20360439</w:t>
                  </w:r>
                </w:p>
              </w:tc>
              <w:tc>
                <w:tcPr>
                  <w:tcW w:w="1276" w:type="dxa"/>
                  <w:tcBorders>
                    <w:top w:val="nil"/>
                    <w:left w:val="nil"/>
                    <w:bottom w:val="single" w:sz="4" w:space="0" w:color="auto"/>
                    <w:right w:val="single" w:sz="4" w:space="0" w:color="auto"/>
                  </w:tcBorders>
                  <w:shd w:val="clear" w:color="auto" w:fill="auto"/>
                  <w:noWrap/>
                  <w:vAlign w:val="bottom"/>
                  <w:hideMark/>
                </w:tcPr>
                <w:p w14:paraId="7F25152B" w14:textId="77777777" w:rsidR="00B04858" w:rsidRPr="00073663" w:rsidRDefault="00B04858" w:rsidP="00B04858">
                  <w:pPr>
                    <w:jc w:val="right"/>
                    <w:rPr>
                      <w:color w:val="000000"/>
                      <w:sz w:val="22"/>
                      <w:szCs w:val="22"/>
                    </w:rPr>
                  </w:pPr>
                  <w:r w:rsidRPr="00073663">
                    <w:rPr>
                      <w:color w:val="000000"/>
                      <w:sz w:val="22"/>
                      <w:szCs w:val="22"/>
                    </w:rPr>
                    <w:t>53879100</w:t>
                  </w:r>
                </w:p>
              </w:tc>
              <w:tc>
                <w:tcPr>
                  <w:tcW w:w="1134" w:type="dxa"/>
                  <w:tcBorders>
                    <w:top w:val="nil"/>
                    <w:left w:val="nil"/>
                    <w:bottom w:val="single" w:sz="4" w:space="0" w:color="auto"/>
                    <w:right w:val="single" w:sz="4" w:space="0" w:color="auto"/>
                  </w:tcBorders>
                  <w:shd w:val="clear" w:color="auto" w:fill="auto"/>
                  <w:noWrap/>
                  <w:vAlign w:val="bottom"/>
                  <w:hideMark/>
                </w:tcPr>
                <w:p w14:paraId="4CAA0137" w14:textId="77777777" w:rsidR="00B04858" w:rsidRPr="00073663" w:rsidRDefault="00B04858" w:rsidP="00B04858">
                  <w:pPr>
                    <w:jc w:val="right"/>
                    <w:rPr>
                      <w:color w:val="000000"/>
                      <w:sz w:val="22"/>
                      <w:szCs w:val="22"/>
                    </w:rPr>
                  </w:pPr>
                  <w:r w:rsidRPr="00073663">
                    <w:rPr>
                      <w:color w:val="000000"/>
                      <w:sz w:val="22"/>
                      <w:szCs w:val="22"/>
                    </w:rPr>
                    <w:t>7452115</w:t>
                  </w:r>
                </w:p>
              </w:tc>
              <w:tc>
                <w:tcPr>
                  <w:tcW w:w="1276" w:type="dxa"/>
                  <w:tcBorders>
                    <w:top w:val="nil"/>
                    <w:left w:val="nil"/>
                    <w:bottom w:val="single" w:sz="4" w:space="0" w:color="auto"/>
                    <w:right w:val="single" w:sz="4" w:space="0" w:color="auto"/>
                  </w:tcBorders>
                  <w:shd w:val="clear" w:color="auto" w:fill="auto"/>
                  <w:noWrap/>
                  <w:vAlign w:val="bottom"/>
                  <w:hideMark/>
                </w:tcPr>
                <w:p w14:paraId="30FD78B8" w14:textId="77777777" w:rsidR="00B04858" w:rsidRPr="00073663" w:rsidRDefault="00B04858" w:rsidP="00B04858">
                  <w:pPr>
                    <w:jc w:val="right"/>
                    <w:rPr>
                      <w:color w:val="000000"/>
                      <w:sz w:val="22"/>
                      <w:szCs w:val="22"/>
                    </w:rPr>
                  </w:pPr>
                  <w:r w:rsidRPr="00073663">
                    <w:rPr>
                      <w:color w:val="000000"/>
                      <w:sz w:val="22"/>
                      <w:szCs w:val="22"/>
                    </w:rPr>
                    <w:t>41418747</w:t>
                  </w:r>
                </w:p>
              </w:tc>
              <w:tc>
                <w:tcPr>
                  <w:tcW w:w="1206" w:type="dxa"/>
                  <w:tcBorders>
                    <w:top w:val="nil"/>
                    <w:left w:val="nil"/>
                    <w:bottom w:val="single" w:sz="4" w:space="0" w:color="auto"/>
                    <w:right w:val="single" w:sz="4" w:space="0" w:color="auto"/>
                  </w:tcBorders>
                  <w:shd w:val="clear" w:color="auto" w:fill="auto"/>
                  <w:noWrap/>
                  <w:vAlign w:val="bottom"/>
                  <w:hideMark/>
                </w:tcPr>
                <w:p w14:paraId="070CE73D" w14:textId="77777777" w:rsidR="00B04858" w:rsidRPr="00073663" w:rsidRDefault="00B04858" w:rsidP="00B04858">
                  <w:pPr>
                    <w:jc w:val="right"/>
                    <w:rPr>
                      <w:color w:val="000000"/>
                      <w:sz w:val="22"/>
                      <w:szCs w:val="22"/>
                    </w:rPr>
                  </w:pPr>
                  <w:r w:rsidRPr="00073663">
                    <w:rPr>
                      <w:color w:val="000000"/>
                      <w:sz w:val="22"/>
                      <w:szCs w:val="22"/>
                    </w:rPr>
                    <w:t>5161074</w:t>
                  </w:r>
                </w:p>
              </w:tc>
              <w:tc>
                <w:tcPr>
                  <w:tcW w:w="1261" w:type="dxa"/>
                  <w:tcBorders>
                    <w:top w:val="nil"/>
                    <w:left w:val="nil"/>
                    <w:bottom w:val="single" w:sz="4" w:space="0" w:color="auto"/>
                    <w:right w:val="single" w:sz="4" w:space="0" w:color="auto"/>
                  </w:tcBorders>
                  <w:shd w:val="clear" w:color="auto" w:fill="auto"/>
                  <w:noWrap/>
                  <w:vAlign w:val="bottom"/>
                  <w:hideMark/>
                </w:tcPr>
                <w:p w14:paraId="150FD213" w14:textId="77777777" w:rsidR="00B04858" w:rsidRPr="00073663" w:rsidRDefault="00B04858" w:rsidP="00B04858">
                  <w:pPr>
                    <w:jc w:val="right"/>
                    <w:rPr>
                      <w:color w:val="000000"/>
                      <w:sz w:val="22"/>
                      <w:szCs w:val="22"/>
                    </w:rPr>
                  </w:pPr>
                  <w:r w:rsidRPr="00073663">
                    <w:rPr>
                      <w:color w:val="000000"/>
                      <w:sz w:val="22"/>
                      <w:szCs w:val="22"/>
                    </w:rPr>
                    <w:t>2439882</w:t>
                  </w:r>
                </w:p>
              </w:tc>
            </w:tr>
          </w:tbl>
          <w:p w14:paraId="252CEB55" w14:textId="77777777" w:rsidR="00B04858" w:rsidRDefault="00B04858" w:rsidP="00B04858">
            <w:pPr>
              <w:rPr>
                <w:lang w:val="ro-RO"/>
              </w:rPr>
            </w:pPr>
            <w:r w:rsidRPr="00AF6378">
              <w:rPr>
                <w:lang w:val="ro-RO"/>
              </w:rPr>
              <w:t xml:space="preserve"> </w:t>
            </w:r>
          </w:p>
          <w:p w14:paraId="474CEA8E" w14:textId="2320F099" w:rsidR="00B04858" w:rsidRDefault="00B04858" w:rsidP="00D1256E">
            <w:pPr>
              <w:ind w:firstLine="706"/>
              <w:jc w:val="both"/>
              <w:rPr>
                <w:lang w:val="ro-RO"/>
              </w:rPr>
            </w:pPr>
            <w:r>
              <w:rPr>
                <w:lang w:val="ro-RO"/>
              </w:rPr>
              <w:t xml:space="preserve">În acest context, luînd în considerare modificările propuse raportând la valoarea drepturilor de import achitate, estimativ costul intervenției va fi de cca 130 </w:t>
            </w:r>
            <w:proofErr w:type="spellStart"/>
            <w:r>
              <w:rPr>
                <w:lang w:val="ro-RO"/>
              </w:rPr>
              <w:t>mln</w:t>
            </w:r>
            <w:proofErr w:type="spellEnd"/>
            <w:r>
              <w:rPr>
                <w:lang w:val="ro-RO"/>
              </w:rPr>
              <w:t>. lei, în cazul în care se vor introduce și plasa sub regim de import un număr identic de unități de transport ca în 2021.</w:t>
            </w:r>
          </w:p>
          <w:p w14:paraId="252B5CEE" w14:textId="32516CDA" w:rsidR="00A46C6E" w:rsidRPr="00356AD8" w:rsidRDefault="00356AD8" w:rsidP="0051683A">
            <w:pPr>
              <w:ind w:firstLine="601"/>
              <w:jc w:val="both"/>
              <w:rPr>
                <w:lang w:val="ro-RO"/>
              </w:rPr>
            </w:pPr>
            <w:r>
              <w:rPr>
                <w:lang w:val="ro-RO"/>
              </w:rPr>
              <w:t>Sursele financiare necesare pentru acoperirea cheltuielilor vor fi identificate la elaborarea propunerilor de rectificare a Bugetului de stat pentru anul în</w:t>
            </w:r>
            <w:r w:rsidR="0051683A">
              <w:rPr>
                <w:lang w:val="ro-RO"/>
              </w:rPr>
              <w:t xml:space="preserve"> curs</w:t>
            </w:r>
            <w:r>
              <w:rPr>
                <w:lang w:val="ro-RO"/>
              </w:rPr>
              <w:t>.</w:t>
            </w:r>
            <w:bookmarkStart w:id="0" w:name="_GoBack"/>
            <w:bookmarkEnd w:id="0"/>
          </w:p>
        </w:tc>
      </w:tr>
      <w:tr w:rsidR="00A46C6E" w:rsidRPr="009E4480" w14:paraId="1C109512" w14:textId="77777777" w:rsidTr="009E4480">
        <w:tc>
          <w:tcPr>
            <w:tcW w:w="10065" w:type="dxa"/>
          </w:tcPr>
          <w:p w14:paraId="76650227" w14:textId="2E4446CB" w:rsidR="00A46C6E" w:rsidRPr="009E4480" w:rsidRDefault="00A46C6E" w:rsidP="00A46C6E">
            <w:pPr>
              <w:ind w:firstLine="596"/>
              <w:jc w:val="both"/>
              <w:rPr>
                <w:b/>
                <w:lang w:val="ro-RO"/>
              </w:rPr>
            </w:pPr>
            <w:r w:rsidRPr="009E4480">
              <w:rPr>
                <w:rFonts w:eastAsia="Calibri"/>
                <w:b/>
                <w:lang w:val="ro-RO"/>
              </w:rPr>
              <w:lastRenderedPageBreak/>
              <w:t>6. Modul de încorporare a actului în cadrul normativ în vigoare</w:t>
            </w:r>
          </w:p>
        </w:tc>
      </w:tr>
      <w:tr w:rsidR="00A46C6E" w:rsidRPr="009E4480" w14:paraId="522900A5" w14:textId="77777777" w:rsidTr="009E4480">
        <w:tc>
          <w:tcPr>
            <w:tcW w:w="10065" w:type="dxa"/>
          </w:tcPr>
          <w:p w14:paraId="2CB26066" w14:textId="00FF8AAF" w:rsidR="00A46C6E" w:rsidRPr="009E4480" w:rsidRDefault="00A46C6E" w:rsidP="004E26CD">
            <w:pPr>
              <w:ind w:firstLine="596"/>
              <w:jc w:val="both"/>
              <w:rPr>
                <w:b/>
                <w:lang w:val="ro-RO"/>
              </w:rPr>
            </w:pPr>
            <w:r w:rsidRPr="009E4480">
              <w:rPr>
                <w:lang w:val="ro-RO"/>
              </w:rPr>
              <w:lastRenderedPageBreak/>
              <w:t xml:space="preserve">Proiectul elaborat se încadrează în </w:t>
            </w:r>
            <w:r w:rsidR="004E26CD" w:rsidRPr="009E4480">
              <w:rPr>
                <w:lang w:val="ro-RO"/>
              </w:rPr>
              <w:t xml:space="preserve">prevederile </w:t>
            </w:r>
            <w:r w:rsidRPr="009E4480">
              <w:rPr>
                <w:lang w:val="ro-RO"/>
              </w:rPr>
              <w:t>cadrul</w:t>
            </w:r>
            <w:r w:rsidR="004E26CD" w:rsidRPr="009E4480">
              <w:rPr>
                <w:lang w:val="ro-RO"/>
              </w:rPr>
              <w:t>ui</w:t>
            </w:r>
            <w:r w:rsidRPr="009E4480">
              <w:rPr>
                <w:lang w:val="ro-RO"/>
              </w:rPr>
              <w:t xml:space="preserve"> normativ în vigoare, </w:t>
            </w:r>
            <w:r w:rsidR="004E26CD" w:rsidRPr="009E4480">
              <w:rPr>
                <w:lang w:val="ro-RO"/>
              </w:rPr>
              <w:t>respectiv</w:t>
            </w:r>
            <w:r w:rsidR="00CB33BA" w:rsidRPr="009E4480">
              <w:rPr>
                <w:lang w:val="ro-RO"/>
              </w:rPr>
              <w:t xml:space="preserve"> </w:t>
            </w:r>
            <w:r w:rsidRPr="009E4480">
              <w:rPr>
                <w:lang w:val="ro-RO"/>
              </w:rPr>
              <w:t>aprobare</w:t>
            </w:r>
            <w:r w:rsidR="004E26CD" w:rsidRPr="009E4480">
              <w:rPr>
                <w:lang w:val="ro-RO"/>
              </w:rPr>
              <w:t>a acestuia</w:t>
            </w:r>
            <w:r w:rsidRPr="009E4480">
              <w:rPr>
                <w:lang w:val="ro-RO"/>
              </w:rPr>
              <w:t xml:space="preserve"> nu </w:t>
            </w:r>
            <w:r w:rsidR="004E26CD" w:rsidRPr="009E4480">
              <w:rPr>
                <w:lang w:val="ro-RO"/>
              </w:rPr>
              <w:t>implică</w:t>
            </w:r>
            <w:r w:rsidRPr="009E4480">
              <w:rPr>
                <w:lang w:val="ro-RO"/>
              </w:rPr>
              <w:t xml:space="preserve"> necesitatea</w:t>
            </w:r>
            <w:r w:rsidR="004E26CD" w:rsidRPr="009E4480">
              <w:rPr>
                <w:lang w:val="ro-RO"/>
              </w:rPr>
              <w:t xml:space="preserve"> modificării</w:t>
            </w:r>
            <w:r w:rsidRPr="009E4480">
              <w:rPr>
                <w:lang w:val="ro-RO"/>
              </w:rPr>
              <w:t xml:space="preserve"> altor acte normative.</w:t>
            </w:r>
          </w:p>
        </w:tc>
      </w:tr>
      <w:tr w:rsidR="00A46C6E" w:rsidRPr="009E4480" w14:paraId="370ACBFE" w14:textId="77777777" w:rsidTr="009E4480">
        <w:tc>
          <w:tcPr>
            <w:tcW w:w="10065" w:type="dxa"/>
          </w:tcPr>
          <w:p w14:paraId="54C57AF4" w14:textId="6C4E6C44" w:rsidR="00A46C6E" w:rsidRPr="009E4480" w:rsidRDefault="00A46C6E" w:rsidP="00A46C6E">
            <w:pPr>
              <w:ind w:firstLine="596"/>
              <w:jc w:val="both"/>
              <w:rPr>
                <w:b/>
                <w:lang w:val="ro-RO"/>
              </w:rPr>
            </w:pPr>
            <w:r w:rsidRPr="009E4480">
              <w:rPr>
                <w:rFonts w:eastAsia="Calibri"/>
                <w:b/>
                <w:lang w:val="ro-RO"/>
              </w:rPr>
              <w:t>7. Avizarea şi consultarea publică a proiectului</w:t>
            </w:r>
          </w:p>
        </w:tc>
      </w:tr>
      <w:tr w:rsidR="00A46C6E" w:rsidRPr="009E4480" w14:paraId="14B8DBFA" w14:textId="77777777" w:rsidTr="009E4480">
        <w:tc>
          <w:tcPr>
            <w:tcW w:w="10065" w:type="dxa"/>
          </w:tcPr>
          <w:p w14:paraId="1B33A48B" w14:textId="3A823520" w:rsidR="00763E6D" w:rsidRDefault="00EC5F83" w:rsidP="00D1256E">
            <w:pPr>
              <w:pStyle w:val="NoSpacing"/>
              <w:ind w:firstLine="596"/>
              <w:rPr>
                <w:rFonts w:ascii="Times New Roman" w:eastAsia="Times New Roman" w:hAnsi="Times New Roman"/>
                <w:bCs/>
                <w:sz w:val="24"/>
                <w:szCs w:val="24"/>
                <w:lang w:val="ro-RO"/>
              </w:rPr>
            </w:pPr>
            <w:r w:rsidRPr="009E4480">
              <w:rPr>
                <w:rFonts w:ascii="Times New Roman" w:eastAsia="Times New Roman" w:hAnsi="Times New Roman"/>
                <w:bCs/>
                <w:sz w:val="24"/>
                <w:szCs w:val="24"/>
                <w:lang w:val="ro-RO"/>
              </w:rPr>
              <w:t xml:space="preserve">În scopul respectării prevederilor Legii </w:t>
            </w:r>
            <w:r w:rsidR="00946CA9">
              <w:rPr>
                <w:rFonts w:ascii="Times New Roman" w:eastAsia="Times New Roman" w:hAnsi="Times New Roman"/>
                <w:bCs/>
                <w:sz w:val="24"/>
                <w:szCs w:val="24"/>
                <w:lang w:val="ro-RO"/>
              </w:rPr>
              <w:t>nr.</w:t>
            </w:r>
            <w:r w:rsidRPr="009E4480">
              <w:rPr>
                <w:rFonts w:ascii="Times New Roman" w:eastAsia="Times New Roman" w:hAnsi="Times New Roman"/>
                <w:bCs/>
                <w:sz w:val="24"/>
                <w:szCs w:val="24"/>
                <w:lang w:val="ro-RO"/>
              </w:rPr>
              <w:t xml:space="preserve">239/2008 privind transparența în procesul decizional, anunțul privind </w:t>
            </w:r>
            <w:r w:rsidR="00763E6D" w:rsidRPr="00763E6D">
              <w:rPr>
                <w:rFonts w:ascii="Times New Roman" w:eastAsia="Times New Roman" w:hAnsi="Times New Roman"/>
                <w:bCs/>
                <w:sz w:val="24"/>
                <w:szCs w:val="24"/>
                <w:lang w:val="ro-RO"/>
              </w:rPr>
              <w:t>inițierea procesului de elaborare a proiectului</w:t>
            </w:r>
            <w:r w:rsidR="00763E6D">
              <w:rPr>
                <w:rFonts w:ascii="Times New Roman" w:eastAsia="Times New Roman" w:hAnsi="Times New Roman"/>
                <w:bCs/>
                <w:sz w:val="24"/>
                <w:szCs w:val="24"/>
                <w:lang w:val="ro-RO"/>
              </w:rPr>
              <w:t xml:space="preserve"> </w:t>
            </w:r>
            <w:r w:rsidRPr="009E4480">
              <w:rPr>
                <w:rFonts w:ascii="Times New Roman" w:eastAsia="Times New Roman" w:hAnsi="Times New Roman"/>
                <w:bCs/>
                <w:sz w:val="24"/>
                <w:szCs w:val="24"/>
                <w:lang w:val="ro-RO"/>
              </w:rPr>
              <w:t xml:space="preserve">poate fi accesat pe pagina web oficială a </w:t>
            </w:r>
            <w:r w:rsidR="00946CA9">
              <w:rPr>
                <w:rFonts w:ascii="Times New Roman" w:eastAsia="Times New Roman" w:hAnsi="Times New Roman"/>
                <w:bCs/>
                <w:sz w:val="24"/>
                <w:szCs w:val="24"/>
                <w:lang w:val="ro-RO"/>
              </w:rPr>
              <w:t>ministerului</w:t>
            </w:r>
            <w:r w:rsidR="00946CA9" w:rsidRPr="009E4480">
              <w:rPr>
                <w:rFonts w:ascii="Times New Roman" w:eastAsia="Times New Roman" w:hAnsi="Times New Roman"/>
                <w:bCs/>
                <w:sz w:val="24"/>
                <w:szCs w:val="24"/>
                <w:lang w:val="ro-RO"/>
              </w:rPr>
              <w:t xml:space="preserve"> </w:t>
            </w:r>
            <w:r w:rsidRPr="009E4480">
              <w:rPr>
                <w:rFonts w:ascii="Times New Roman" w:eastAsia="Times New Roman" w:hAnsi="Times New Roman"/>
                <w:bCs/>
                <w:i/>
                <w:sz w:val="24"/>
                <w:szCs w:val="24"/>
                <w:lang w:val="ro-RO"/>
              </w:rPr>
              <w:t>(compartimentul „Transparența”, directoriul Transparență decizională/</w:t>
            </w:r>
            <w:r w:rsidR="00763E6D">
              <w:t xml:space="preserve"> </w:t>
            </w:r>
            <w:r w:rsidR="00763E6D" w:rsidRPr="00763E6D">
              <w:rPr>
                <w:rFonts w:ascii="Times New Roman" w:eastAsia="Times New Roman" w:hAnsi="Times New Roman"/>
                <w:bCs/>
                <w:i/>
                <w:sz w:val="24"/>
                <w:szCs w:val="24"/>
                <w:lang w:val="ro-RO"/>
              </w:rPr>
              <w:t>anunțul privind inițierea procesului de elaborare a proiectului</w:t>
            </w:r>
            <w:r w:rsidRPr="009E4480">
              <w:rPr>
                <w:rFonts w:ascii="Times New Roman" w:eastAsia="Times New Roman" w:hAnsi="Times New Roman"/>
                <w:bCs/>
                <w:i/>
                <w:sz w:val="24"/>
                <w:szCs w:val="24"/>
                <w:lang w:val="ro-RO"/>
              </w:rPr>
              <w:t>”)</w:t>
            </w:r>
            <w:r w:rsidRPr="009E4480">
              <w:rPr>
                <w:rFonts w:ascii="Times New Roman" w:eastAsia="Times New Roman" w:hAnsi="Times New Roman"/>
                <w:bCs/>
                <w:sz w:val="24"/>
                <w:szCs w:val="24"/>
                <w:lang w:val="ro-RO"/>
              </w:rPr>
              <w:t xml:space="preserve">, și pe portalul guvernamental </w:t>
            </w:r>
            <w:r w:rsidR="00946CA9" w:rsidRPr="00D1256E">
              <w:rPr>
                <w:rFonts w:ascii="Times New Roman" w:eastAsia="Times New Roman" w:hAnsi="Times New Roman"/>
                <w:bCs/>
                <w:color w:val="1F4E79" w:themeColor="accent1" w:themeShade="80"/>
                <w:sz w:val="24"/>
                <w:szCs w:val="24"/>
                <w:u w:val="single"/>
                <w:lang w:val="ro-RO"/>
              </w:rPr>
              <w:t>www.</w:t>
            </w:r>
            <w:r w:rsidRPr="00D1256E">
              <w:rPr>
                <w:rFonts w:ascii="Times New Roman" w:hAnsi="Times New Roman"/>
                <w:color w:val="1F4E79" w:themeColor="accent1" w:themeShade="80"/>
                <w:sz w:val="24"/>
                <w:u w:val="single"/>
                <w:lang w:val="ro-RO"/>
              </w:rPr>
              <w:t>particip.gov.md</w:t>
            </w:r>
            <w:r w:rsidRPr="009E4480">
              <w:rPr>
                <w:rFonts w:ascii="Times New Roman" w:eastAsia="Times New Roman" w:hAnsi="Times New Roman"/>
                <w:bCs/>
                <w:sz w:val="24"/>
                <w:szCs w:val="24"/>
                <w:lang w:val="ro-RO"/>
              </w:rPr>
              <w:t>.</w:t>
            </w:r>
            <w:r w:rsidR="00A46C6E" w:rsidRPr="009E4480">
              <w:rPr>
                <w:rFonts w:ascii="Times New Roman" w:eastAsia="Times New Roman" w:hAnsi="Times New Roman"/>
                <w:bCs/>
                <w:sz w:val="24"/>
                <w:szCs w:val="24"/>
                <w:lang w:val="ro-RO"/>
              </w:rPr>
              <w:t xml:space="preserve"> </w:t>
            </w:r>
          </w:p>
          <w:p w14:paraId="629B115E" w14:textId="6E0E3067" w:rsidR="00A46C6E" w:rsidRPr="009E4480" w:rsidRDefault="00FB6575" w:rsidP="00DE3002">
            <w:pPr>
              <w:pStyle w:val="NoSpacing"/>
              <w:ind w:firstLine="596"/>
              <w:rPr>
                <w:rFonts w:ascii="Times New Roman" w:eastAsia="Times New Roman" w:hAnsi="Times New Roman"/>
                <w:bCs/>
                <w:sz w:val="24"/>
                <w:szCs w:val="24"/>
                <w:lang w:val="ro-RO"/>
              </w:rPr>
            </w:pPr>
            <w:r>
              <w:rPr>
                <w:rFonts w:ascii="Times New Roman" w:eastAsia="Times New Roman" w:hAnsi="Times New Roman"/>
                <w:bCs/>
                <w:sz w:val="24"/>
                <w:szCs w:val="24"/>
                <w:lang w:val="ro-RO"/>
              </w:rPr>
              <w:t>P</w:t>
            </w:r>
            <w:r w:rsidR="00763E6D">
              <w:rPr>
                <w:rFonts w:ascii="Times New Roman" w:eastAsia="Times New Roman" w:hAnsi="Times New Roman"/>
                <w:bCs/>
                <w:sz w:val="24"/>
                <w:szCs w:val="24"/>
                <w:lang w:val="ro-RO"/>
              </w:rPr>
              <w:t xml:space="preserve">roiectul </w:t>
            </w:r>
            <w:r w:rsidR="005C0F25" w:rsidRPr="009E4480">
              <w:rPr>
                <w:rFonts w:ascii="Times New Roman" w:eastAsia="Times New Roman" w:hAnsi="Times New Roman"/>
                <w:bCs/>
                <w:sz w:val="24"/>
                <w:szCs w:val="24"/>
                <w:lang w:val="ro-RO"/>
              </w:rPr>
              <w:t>urmează a fi remis</w:t>
            </w:r>
            <w:r w:rsidR="00A46C6E" w:rsidRPr="009E4480">
              <w:rPr>
                <w:rFonts w:ascii="Times New Roman" w:eastAsia="Times New Roman" w:hAnsi="Times New Roman"/>
                <w:bCs/>
                <w:sz w:val="24"/>
                <w:szCs w:val="24"/>
                <w:lang w:val="ro-RO"/>
              </w:rPr>
              <w:t xml:space="preserve"> spre avizare:</w:t>
            </w:r>
          </w:p>
          <w:p w14:paraId="06CC453C" w14:textId="63C76932" w:rsidR="00DE3002" w:rsidRPr="009E4480" w:rsidRDefault="00A46C6E" w:rsidP="00DE3002">
            <w:pPr>
              <w:pStyle w:val="NoSpacing"/>
              <w:ind w:firstLine="596"/>
              <w:rPr>
                <w:rFonts w:ascii="Times New Roman" w:eastAsia="Times New Roman" w:hAnsi="Times New Roman"/>
                <w:sz w:val="24"/>
                <w:szCs w:val="24"/>
                <w:lang w:val="ro-RO" w:eastAsia="ro-MD"/>
              </w:rPr>
            </w:pPr>
            <w:r w:rsidRPr="009E4480">
              <w:rPr>
                <w:rFonts w:ascii="Times New Roman" w:eastAsia="Times New Roman" w:hAnsi="Times New Roman"/>
                <w:bCs/>
                <w:sz w:val="24"/>
                <w:szCs w:val="24"/>
                <w:lang w:val="ro-RO"/>
              </w:rPr>
              <w:t xml:space="preserve">- </w:t>
            </w:r>
            <w:r w:rsidR="00DE3002" w:rsidRPr="009E4480">
              <w:rPr>
                <w:rFonts w:ascii="Times New Roman" w:eastAsia="Times New Roman" w:hAnsi="Times New Roman"/>
                <w:sz w:val="24"/>
                <w:szCs w:val="24"/>
                <w:lang w:val="ro-RO" w:eastAsia="ro-MD"/>
              </w:rPr>
              <w:t>Ministerul</w:t>
            </w:r>
            <w:r w:rsidR="00EC5F83" w:rsidRPr="009E4480">
              <w:rPr>
                <w:rFonts w:ascii="Times New Roman" w:eastAsia="Times New Roman" w:hAnsi="Times New Roman"/>
                <w:sz w:val="24"/>
                <w:szCs w:val="24"/>
                <w:lang w:val="ro-RO" w:eastAsia="ro-MD"/>
              </w:rPr>
              <w:t>ui</w:t>
            </w:r>
            <w:r w:rsidR="00DE3002" w:rsidRPr="009E4480">
              <w:rPr>
                <w:rFonts w:ascii="Times New Roman" w:eastAsia="Times New Roman" w:hAnsi="Times New Roman"/>
                <w:sz w:val="24"/>
                <w:szCs w:val="24"/>
                <w:lang w:val="ro-RO" w:eastAsia="ro-MD"/>
              </w:rPr>
              <w:t xml:space="preserve"> Finanțelor;</w:t>
            </w:r>
          </w:p>
          <w:p w14:paraId="32B3237F" w14:textId="114F2224" w:rsidR="005C0F25" w:rsidRPr="009E4480" w:rsidRDefault="00DE3002" w:rsidP="00DE3002">
            <w:pPr>
              <w:pStyle w:val="NoSpacing"/>
              <w:ind w:firstLine="596"/>
              <w:rPr>
                <w:rFonts w:ascii="Times New Roman" w:eastAsia="Times New Roman" w:hAnsi="Times New Roman"/>
                <w:sz w:val="24"/>
                <w:szCs w:val="24"/>
                <w:lang w:val="ro-RO" w:eastAsia="ro-MD"/>
              </w:rPr>
            </w:pPr>
            <w:r w:rsidRPr="009E4480">
              <w:rPr>
                <w:rFonts w:ascii="Times New Roman" w:eastAsia="Times New Roman" w:hAnsi="Times New Roman"/>
                <w:sz w:val="24"/>
                <w:szCs w:val="24"/>
                <w:lang w:val="ro-RO" w:eastAsia="ro-MD"/>
              </w:rPr>
              <w:t>-</w:t>
            </w:r>
            <w:r w:rsidR="005C0F25" w:rsidRPr="009E4480">
              <w:rPr>
                <w:rFonts w:ascii="Times New Roman" w:eastAsia="Times New Roman" w:hAnsi="Times New Roman"/>
                <w:sz w:val="24"/>
                <w:szCs w:val="24"/>
                <w:lang w:val="ro-RO" w:eastAsia="ro-MD"/>
              </w:rPr>
              <w:t xml:space="preserve"> Ministerului Economiei;</w:t>
            </w:r>
            <w:r w:rsidRPr="009E4480">
              <w:rPr>
                <w:rFonts w:ascii="Times New Roman" w:eastAsia="Times New Roman" w:hAnsi="Times New Roman"/>
                <w:sz w:val="24"/>
                <w:szCs w:val="24"/>
                <w:lang w:val="ro-RO" w:eastAsia="ro-MD"/>
              </w:rPr>
              <w:t xml:space="preserve"> </w:t>
            </w:r>
          </w:p>
          <w:p w14:paraId="0C6E5BBA" w14:textId="23DD6E0F" w:rsidR="00DE3002" w:rsidRPr="009E4480" w:rsidRDefault="005C0F25" w:rsidP="00DE3002">
            <w:pPr>
              <w:pStyle w:val="NoSpacing"/>
              <w:ind w:firstLine="596"/>
              <w:rPr>
                <w:rFonts w:ascii="Times New Roman" w:eastAsia="Times New Roman" w:hAnsi="Times New Roman"/>
                <w:sz w:val="24"/>
                <w:szCs w:val="24"/>
                <w:lang w:val="ro-RO" w:eastAsia="ro-MD"/>
              </w:rPr>
            </w:pPr>
            <w:r w:rsidRPr="009E4480">
              <w:rPr>
                <w:rFonts w:ascii="Times New Roman" w:eastAsia="Times New Roman" w:hAnsi="Times New Roman"/>
                <w:bCs/>
                <w:sz w:val="24"/>
                <w:szCs w:val="24"/>
                <w:lang w:val="ro-RO"/>
              </w:rPr>
              <w:t xml:space="preserve">- </w:t>
            </w:r>
            <w:r w:rsidR="00A46C6E" w:rsidRPr="009E4480">
              <w:rPr>
                <w:rFonts w:ascii="Times New Roman" w:eastAsia="Times New Roman" w:hAnsi="Times New Roman"/>
                <w:bCs/>
                <w:sz w:val="24"/>
                <w:szCs w:val="24"/>
                <w:lang w:val="ro-RO"/>
              </w:rPr>
              <w:t>Ministerului Justiției;</w:t>
            </w:r>
          </w:p>
          <w:p w14:paraId="446F22D9" w14:textId="303CE3FE" w:rsidR="00A46C6E" w:rsidRPr="009E4480" w:rsidRDefault="00A46C6E" w:rsidP="00DE3002">
            <w:pPr>
              <w:ind w:firstLine="596"/>
              <w:jc w:val="both"/>
              <w:rPr>
                <w:lang w:val="ro-RO"/>
              </w:rPr>
            </w:pPr>
            <w:r w:rsidRPr="009E4480">
              <w:rPr>
                <w:lang w:val="ro-RO"/>
              </w:rPr>
              <w:t xml:space="preserve">- </w:t>
            </w:r>
            <w:r w:rsidR="00DE3002" w:rsidRPr="009E4480">
              <w:rPr>
                <w:lang w:val="ro-RO"/>
              </w:rPr>
              <w:t>Centrului Național Anticorupție</w:t>
            </w:r>
            <w:r w:rsidR="00946CA9">
              <w:rPr>
                <w:lang w:val="ro-RO"/>
              </w:rPr>
              <w:t>.</w:t>
            </w:r>
          </w:p>
          <w:p w14:paraId="2C1DF7D1" w14:textId="0F323484" w:rsidR="00E251D0" w:rsidRPr="009E4480" w:rsidRDefault="00946CA9">
            <w:pPr>
              <w:ind w:firstLine="596"/>
              <w:jc w:val="both"/>
              <w:rPr>
                <w:lang w:val="ro-RO" w:eastAsia="ro-MD"/>
              </w:rPr>
            </w:pPr>
            <w:r>
              <w:rPr>
                <w:lang w:val="ro-RO"/>
              </w:rPr>
              <w:t xml:space="preserve">La fel, proiectul de lege va fi consultat cu </w:t>
            </w:r>
            <w:r>
              <w:rPr>
                <w:lang w:val="ro-RO" w:eastAsia="ro-MD"/>
              </w:rPr>
              <w:t>m</w:t>
            </w:r>
            <w:r w:rsidR="00DE3002" w:rsidRPr="009E4480">
              <w:rPr>
                <w:lang w:val="ro-RO" w:eastAsia="ro-MD"/>
              </w:rPr>
              <w:t>ediul</w:t>
            </w:r>
            <w:r w:rsidR="00EC5F83" w:rsidRPr="009E4480">
              <w:rPr>
                <w:lang w:val="ro-RO" w:eastAsia="ro-MD"/>
              </w:rPr>
              <w:t xml:space="preserve"> </w:t>
            </w:r>
            <w:r w:rsidR="00DE3002" w:rsidRPr="009E4480">
              <w:rPr>
                <w:lang w:val="ro-RO" w:eastAsia="ro-MD"/>
              </w:rPr>
              <w:t>de afaceri.</w:t>
            </w:r>
          </w:p>
        </w:tc>
      </w:tr>
      <w:tr w:rsidR="00993180" w:rsidRPr="009E4480" w14:paraId="3C646760" w14:textId="77777777" w:rsidTr="009E4480">
        <w:tc>
          <w:tcPr>
            <w:tcW w:w="10065" w:type="dxa"/>
          </w:tcPr>
          <w:p w14:paraId="3DA9F68D" w14:textId="5DFF4F97" w:rsidR="00993180" w:rsidRPr="009E4480" w:rsidRDefault="00D76A16" w:rsidP="002B5DE7">
            <w:pPr>
              <w:ind w:firstLine="596"/>
              <w:jc w:val="both"/>
              <w:rPr>
                <w:rFonts w:eastAsia="Calibri"/>
                <w:b/>
                <w:lang w:val="ro-RO"/>
              </w:rPr>
            </w:pPr>
            <w:r w:rsidRPr="009E4480">
              <w:rPr>
                <w:rFonts w:eastAsia="Calibri"/>
                <w:b/>
                <w:lang w:val="ro-RO"/>
              </w:rPr>
              <w:t xml:space="preserve">8. Constatările expertizei </w:t>
            </w:r>
            <w:r w:rsidR="002B5DE7" w:rsidRPr="009E4480">
              <w:rPr>
                <w:rFonts w:eastAsia="Calibri"/>
                <w:b/>
                <w:lang w:val="ro-RO"/>
              </w:rPr>
              <w:t>anticorupție</w:t>
            </w:r>
          </w:p>
        </w:tc>
      </w:tr>
      <w:tr w:rsidR="00D76A16" w:rsidRPr="009E4480" w14:paraId="5E597008" w14:textId="77777777" w:rsidTr="009E4480">
        <w:tc>
          <w:tcPr>
            <w:tcW w:w="10065" w:type="dxa"/>
          </w:tcPr>
          <w:p w14:paraId="73C8184E" w14:textId="55534C63" w:rsidR="00D76A16" w:rsidRPr="009E4480" w:rsidRDefault="00FD1D3E" w:rsidP="00D1256E">
            <w:pPr>
              <w:pStyle w:val="NoSpacing"/>
              <w:ind w:firstLine="596"/>
              <w:rPr>
                <w:rFonts w:ascii="Times New Roman" w:eastAsia="Times New Roman" w:hAnsi="Times New Roman"/>
                <w:bCs/>
                <w:sz w:val="24"/>
                <w:szCs w:val="24"/>
                <w:lang w:val="ro-RO"/>
              </w:rPr>
            </w:pPr>
            <w:r w:rsidRPr="00FD1D3E">
              <w:rPr>
                <w:rFonts w:ascii="Times New Roman" w:eastAsia="Times New Roman" w:hAnsi="Times New Roman"/>
                <w:bCs/>
                <w:sz w:val="24"/>
                <w:szCs w:val="24"/>
                <w:lang w:val="ro-RO"/>
              </w:rPr>
              <w:t>Proiectul de hotărîre va fi supus expertizei anticorupție, conform art. 35 din Legea nr.100/2017 cu privire la actele normative, iar rezultatele acesteia vor fi incluse în sinteza obiecțiilor și propunerilor la proiect.</w:t>
            </w:r>
          </w:p>
        </w:tc>
      </w:tr>
      <w:tr w:rsidR="00D76A16" w:rsidRPr="009E4480" w14:paraId="616BD476" w14:textId="77777777" w:rsidTr="009E4480">
        <w:tc>
          <w:tcPr>
            <w:tcW w:w="10065" w:type="dxa"/>
          </w:tcPr>
          <w:p w14:paraId="30AFC02A" w14:textId="5181FE35" w:rsidR="00D76A16" w:rsidRPr="009E4480" w:rsidRDefault="005D251B" w:rsidP="002B5DE7">
            <w:pPr>
              <w:ind w:firstLine="596"/>
              <w:jc w:val="both"/>
              <w:rPr>
                <w:rFonts w:eastAsia="Calibri"/>
                <w:b/>
                <w:lang w:val="ro-RO"/>
              </w:rPr>
            </w:pPr>
            <w:r w:rsidRPr="009E4480">
              <w:rPr>
                <w:rFonts w:eastAsia="Calibri"/>
                <w:b/>
                <w:lang w:val="ro-RO"/>
              </w:rPr>
              <w:t>9. Constatările expertizei de compatibilitate</w:t>
            </w:r>
          </w:p>
        </w:tc>
      </w:tr>
      <w:tr w:rsidR="00D76A16" w:rsidRPr="009E4480" w14:paraId="2BB1B014" w14:textId="77777777" w:rsidTr="009E4480">
        <w:tc>
          <w:tcPr>
            <w:tcW w:w="10065" w:type="dxa"/>
          </w:tcPr>
          <w:p w14:paraId="45460EC7" w14:textId="77A661C1" w:rsidR="00D76A16" w:rsidRPr="009E4480" w:rsidRDefault="008C370D" w:rsidP="00D1256E">
            <w:pPr>
              <w:pStyle w:val="NoSpacing"/>
              <w:ind w:firstLine="596"/>
              <w:jc w:val="both"/>
              <w:rPr>
                <w:rFonts w:ascii="Times New Roman" w:eastAsia="Times New Roman" w:hAnsi="Times New Roman"/>
                <w:bCs/>
                <w:sz w:val="24"/>
                <w:szCs w:val="24"/>
                <w:lang w:val="ro-RO"/>
              </w:rPr>
            </w:pPr>
            <w:r w:rsidRPr="009E4480">
              <w:rPr>
                <w:rFonts w:ascii="Times New Roman" w:eastAsia="Times New Roman" w:hAnsi="Times New Roman"/>
                <w:bCs/>
                <w:sz w:val="24"/>
                <w:szCs w:val="24"/>
                <w:lang w:val="ro-RO"/>
              </w:rPr>
              <w:t xml:space="preserve">Proiectul de </w:t>
            </w:r>
            <w:r w:rsidR="002A0093">
              <w:rPr>
                <w:rFonts w:ascii="Times New Roman" w:eastAsia="Times New Roman" w:hAnsi="Times New Roman"/>
                <w:bCs/>
                <w:sz w:val="24"/>
                <w:szCs w:val="24"/>
                <w:lang w:val="ro-RO"/>
              </w:rPr>
              <w:t>lege</w:t>
            </w:r>
            <w:r w:rsidR="002A0093" w:rsidRPr="009E4480">
              <w:rPr>
                <w:rFonts w:ascii="Times New Roman" w:eastAsia="Times New Roman" w:hAnsi="Times New Roman"/>
                <w:bCs/>
                <w:sz w:val="24"/>
                <w:szCs w:val="24"/>
                <w:lang w:val="ro-RO"/>
              </w:rPr>
              <w:t xml:space="preserve"> </w:t>
            </w:r>
            <w:r w:rsidRPr="009E4480">
              <w:rPr>
                <w:rFonts w:ascii="Times New Roman" w:eastAsia="Times New Roman" w:hAnsi="Times New Roman"/>
                <w:bCs/>
                <w:sz w:val="24"/>
                <w:szCs w:val="24"/>
                <w:lang w:val="ro-RO"/>
              </w:rPr>
              <w:t xml:space="preserve">nu </w:t>
            </w:r>
            <w:r w:rsidR="00CB33BA" w:rsidRPr="009E4480">
              <w:rPr>
                <w:rFonts w:ascii="Times New Roman" w:eastAsia="Times New Roman" w:hAnsi="Times New Roman"/>
                <w:bCs/>
                <w:sz w:val="24"/>
                <w:szCs w:val="24"/>
                <w:lang w:val="ro-RO"/>
              </w:rPr>
              <w:t>conține</w:t>
            </w:r>
            <w:r w:rsidRPr="009E4480">
              <w:rPr>
                <w:rFonts w:ascii="Times New Roman" w:eastAsia="Times New Roman" w:hAnsi="Times New Roman"/>
                <w:bCs/>
                <w:sz w:val="24"/>
                <w:szCs w:val="24"/>
                <w:lang w:val="ro-RO"/>
              </w:rPr>
              <w:t xml:space="preserve"> norme privind armonizarea legislaţiei naţionale cu acquis-</w:t>
            </w:r>
            <w:proofErr w:type="spellStart"/>
            <w:r w:rsidRPr="009E4480">
              <w:rPr>
                <w:rFonts w:ascii="Times New Roman" w:eastAsia="Times New Roman" w:hAnsi="Times New Roman"/>
                <w:bCs/>
                <w:sz w:val="24"/>
                <w:szCs w:val="24"/>
                <w:lang w:val="ro-RO"/>
              </w:rPr>
              <w:t>ul</w:t>
            </w:r>
            <w:proofErr w:type="spellEnd"/>
            <w:r w:rsidRPr="009E4480">
              <w:rPr>
                <w:rFonts w:ascii="Times New Roman" w:eastAsia="Times New Roman" w:hAnsi="Times New Roman"/>
                <w:bCs/>
                <w:sz w:val="24"/>
                <w:szCs w:val="24"/>
                <w:lang w:val="ro-RO"/>
              </w:rPr>
              <w:t xml:space="preserve"> comunitar.</w:t>
            </w:r>
          </w:p>
        </w:tc>
      </w:tr>
      <w:tr w:rsidR="00D76A16" w:rsidRPr="009E4480" w14:paraId="77945EAA" w14:textId="77777777" w:rsidTr="009E4480">
        <w:tc>
          <w:tcPr>
            <w:tcW w:w="10065" w:type="dxa"/>
          </w:tcPr>
          <w:p w14:paraId="13853023" w14:textId="56657AF7" w:rsidR="00D76A16" w:rsidRPr="009E4480" w:rsidRDefault="005D251B" w:rsidP="002B5DE7">
            <w:pPr>
              <w:ind w:firstLine="596"/>
              <w:jc w:val="both"/>
              <w:rPr>
                <w:rFonts w:eastAsia="Calibri"/>
                <w:b/>
                <w:lang w:val="ro-RO"/>
              </w:rPr>
            </w:pPr>
            <w:r w:rsidRPr="009E4480">
              <w:rPr>
                <w:rFonts w:eastAsia="Calibri"/>
                <w:b/>
                <w:lang w:val="ro-RO"/>
              </w:rPr>
              <w:t>10. Constatările expertizei juridice</w:t>
            </w:r>
          </w:p>
        </w:tc>
      </w:tr>
      <w:tr w:rsidR="00D76A16" w:rsidRPr="009E4480" w14:paraId="382C94E6" w14:textId="77777777" w:rsidTr="009E4480">
        <w:tc>
          <w:tcPr>
            <w:tcW w:w="10065" w:type="dxa"/>
          </w:tcPr>
          <w:p w14:paraId="3E756190" w14:textId="76564E81" w:rsidR="00D76A16" w:rsidRPr="009E4480" w:rsidRDefault="00FD1D3E" w:rsidP="00D1256E">
            <w:pPr>
              <w:pStyle w:val="NoSpacing"/>
              <w:ind w:firstLine="596"/>
              <w:rPr>
                <w:rFonts w:ascii="Times New Roman" w:eastAsia="Times New Roman" w:hAnsi="Times New Roman"/>
                <w:bCs/>
                <w:sz w:val="24"/>
                <w:szCs w:val="24"/>
                <w:lang w:val="ro-RO"/>
              </w:rPr>
            </w:pPr>
            <w:r w:rsidRPr="00FD1D3E">
              <w:rPr>
                <w:rFonts w:ascii="Times New Roman" w:eastAsia="Times New Roman" w:hAnsi="Times New Roman"/>
                <w:bCs/>
                <w:sz w:val="24"/>
                <w:szCs w:val="24"/>
                <w:lang w:val="ro-RO"/>
              </w:rPr>
              <w:t>Proiectul de hotărîre va fi supus expertizei juridice, conform art.37 din Legea nr.100/2017 cu privire la actele normative, iar rezultatele examinării acesteia vor fi incluse în sinteza obiecțiilor și propunerilor la proiect.</w:t>
            </w:r>
          </w:p>
        </w:tc>
      </w:tr>
      <w:tr w:rsidR="00D76A16" w:rsidRPr="009E4480" w14:paraId="665EFF23" w14:textId="77777777" w:rsidTr="009E4480">
        <w:tc>
          <w:tcPr>
            <w:tcW w:w="10065" w:type="dxa"/>
          </w:tcPr>
          <w:p w14:paraId="70AADFF7" w14:textId="0305CECE" w:rsidR="00D76A16" w:rsidRPr="009E4480" w:rsidRDefault="005D251B" w:rsidP="002B5DE7">
            <w:pPr>
              <w:ind w:firstLine="596"/>
              <w:jc w:val="both"/>
              <w:rPr>
                <w:rFonts w:eastAsia="Calibri"/>
                <w:b/>
                <w:lang w:val="ro-RO"/>
              </w:rPr>
            </w:pPr>
            <w:r w:rsidRPr="009E4480">
              <w:rPr>
                <w:rFonts w:eastAsia="Calibri"/>
                <w:b/>
                <w:lang w:val="ro-RO"/>
              </w:rPr>
              <w:t>11. Constatările altor expertize</w:t>
            </w:r>
          </w:p>
        </w:tc>
      </w:tr>
      <w:tr w:rsidR="00D76A16" w:rsidRPr="009E4480" w14:paraId="15B5EB13" w14:textId="77777777" w:rsidTr="009E4480">
        <w:tc>
          <w:tcPr>
            <w:tcW w:w="10065" w:type="dxa"/>
          </w:tcPr>
          <w:p w14:paraId="69484CC4" w14:textId="680E9F86" w:rsidR="00D76A16" w:rsidRPr="009E4480" w:rsidRDefault="000A43E6" w:rsidP="00D1256E">
            <w:pPr>
              <w:pStyle w:val="NoSpacing"/>
              <w:ind w:firstLine="596"/>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Analiza impactului </w:t>
            </w:r>
            <w:r w:rsidR="00A113FF">
              <w:rPr>
                <w:rFonts w:ascii="Times New Roman" w:eastAsia="Times New Roman" w:hAnsi="Times New Roman"/>
                <w:bCs/>
                <w:sz w:val="24"/>
                <w:szCs w:val="24"/>
                <w:lang w:val="ro-RO"/>
              </w:rPr>
              <w:t xml:space="preserve">la proiect </w:t>
            </w:r>
            <w:r>
              <w:rPr>
                <w:rFonts w:ascii="Times New Roman" w:eastAsia="Times New Roman" w:hAnsi="Times New Roman"/>
                <w:bCs/>
                <w:sz w:val="24"/>
                <w:szCs w:val="24"/>
                <w:lang w:val="ro-RO"/>
              </w:rPr>
              <w:t xml:space="preserve">a fost susținută condiționat </w:t>
            </w:r>
            <w:r w:rsidR="0062777D">
              <w:rPr>
                <w:rFonts w:ascii="Times New Roman" w:eastAsia="Times New Roman" w:hAnsi="Times New Roman"/>
                <w:bCs/>
                <w:sz w:val="24"/>
                <w:szCs w:val="24"/>
                <w:lang w:val="ro-RO"/>
              </w:rPr>
              <w:t xml:space="preserve">de către Grupul de </w:t>
            </w:r>
            <w:r w:rsidR="00FD1D3E">
              <w:rPr>
                <w:rFonts w:ascii="Times New Roman" w:eastAsia="Times New Roman" w:hAnsi="Times New Roman"/>
                <w:bCs/>
                <w:sz w:val="24"/>
                <w:szCs w:val="24"/>
                <w:lang w:val="ro-RO"/>
              </w:rPr>
              <w:t xml:space="preserve">lucru al Comisiei de </w:t>
            </w:r>
            <w:r w:rsidR="0062777D">
              <w:rPr>
                <w:rFonts w:ascii="Times New Roman" w:eastAsia="Times New Roman" w:hAnsi="Times New Roman"/>
                <w:bCs/>
                <w:sz w:val="24"/>
                <w:szCs w:val="24"/>
                <w:lang w:val="ro-RO"/>
              </w:rPr>
              <w:t>stat pentru reglementarea activității de întreprinzător în ședința din 2</w:t>
            </w:r>
            <w:r w:rsidR="00CF7B86">
              <w:rPr>
                <w:rFonts w:ascii="Times New Roman" w:eastAsia="Times New Roman" w:hAnsi="Times New Roman"/>
                <w:bCs/>
                <w:sz w:val="24"/>
                <w:szCs w:val="24"/>
                <w:lang w:val="ro-RO"/>
              </w:rPr>
              <w:t>8</w:t>
            </w:r>
            <w:r w:rsidR="0062777D">
              <w:rPr>
                <w:rFonts w:ascii="Times New Roman" w:eastAsia="Times New Roman" w:hAnsi="Times New Roman"/>
                <w:bCs/>
                <w:sz w:val="24"/>
                <w:szCs w:val="24"/>
                <w:lang w:val="ro-RO"/>
              </w:rPr>
              <w:t>.04.2022.</w:t>
            </w:r>
          </w:p>
        </w:tc>
      </w:tr>
    </w:tbl>
    <w:p w14:paraId="77A428E2" w14:textId="77777777" w:rsidR="004C4C55" w:rsidRDefault="004C4C55" w:rsidP="004C4C55">
      <w:pPr>
        <w:rPr>
          <w:b/>
          <w:lang w:val="ro-RO"/>
        </w:rPr>
      </w:pPr>
    </w:p>
    <w:p w14:paraId="2A68A03B" w14:textId="77777777" w:rsidR="000C33B5" w:rsidRDefault="000C33B5" w:rsidP="004C4C55">
      <w:pPr>
        <w:rPr>
          <w:b/>
          <w:lang w:val="ro-RO"/>
        </w:rPr>
      </w:pPr>
    </w:p>
    <w:p w14:paraId="0AD7CDAE" w14:textId="77777777" w:rsidR="000C33B5" w:rsidRPr="009E4480" w:rsidRDefault="000C33B5" w:rsidP="004C4C55">
      <w:pPr>
        <w:rPr>
          <w:b/>
          <w:lang w:val="ro-RO"/>
        </w:rPr>
      </w:pPr>
    </w:p>
    <w:p w14:paraId="04E31721" w14:textId="3A2DB092" w:rsidR="00376302" w:rsidRPr="009E4480" w:rsidRDefault="00B04858" w:rsidP="009E4480">
      <w:pPr>
        <w:jc w:val="center"/>
        <w:rPr>
          <w:b/>
          <w:sz w:val="28"/>
          <w:szCs w:val="28"/>
          <w:lang w:val="ro-RO"/>
        </w:rPr>
      </w:pPr>
      <w:r>
        <w:rPr>
          <w:b/>
          <w:sz w:val="28"/>
          <w:szCs w:val="28"/>
          <w:lang w:val="ro-RO"/>
        </w:rPr>
        <w:t>Secretar General</w:t>
      </w:r>
      <w:r w:rsidR="00D1256E">
        <w:rPr>
          <w:b/>
          <w:sz w:val="28"/>
          <w:szCs w:val="28"/>
          <w:lang w:val="ro-RO"/>
        </w:rPr>
        <w:t xml:space="preserve">                       </w:t>
      </w:r>
      <w:r>
        <w:rPr>
          <w:b/>
          <w:sz w:val="28"/>
          <w:szCs w:val="28"/>
          <w:lang w:val="ro-RO"/>
        </w:rPr>
        <w:t xml:space="preserve">             </w:t>
      </w:r>
      <w:r w:rsidR="00E45E5C" w:rsidRPr="009E4480">
        <w:rPr>
          <w:b/>
          <w:sz w:val="28"/>
          <w:szCs w:val="28"/>
          <w:lang w:val="ro-RO"/>
        </w:rPr>
        <w:tab/>
      </w:r>
      <w:r>
        <w:rPr>
          <w:b/>
          <w:sz w:val="28"/>
          <w:szCs w:val="28"/>
          <w:lang w:val="ro-RO"/>
        </w:rPr>
        <w:t xml:space="preserve">                       </w:t>
      </w:r>
      <w:r w:rsidR="00E45E5C" w:rsidRPr="009E4480">
        <w:rPr>
          <w:b/>
          <w:sz w:val="28"/>
          <w:szCs w:val="28"/>
          <w:lang w:val="ro-RO"/>
        </w:rPr>
        <w:tab/>
      </w:r>
      <w:r>
        <w:rPr>
          <w:b/>
          <w:sz w:val="28"/>
          <w:szCs w:val="28"/>
          <w:lang w:val="ro-RO"/>
        </w:rPr>
        <w:t>Lilia DABIJA</w:t>
      </w:r>
    </w:p>
    <w:sectPr w:rsidR="00376302" w:rsidRPr="009E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7407"/>
    <w:multiLevelType w:val="hybridMultilevel"/>
    <w:tmpl w:val="CA409E18"/>
    <w:lvl w:ilvl="0" w:tplc="786C658C">
      <w:start w:val="1"/>
      <w:numFmt w:val="decimal"/>
      <w:lvlText w:val="%1."/>
      <w:lvlJc w:val="left"/>
      <w:pPr>
        <w:ind w:left="720" w:hanging="360"/>
      </w:pPr>
      <w:rPr>
        <w:rFonts w:ascii="Times New Roman" w:hAnsi="Times New Roman" w:cs="Times New Roman" w:hint="default"/>
        <w:b/>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B731F"/>
    <w:multiLevelType w:val="hybridMultilevel"/>
    <w:tmpl w:val="E52ED000"/>
    <w:lvl w:ilvl="0" w:tplc="32E49B5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784B19"/>
    <w:multiLevelType w:val="hybridMultilevel"/>
    <w:tmpl w:val="3852041A"/>
    <w:lvl w:ilvl="0" w:tplc="9620B564">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34"/>
    <w:rsid w:val="00000255"/>
    <w:rsid w:val="0000425C"/>
    <w:rsid w:val="00032EE4"/>
    <w:rsid w:val="0003304D"/>
    <w:rsid w:val="0004671B"/>
    <w:rsid w:val="00095448"/>
    <w:rsid w:val="000A0589"/>
    <w:rsid w:val="000A43E6"/>
    <w:rsid w:val="000B5F52"/>
    <w:rsid w:val="000C1907"/>
    <w:rsid w:val="000C33B5"/>
    <w:rsid w:val="000D6DCB"/>
    <w:rsid w:val="000E002E"/>
    <w:rsid w:val="00105CF1"/>
    <w:rsid w:val="001243B3"/>
    <w:rsid w:val="00127312"/>
    <w:rsid w:val="0012769E"/>
    <w:rsid w:val="00136CDB"/>
    <w:rsid w:val="0014759F"/>
    <w:rsid w:val="00153DF8"/>
    <w:rsid w:val="001646BA"/>
    <w:rsid w:val="00177B16"/>
    <w:rsid w:val="00187C17"/>
    <w:rsid w:val="00190DA3"/>
    <w:rsid w:val="001B528B"/>
    <w:rsid w:val="001C578F"/>
    <w:rsid w:val="001C5BAD"/>
    <w:rsid w:val="001E6833"/>
    <w:rsid w:val="00202EC3"/>
    <w:rsid w:val="00227323"/>
    <w:rsid w:val="00255C42"/>
    <w:rsid w:val="0025636F"/>
    <w:rsid w:val="002708E9"/>
    <w:rsid w:val="002941E1"/>
    <w:rsid w:val="002A0093"/>
    <w:rsid w:val="002A60C8"/>
    <w:rsid w:val="002B5DE7"/>
    <w:rsid w:val="002C4E59"/>
    <w:rsid w:val="002D052F"/>
    <w:rsid w:val="002E1AFD"/>
    <w:rsid w:val="002E6934"/>
    <w:rsid w:val="002F37CC"/>
    <w:rsid w:val="002F62BE"/>
    <w:rsid w:val="00340286"/>
    <w:rsid w:val="0034141F"/>
    <w:rsid w:val="00347052"/>
    <w:rsid w:val="0035254F"/>
    <w:rsid w:val="00356AD8"/>
    <w:rsid w:val="00363A31"/>
    <w:rsid w:val="00374D71"/>
    <w:rsid w:val="003A232F"/>
    <w:rsid w:val="003C1396"/>
    <w:rsid w:val="003D0582"/>
    <w:rsid w:val="003D06D9"/>
    <w:rsid w:val="003D5A4B"/>
    <w:rsid w:val="003D6305"/>
    <w:rsid w:val="003D70EC"/>
    <w:rsid w:val="0041463D"/>
    <w:rsid w:val="00425F79"/>
    <w:rsid w:val="00441369"/>
    <w:rsid w:val="004476BA"/>
    <w:rsid w:val="0047650B"/>
    <w:rsid w:val="00477EF7"/>
    <w:rsid w:val="004868E3"/>
    <w:rsid w:val="004B6C02"/>
    <w:rsid w:val="004C031F"/>
    <w:rsid w:val="004C4C55"/>
    <w:rsid w:val="004E26CD"/>
    <w:rsid w:val="005161D9"/>
    <w:rsid w:val="0051683A"/>
    <w:rsid w:val="0053627A"/>
    <w:rsid w:val="005425DA"/>
    <w:rsid w:val="005608CD"/>
    <w:rsid w:val="00564FA0"/>
    <w:rsid w:val="00572CD7"/>
    <w:rsid w:val="005A37BB"/>
    <w:rsid w:val="005A3F21"/>
    <w:rsid w:val="005C0F25"/>
    <w:rsid w:val="005C38AF"/>
    <w:rsid w:val="005D251B"/>
    <w:rsid w:val="005D3221"/>
    <w:rsid w:val="005E232C"/>
    <w:rsid w:val="005E359B"/>
    <w:rsid w:val="00606FDA"/>
    <w:rsid w:val="0062777D"/>
    <w:rsid w:val="00633C12"/>
    <w:rsid w:val="00650701"/>
    <w:rsid w:val="006602C4"/>
    <w:rsid w:val="00663934"/>
    <w:rsid w:val="00672C85"/>
    <w:rsid w:val="00673E7F"/>
    <w:rsid w:val="00675F7C"/>
    <w:rsid w:val="00681908"/>
    <w:rsid w:val="00687C2B"/>
    <w:rsid w:val="006A0934"/>
    <w:rsid w:val="006B5DDD"/>
    <w:rsid w:val="006B6CCC"/>
    <w:rsid w:val="006C66BC"/>
    <w:rsid w:val="006C7C67"/>
    <w:rsid w:val="006C7F4D"/>
    <w:rsid w:val="006D64C0"/>
    <w:rsid w:val="006E06DD"/>
    <w:rsid w:val="00703D5A"/>
    <w:rsid w:val="007223FE"/>
    <w:rsid w:val="00723D51"/>
    <w:rsid w:val="00732EE5"/>
    <w:rsid w:val="00763E6D"/>
    <w:rsid w:val="00766438"/>
    <w:rsid w:val="00793D3B"/>
    <w:rsid w:val="007D3820"/>
    <w:rsid w:val="007F06B1"/>
    <w:rsid w:val="008032A1"/>
    <w:rsid w:val="00821865"/>
    <w:rsid w:val="00826E52"/>
    <w:rsid w:val="0083011A"/>
    <w:rsid w:val="00855C9F"/>
    <w:rsid w:val="0087238C"/>
    <w:rsid w:val="008A3756"/>
    <w:rsid w:val="008C370D"/>
    <w:rsid w:val="008D50EF"/>
    <w:rsid w:val="00903A4C"/>
    <w:rsid w:val="00937567"/>
    <w:rsid w:val="00940FAC"/>
    <w:rsid w:val="00946CA9"/>
    <w:rsid w:val="00993180"/>
    <w:rsid w:val="009D17CC"/>
    <w:rsid w:val="009D4835"/>
    <w:rsid w:val="009E4480"/>
    <w:rsid w:val="009E44EE"/>
    <w:rsid w:val="009E6251"/>
    <w:rsid w:val="009F57AE"/>
    <w:rsid w:val="00A1065D"/>
    <w:rsid w:val="00A113FF"/>
    <w:rsid w:val="00A1706F"/>
    <w:rsid w:val="00A26CC5"/>
    <w:rsid w:val="00A46C6E"/>
    <w:rsid w:val="00A64310"/>
    <w:rsid w:val="00A80E11"/>
    <w:rsid w:val="00A96128"/>
    <w:rsid w:val="00A97205"/>
    <w:rsid w:val="00AB4DFC"/>
    <w:rsid w:val="00AB6A5F"/>
    <w:rsid w:val="00AE6E3F"/>
    <w:rsid w:val="00AF4E2E"/>
    <w:rsid w:val="00B04858"/>
    <w:rsid w:val="00B349A1"/>
    <w:rsid w:val="00B55D7F"/>
    <w:rsid w:val="00B56634"/>
    <w:rsid w:val="00B73E2F"/>
    <w:rsid w:val="00B77EF6"/>
    <w:rsid w:val="00BA280C"/>
    <w:rsid w:val="00BF05BF"/>
    <w:rsid w:val="00C043B1"/>
    <w:rsid w:val="00C324E1"/>
    <w:rsid w:val="00C3356D"/>
    <w:rsid w:val="00C33606"/>
    <w:rsid w:val="00C364C4"/>
    <w:rsid w:val="00C44992"/>
    <w:rsid w:val="00C56114"/>
    <w:rsid w:val="00C56BD8"/>
    <w:rsid w:val="00CA0073"/>
    <w:rsid w:val="00CB3122"/>
    <w:rsid w:val="00CB33BA"/>
    <w:rsid w:val="00CD4639"/>
    <w:rsid w:val="00CE3388"/>
    <w:rsid w:val="00CE5A94"/>
    <w:rsid w:val="00CF5040"/>
    <w:rsid w:val="00CF7B86"/>
    <w:rsid w:val="00D1256E"/>
    <w:rsid w:val="00D21394"/>
    <w:rsid w:val="00D22FCF"/>
    <w:rsid w:val="00D25560"/>
    <w:rsid w:val="00D33894"/>
    <w:rsid w:val="00D44DE9"/>
    <w:rsid w:val="00D65F01"/>
    <w:rsid w:val="00D75E61"/>
    <w:rsid w:val="00D76A16"/>
    <w:rsid w:val="00D8017B"/>
    <w:rsid w:val="00D960FF"/>
    <w:rsid w:val="00D96496"/>
    <w:rsid w:val="00DA0D4A"/>
    <w:rsid w:val="00DD1C53"/>
    <w:rsid w:val="00DD73F0"/>
    <w:rsid w:val="00DE3002"/>
    <w:rsid w:val="00DE6891"/>
    <w:rsid w:val="00E0775C"/>
    <w:rsid w:val="00E251D0"/>
    <w:rsid w:val="00E45E5C"/>
    <w:rsid w:val="00E469AC"/>
    <w:rsid w:val="00E52906"/>
    <w:rsid w:val="00E5408D"/>
    <w:rsid w:val="00E74E61"/>
    <w:rsid w:val="00E84C12"/>
    <w:rsid w:val="00EB6965"/>
    <w:rsid w:val="00EC0D1F"/>
    <w:rsid w:val="00EC4FF9"/>
    <w:rsid w:val="00EC5F83"/>
    <w:rsid w:val="00ED61CD"/>
    <w:rsid w:val="00F13F55"/>
    <w:rsid w:val="00F166CC"/>
    <w:rsid w:val="00F211A0"/>
    <w:rsid w:val="00F342A1"/>
    <w:rsid w:val="00F52D32"/>
    <w:rsid w:val="00F52F7F"/>
    <w:rsid w:val="00F61FED"/>
    <w:rsid w:val="00F703C9"/>
    <w:rsid w:val="00F907EE"/>
    <w:rsid w:val="00F92BB1"/>
    <w:rsid w:val="00FA04A4"/>
    <w:rsid w:val="00FB1B98"/>
    <w:rsid w:val="00FB6575"/>
    <w:rsid w:val="00FD1D3E"/>
    <w:rsid w:val="00FE5209"/>
    <w:rsid w:val="00FF0185"/>
    <w:rsid w:val="00FF063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3483"/>
  <w15:chartTrackingRefBased/>
  <w15:docId w15:val="{BC31C3E9-04BB-4FC4-A55F-EFFCB15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187C17"/>
    <w:pPr>
      <w:jc w:val="center"/>
    </w:pPr>
    <w:rPr>
      <w:b/>
      <w:bCs/>
      <w:lang w:val="en-US" w:eastAsia="en-US"/>
    </w:rPr>
  </w:style>
  <w:style w:type="paragraph" w:styleId="ListParagraph">
    <w:name w:val="List Paragraph"/>
    <w:basedOn w:val="Normal"/>
    <w:uiPriority w:val="34"/>
    <w:qFormat/>
    <w:rsid w:val="00187C17"/>
    <w:pPr>
      <w:spacing w:after="200" w:line="276" w:lineRule="auto"/>
      <w:ind w:left="720"/>
      <w:contextualSpacing/>
    </w:pPr>
    <w:rPr>
      <w:rFonts w:ascii="Calibri" w:eastAsia="Calibri" w:hAnsi="Calibri"/>
      <w:sz w:val="22"/>
      <w:szCs w:val="22"/>
      <w:lang w:val="en-GB" w:eastAsia="en-US"/>
    </w:rPr>
  </w:style>
  <w:style w:type="table" w:styleId="TableGrid">
    <w:name w:val="Table Grid"/>
    <w:basedOn w:val="TableNormal"/>
    <w:uiPriority w:val="59"/>
    <w:rsid w:val="00187C1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2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7F"/>
    <w:rPr>
      <w:rFonts w:ascii="Segoe UI" w:eastAsia="Times New Roman" w:hAnsi="Segoe UI" w:cs="Segoe UI"/>
      <w:sz w:val="18"/>
      <w:szCs w:val="18"/>
      <w:lang w:eastAsia="ru-RU"/>
    </w:rPr>
  </w:style>
  <w:style w:type="paragraph" w:customStyle="1" w:styleId="cb">
    <w:name w:val="cb"/>
    <w:basedOn w:val="Normal"/>
    <w:uiPriority w:val="99"/>
    <w:semiHidden/>
    <w:rsid w:val="00CA0073"/>
    <w:pPr>
      <w:jc w:val="center"/>
    </w:pPr>
    <w:rPr>
      <w:b/>
      <w:bCs/>
      <w:lang w:val="ru-RU"/>
    </w:rPr>
  </w:style>
  <w:style w:type="paragraph" w:customStyle="1" w:styleId="Tabel">
    <w:name w:val="Tabel"/>
    <w:basedOn w:val="NormalWeb"/>
    <w:link w:val="TabelChar"/>
    <w:qFormat/>
    <w:rsid w:val="00CA0073"/>
    <w:pPr>
      <w:ind w:firstLine="567"/>
      <w:jc w:val="both"/>
    </w:pPr>
    <w:rPr>
      <w:lang w:val="ro-RO" w:eastAsia="en-US"/>
    </w:rPr>
  </w:style>
  <w:style w:type="character" w:customStyle="1" w:styleId="TabelChar">
    <w:name w:val="Tabel Char"/>
    <w:basedOn w:val="DefaultParagraphFont"/>
    <w:link w:val="Tabel"/>
    <w:rsid w:val="00CA0073"/>
    <w:rPr>
      <w:rFonts w:ascii="Times New Roman" w:eastAsia="Times New Roman" w:hAnsi="Times New Roman" w:cs="Times New Roman"/>
      <w:sz w:val="24"/>
      <w:szCs w:val="24"/>
      <w:lang w:val="ro-RO"/>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A0073"/>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link w:val="NormalWeb"/>
    <w:uiPriority w:val="99"/>
    <w:locked/>
    <w:rsid w:val="001B528B"/>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64310"/>
    <w:rPr>
      <w:color w:val="0563C1" w:themeColor="hyperlink"/>
      <w:u w:val="single"/>
    </w:rPr>
  </w:style>
  <w:style w:type="paragraph" w:styleId="NoSpacing">
    <w:name w:val="No Spacing"/>
    <w:uiPriority w:val="1"/>
    <w:qFormat/>
    <w:rsid w:val="00A64310"/>
    <w:pPr>
      <w:spacing w:after="0" w:line="240" w:lineRule="auto"/>
    </w:pPr>
    <w:rPr>
      <w:lang w:val="en-US"/>
    </w:rPr>
  </w:style>
  <w:style w:type="character" w:styleId="CommentReference">
    <w:name w:val="annotation reference"/>
    <w:basedOn w:val="DefaultParagraphFont"/>
    <w:uiPriority w:val="99"/>
    <w:semiHidden/>
    <w:unhideWhenUsed/>
    <w:rsid w:val="002A0093"/>
    <w:rPr>
      <w:sz w:val="16"/>
      <w:szCs w:val="16"/>
    </w:rPr>
  </w:style>
  <w:style w:type="paragraph" w:styleId="CommentText">
    <w:name w:val="annotation text"/>
    <w:basedOn w:val="Normal"/>
    <w:link w:val="CommentTextChar"/>
    <w:uiPriority w:val="99"/>
    <w:semiHidden/>
    <w:unhideWhenUsed/>
    <w:rsid w:val="002A0093"/>
    <w:rPr>
      <w:sz w:val="20"/>
      <w:szCs w:val="20"/>
    </w:rPr>
  </w:style>
  <w:style w:type="character" w:customStyle="1" w:styleId="CommentTextChar">
    <w:name w:val="Comment Text Char"/>
    <w:basedOn w:val="DefaultParagraphFont"/>
    <w:link w:val="CommentText"/>
    <w:uiPriority w:val="99"/>
    <w:semiHidden/>
    <w:rsid w:val="002A009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A0093"/>
    <w:rPr>
      <w:b/>
      <w:bCs/>
    </w:rPr>
  </w:style>
  <w:style w:type="character" w:customStyle="1" w:styleId="CommentSubjectChar">
    <w:name w:val="Comment Subject Char"/>
    <w:basedOn w:val="CommentTextChar"/>
    <w:link w:val="CommentSubject"/>
    <w:uiPriority w:val="99"/>
    <w:semiHidden/>
    <w:rsid w:val="002A0093"/>
    <w:rPr>
      <w:rFonts w:ascii="Times New Roman" w:eastAsia="Times New Roman" w:hAnsi="Times New Roman" w:cs="Times New Roman"/>
      <w:b/>
      <w:bCs/>
      <w:sz w:val="20"/>
      <w:szCs w:val="20"/>
      <w:lang w:eastAsia="ru-RU"/>
    </w:rPr>
  </w:style>
  <w:style w:type="paragraph" w:styleId="Revision">
    <w:name w:val="Revision"/>
    <w:hidden/>
    <w:uiPriority w:val="99"/>
    <w:semiHidden/>
    <w:rsid w:val="0087238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8099">
      <w:bodyDiv w:val="1"/>
      <w:marLeft w:val="0"/>
      <w:marRight w:val="0"/>
      <w:marTop w:val="0"/>
      <w:marBottom w:val="0"/>
      <w:divBdr>
        <w:top w:val="none" w:sz="0" w:space="0" w:color="auto"/>
        <w:left w:val="none" w:sz="0" w:space="0" w:color="auto"/>
        <w:bottom w:val="none" w:sz="0" w:space="0" w:color="auto"/>
        <w:right w:val="none" w:sz="0" w:space="0" w:color="auto"/>
      </w:divBdr>
    </w:div>
    <w:div w:id="265120160">
      <w:bodyDiv w:val="1"/>
      <w:marLeft w:val="0"/>
      <w:marRight w:val="0"/>
      <w:marTop w:val="0"/>
      <w:marBottom w:val="0"/>
      <w:divBdr>
        <w:top w:val="none" w:sz="0" w:space="0" w:color="auto"/>
        <w:left w:val="none" w:sz="0" w:space="0" w:color="auto"/>
        <w:bottom w:val="none" w:sz="0" w:space="0" w:color="auto"/>
        <w:right w:val="none" w:sz="0" w:space="0" w:color="auto"/>
      </w:divBdr>
    </w:div>
    <w:div w:id="455759736">
      <w:bodyDiv w:val="1"/>
      <w:marLeft w:val="0"/>
      <w:marRight w:val="0"/>
      <w:marTop w:val="0"/>
      <w:marBottom w:val="0"/>
      <w:divBdr>
        <w:top w:val="none" w:sz="0" w:space="0" w:color="auto"/>
        <w:left w:val="none" w:sz="0" w:space="0" w:color="auto"/>
        <w:bottom w:val="none" w:sz="0" w:space="0" w:color="auto"/>
        <w:right w:val="none" w:sz="0" w:space="0" w:color="auto"/>
      </w:divBdr>
    </w:div>
    <w:div w:id="1239514203">
      <w:bodyDiv w:val="1"/>
      <w:marLeft w:val="0"/>
      <w:marRight w:val="0"/>
      <w:marTop w:val="0"/>
      <w:marBottom w:val="0"/>
      <w:divBdr>
        <w:top w:val="none" w:sz="0" w:space="0" w:color="auto"/>
        <w:left w:val="none" w:sz="0" w:space="0" w:color="auto"/>
        <w:bottom w:val="none" w:sz="0" w:space="0" w:color="auto"/>
        <w:right w:val="none" w:sz="0" w:space="0" w:color="auto"/>
      </w:divBdr>
    </w:div>
    <w:div w:id="18452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2608</Words>
  <Characters>14867</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2022-06-10T08:37:00Z</cp:lastPrinted>
  <dcterms:created xsi:type="dcterms:W3CDTF">2022-06-10T08:57:00Z</dcterms:created>
  <dcterms:modified xsi:type="dcterms:W3CDTF">2022-06-10T08:57:00Z</dcterms:modified>
</cp:coreProperties>
</file>