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9D" w:rsidRPr="00366643" w:rsidRDefault="0022189D" w:rsidP="0022189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</w:pPr>
      <w:r w:rsidRPr="00366643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  <w:t>NOTĂ INFORMATIVĂ</w:t>
      </w:r>
    </w:p>
    <w:p w:rsidR="0022189D" w:rsidRPr="00366643" w:rsidRDefault="0022189D" w:rsidP="0022189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366643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 xml:space="preserve">la proiectul hotărârii Guvernului </w:t>
      </w:r>
      <w:r w:rsidRPr="00366643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cu privire la modificarea </w:t>
      </w:r>
    </w:p>
    <w:p w:rsidR="0022189D" w:rsidRPr="00366643" w:rsidRDefault="0022189D" w:rsidP="0022189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366643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Nomenclatorului informațiilor atribuite la secret de stat, </w:t>
      </w:r>
    </w:p>
    <w:p w:rsidR="00431E1A" w:rsidRDefault="0022189D" w:rsidP="0036664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366643">
        <w:rPr>
          <w:rFonts w:ascii="Times New Roman" w:hAnsi="Times New Roman" w:cs="Times New Roman"/>
          <w:noProof/>
          <w:sz w:val="28"/>
          <w:szCs w:val="28"/>
          <w:lang w:val="ro-RO"/>
        </w:rPr>
        <w:t>aprobat prin Hotărârea Guvernului nr. 411/2010</w:t>
      </w:r>
    </w:p>
    <w:p w:rsidR="00366643" w:rsidRPr="00366643" w:rsidRDefault="00366643" w:rsidP="00366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tbl>
      <w:tblPr>
        <w:tblW w:w="5229" w:type="pct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0"/>
      </w:tblGrid>
      <w:tr w:rsidR="0022189D" w:rsidRPr="00943E33" w:rsidTr="00A22D13">
        <w:trPr>
          <w:trHeight w:val="279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366643" w:rsidRDefault="0022189D" w:rsidP="00A22D13">
            <w:pPr>
              <w:numPr>
                <w:ilvl w:val="3"/>
                <w:numId w:val="1"/>
              </w:numPr>
              <w:tabs>
                <w:tab w:val="clear" w:pos="2880"/>
                <w:tab w:val="num" w:pos="0"/>
                <w:tab w:val="left" w:pos="284"/>
                <w:tab w:val="left" w:pos="1196"/>
              </w:tabs>
              <w:spacing w:after="0" w:line="240" w:lineRule="auto"/>
              <w:ind w:left="0" w:firstLine="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 xml:space="preserve"> Denumirea autorului şi, după caz, a participanților la elaborarea proiectului</w:t>
            </w:r>
          </w:p>
        </w:tc>
      </w:tr>
      <w:tr w:rsidR="0022189D" w:rsidRPr="00943E33" w:rsidTr="00A22D13">
        <w:trPr>
          <w:trHeight w:val="290"/>
        </w:trPr>
        <w:tc>
          <w:tcPr>
            <w:tcW w:w="5000" w:type="pct"/>
          </w:tcPr>
          <w:p w:rsidR="0022189D" w:rsidRPr="00366643" w:rsidRDefault="0022189D" w:rsidP="00A22D13">
            <w:pPr>
              <w:tabs>
                <w:tab w:val="left" w:pos="884"/>
                <w:tab w:val="left" w:pos="1196"/>
              </w:tabs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Proiectul a fost elaborat de Ministerul Afacerilor Interne. </w:t>
            </w:r>
          </w:p>
        </w:tc>
      </w:tr>
      <w:tr w:rsidR="0022189D" w:rsidRPr="00943E33" w:rsidTr="00A22D13">
        <w:trPr>
          <w:trHeight w:val="287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366643" w:rsidRDefault="0022189D" w:rsidP="00A22D13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2. Condiţiile ce au impus elaborarea proiectului de act normativ şi finalitățile urmărite</w:t>
            </w:r>
          </w:p>
        </w:tc>
      </w:tr>
      <w:tr w:rsidR="0022189D" w:rsidRPr="00943E33" w:rsidTr="00A22D13">
        <w:trPr>
          <w:trHeight w:val="4618"/>
        </w:trPr>
        <w:tc>
          <w:tcPr>
            <w:tcW w:w="5000" w:type="pct"/>
          </w:tcPr>
          <w:p w:rsidR="00E64499" w:rsidRPr="00366643" w:rsidRDefault="00431E1A" w:rsidP="00E64499">
            <w:pPr>
              <w:tabs>
                <w:tab w:val="left" w:pos="632"/>
              </w:tabs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Proiectul hotărârii Guvernului cu privire la modificarea Nomenclatorului informațiilor atribuite la secret de stat, aprobat prin Hotărârea Guver</w:t>
            </w:r>
            <w:r w:rsidR="00006667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n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ului nr. 411/2010 a fost elaborat </w:t>
            </w:r>
            <w:r w:rsidR="00E64499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în scopul executării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456FC5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a</w:t>
            </w:r>
            <w:r w:rsidR="00E64499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rt. IX. alin. (2) al 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Legii nr.</w:t>
            </w:r>
            <w:r w:rsidR="00070E7C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109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/2022 cu privire la modificarea unor</w:t>
            </w:r>
            <w:r w:rsidR="00914B61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acte normative</w:t>
            </w:r>
            <w:r w:rsidR="00DD31C1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, care prevede că Guvernul, în termen de 3 luni de la data publicării </w:t>
            </w:r>
            <w:r w:rsidR="00412D45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prezentei</w:t>
            </w:r>
            <w:r w:rsidR="00E52471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legi, va opera modificări în Nomenclatorul informațiil</w:t>
            </w:r>
            <w:r w:rsidR="00E24C54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or atribuite la s</w:t>
            </w:r>
            <w:r w:rsidR="00412D45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ec</w:t>
            </w:r>
            <w:r w:rsidR="00E24C54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ret de stat. </w:t>
            </w:r>
          </w:p>
          <w:p w:rsidR="00C438F0" w:rsidRDefault="00070E7C" w:rsidP="00C438F0">
            <w:pPr>
              <w:tabs>
                <w:tab w:val="left" w:pos="632"/>
              </w:tabs>
              <w:spacing w:after="0" w:line="240" w:lineRule="auto"/>
              <w:ind w:firstLine="69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Prin articolul VII al Legii </w:t>
            </w:r>
            <w:r w:rsidR="00E24C54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nr. 109/2022 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au fost operate modificări în art. 7 </w:t>
            </w:r>
            <w:r w:rsidR="00943E3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alin. (2) pct. 2) 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din Legea nr. 245/2008</w:t>
            </w:r>
            <w:r w:rsidR="00412D45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cu privire la secretul de stat,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412D45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prin care </w:t>
            </w:r>
            <w:r w:rsidR="00943E3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din lit. a) au fost excluse prevederile în partea ce ț</w:t>
            </w:r>
            <w:r w:rsidR="009424EA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ine de </w:t>
            </w:r>
            <w:r w:rsidR="009424EA" w:rsidRPr="009424EA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 xml:space="preserve">informațiile despre amplasarea şi volumul real al rezervelor materiale de stat, </w:t>
            </w:r>
            <w:r w:rsidR="00BE3959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>întrucât norma respectivă nu reglementa</w:t>
            </w:r>
            <w:r w:rsidR="009424EA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 xml:space="preserve"> și informațiile </w:t>
            </w:r>
            <w:r w:rsidR="001D6E86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>despre</w:t>
            </w:r>
            <w:r w:rsidR="009424EA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 xml:space="preserve"> rezervele </w:t>
            </w:r>
            <w:r w:rsidR="009424EA" w:rsidRPr="009424EA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>de mobilizare, ținând cont de importanța pe care o au pentru interesele şi/sau securitatea statului.</w:t>
            </w:r>
            <w:r w:rsidR="009424EA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 xml:space="preserve"> </w:t>
            </w:r>
          </w:p>
          <w:p w:rsidR="00C438F0" w:rsidRPr="009D0061" w:rsidRDefault="00C438F0" w:rsidP="009D0061">
            <w:pPr>
              <w:tabs>
                <w:tab w:val="left" w:pos="632"/>
              </w:tabs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Având un caracter strategic</w:t>
            </w:r>
            <w:r w:rsidR="001D6E86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,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important pentru securitatea statului, cuprinzând informații despre amplasarea, categoriile și cantitățile de bunuri care constituie componența stocurilor rezervelor de stat și de mobilizare, se impune delimitarea domeniului rezervelor</w:t>
            </w:r>
            <w:r w:rsidR="001D6E86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de stat și de mobilizare de celelalte domenii care operează cu informații cu acces limitat. </w:t>
            </w:r>
            <w:r w:rsidR="009424EA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 xml:space="preserve">Astfel, </w:t>
            </w:r>
            <w:r w:rsidR="00943E3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la lit</w:t>
            </w:r>
            <w:r w:rsidR="009424EA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.</w:t>
            </w:r>
            <w:r w:rsidR="00943E3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a</w:t>
            </w:r>
            <w:r w:rsidR="00943E33" w:rsidRPr="009424E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ro-RO" w:eastAsia="ru-RU"/>
              </w:rPr>
              <w:t>1</w:t>
            </w:r>
            <w:r w:rsidR="00943E3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)-a</w:t>
            </w:r>
            <w:r w:rsidR="00943E33" w:rsidRPr="009424E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ro-RO" w:eastAsia="ru-RU"/>
              </w:rPr>
              <w:t>3</w:t>
            </w:r>
            <w:r w:rsidR="001D6E86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), incluse în articolul menționat, </w:t>
            </w:r>
            <w:bookmarkStart w:id="0" w:name="_GoBack"/>
            <w:bookmarkEnd w:id="0"/>
            <w:r w:rsidR="00943E3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a</w:t>
            </w:r>
            <w:r w:rsidR="009424EA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u fost delimitate expres informațiile </w:t>
            </w:r>
            <w:r w:rsidR="009424EA" w:rsidRPr="009424EA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>din domeniul rezervelor de stat și de mobilizare ce necesită a fi secretizate.</w:t>
            </w:r>
          </w:p>
          <w:p w:rsidR="00943E33" w:rsidRPr="00C438F0" w:rsidRDefault="009424EA" w:rsidP="00C438F0">
            <w:pPr>
              <w:spacing w:after="0" w:line="240" w:lineRule="auto"/>
              <w:ind w:firstLine="663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</w:pPr>
            <w:r w:rsidRPr="009424EA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>Prin urmare,</w:t>
            </w:r>
            <w:r w:rsidR="001D6E86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 xml:space="preserve"> a apărut necesitatea modificării 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>omenclatorului informațiilor atribuite la secret de stat și delimitarea</w:t>
            </w:r>
            <w:r w:rsidR="001D6E86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 xml:space="preserve"> printr-un punct separat </w:t>
            </w:r>
            <w:r w:rsidR="001D6E86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>al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 xml:space="preserve"> acest</w:t>
            </w:r>
            <w:r w:rsidR="001D6E86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>ui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>a</w:t>
            </w:r>
            <w:r w:rsidR="001D6E86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 xml:space="preserve"> a </w:t>
            </w:r>
            <w:r w:rsidRPr="009424EA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informații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>lor din</w:t>
            </w:r>
            <w:r w:rsidRPr="009424EA"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  <w:t xml:space="preserve"> domeniul rezervelor de stat și de mobilizare, în scopul stabilirii clarității și evitării interpretării, precum și acoperirea lipsei de reglementare.</w:t>
            </w:r>
            <w:r w:rsidRPr="009424EA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 xml:space="preserve"> </w:t>
            </w:r>
          </w:p>
          <w:p w:rsidR="001374BD" w:rsidRPr="00366643" w:rsidRDefault="009D1E62" w:rsidP="009D1E62">
            <w:pPr>
              <w:tabs>
                <w:tab w:val="left" w:pos="632"/>
              </w:tabs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În vederea </w:t>
            </w:r>
            <w:r w:rsidR="00C905E9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facilitării </w:t>
            </w:r>
            <w:r w:rsidR="001A76A7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identificării </w:t>
            </w:r>
            <w:r w:rsidR="00C905E9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informațiilor date, proiectul prop</w:t>
            </w:r>
            <w:r w:rsidR="00F42A11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une modificarea, prin excludere</w:t>
            </w:r>
            <w:r w:rsidR="00C905E9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a </w:t>
            </w:r>
            <w:r w:rsidR="00317CB1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unei părți din text</w:t>
            </w:r>
            <w:r w:rsidR="0027494F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317CB1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l</w:t>
            </w:r>
            <w:r w:rsidR="0027494F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a poziției 17 din Nomenclator</w:t>
            </w:r>
            <w:r w:rsidR="008A716E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și completarea acestuia cu o poziție nouă – 17</w:t>
            </w:r>
            <w:r w:rsidR="008A716E" w:rsidRPr="0036664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ro-RO" w:eastAsia="ru-RU"/>
              </w:rPr>
              <w:t>1</w:t>
            </w:r>
            <w:r w:rsidR="001A76A7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care va include informațiile atribuite la secret de stat din domeniul rezervelor de stat și de mobilizare, fără a fi precedate de cele care țin de materialele strategice și nomenclatură.  </w:t>
            </w:r>
          </w:p>
          <w:p w:rsidR="00CB070D" w:rsidRPr="00366643" w:rsidRDefault="001A76A7" w:rsidP="00F42A11">
            <w:pPr>
              <w:tabs>
                <w:tab w:val="left" w:pos="6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        </w:t>
            </w:r>
            <w:r w:rsidR="00D77569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Delimitarea acestor categorii </w:t>
            </w:r>
            <w:r w:rsidR="00F42A11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de informații </w:t>
            </w:r>
            <w:r w:rsidR="00D77569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va permite </w:t>
            </w:r>
            <w:r w:rsidR="001857EA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clasificarea mai ușoară a informațiilor</w:t>
            </w:r>
            <w:r w:rsidR="00F42A11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cu caracter secret </w:t>
            </w:r>
            <w:r w:rsidR="001857EA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cu care operează instituțiile publice și va facilita controlul asupra </w:t>
            </w:r>
            <w:r w:rsidR="00A951FE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respectării regimului de </w:t>
            </w:r>
            <w:r w:rsidR="001857EA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utiliz</w:t>
            </w:r>
            <w:r w:rsidR="00A951FE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are a lor</w:t>
            </w:r>
            <w:r w:rsidR="001857EA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.</w:t>
            </w:r>
            <w:r w:rsidR="00A951FE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</w:p>
          <w:p w:rsidR="0022189D" w:rsidRPr="00366643" w:rsidRDefault="009D1E62" w:rsidP="009D1E62">
            <w:pPr>
              <w:tabs>
                <w:tab w:val="left" w:pos="632"/>
              </w:tabs>
              <w:spacing w:after="0" w:line="240" w:lineRule="auto"/>
              <w:ind w:firstLine="61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Totodată, reieșind din termenul restrâns în care Guvernul trebuie să opereze modificări în Nomenclatorul informațiilor atribuite la secret de stat, aprobat prin Hotărârea Guvernului nr.411/2010 (3 luni de la data publicării</w:t>
            </w:r>
            <w:r w:rsidRPr="00366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Legii nr.109/2022 cu privire la modificarea unor acte normative), p</w:t>
            </w:r>
            <w:r w:rsidR="00A46DA8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roiectul prevede intrarea în vigoare a acestuia la data 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publicării în Monitorul Oficial.</w:t>
            </w:r>
            <w:r w:rsidR="00A46DA8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22189D" w:rsidRPr="00943E33" w:rsidTr="00A22D13">
        <w:trPr>
          <w:trHeight w:val="387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366643" w:rsidRDefault="0022189D" w:rsidP="00A22D13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 xml:space="preserve">3. Descrierea gradului de compatibilitate pentru proiectele care au ca scop </w:t>
            </w:r>
            <w:r w:rsidRPr="0036664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lastRenderedPageBreak/>
              <w:t>armonizarea legislaţiei naţionale cu legislaţia Uniunii Europene</w:t>
            </w:r>
          </w:p>
        </w:tc>
      </w:tr>
      <w:tr w:rsidR="0022189D" w:rsidRPr="00943E33" w:rsidTr="00A22D13">
        <w:trPr>
          <w:trHeight w:val="638"/>
        </w:trPr>
        <w:tc>
          <w:tcPr>
            <w:tcW w:w="5000" w:type="pct"/>
          </w:tcPr>
          <w:p w:rsidR="0022189D" w:rsidRPr="00366643" w:rsidRDefault="0022189D" w:rsidP="00A22D13">
            <w:pPr>
              <w:tabs>
                <w:tab w:val="left" w:pos="884"/>
                <w:tab w:val="left" w:pos="1196"/>
              </w:tabs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lastRenderedPageBreak/>
              <w:t xml:space="preserve">Proiectul nu are drept scop armonizarea legislaţiei naţionale cu legislaţia Uniunii Europene. </w:t>
            </w:r>
          </w:p>
        </w:tc>
      </w:tr>
      <w:tr w:rsidR="0022189D" w:rsidRPr="00943E33" w:rsidTr="00A22D13">
        <w:trPr>
          <w:trHeight w:val="279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366643" w:rsidRDefault="0022189D" w:rsidP="00A22D1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4. Principalele prevederi ale proiectului şi evidențierea elementelor noi</w:t>
            </w:r>
          </w:p>
        </w:tc>
      </w:tr>
      <w:tr w:rsidR="0022189D" w:rsidRPr="00943E33" w:rsidTr="00A22D13">
        <w:trPr>
          <w:trHeight w:val="290"/>
        </w:trPr>
        <w:tc>
          <w:tcPr>
            <w:tcW w:w="5000" w:type="pct"/>
          </w:tcPr>
          <w:p w:rsidR="0022189D" w:rsidRPr="00366643" w:rsidRDefault="00DC59F8" w:rsidP="00701E90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Proiectul propune delimitarea informațiilor din do</w:t>
            </w:r>
            <w:r w:rsidR="00457658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meniul rezervelor de stat și de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mobilizare </w:t>
            </w:r>
            <w:r w:rsidR="00701E90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de celelate informații din domeniul economiei, științei și tehnicii enumerate în Nomenclatorul informațiilor atribuite la secret de stat, aprobat prin Hotărârea Guvernului nr. 411/2010. </w:t>
            </w:r>
          </w:p>
          <w:p w:rsidR="00701E90" w:rsidRPr="00366643" w:rsidRDefault="00701E90" w:rsidP="00701E90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Astfel, proiectul prevede completarea Nomenclatorului menționat cu o poziție nouă – 17</w:t>
            </w:r>
            <w:r w:rsidR="00F903F0" w:rsidRPr="0036664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ro-RO" w:eastAsia="ru-RU"/>
              </w:rPr>
              <w:t>1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care să cuprindă doar informațiile din domeniul rezervelor de stat și de mobilizare. </w:t>
            </w:r>
          </w:p>
          <w:p w:rsidR="00B56D2C" w:rsidRPr="00366643" w:rsidRDefault="00B56D2C" w:rsidP="00CB01D0">
            <w:pPr>
              <w:spacing w:after="0" w:line="240" w:lineRule="auto"/>
              <w:ind w:firstLine="6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Totodată</w:t>
            </w:r>
            <w:r w:rsidR="00CB01D0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, reieșind din prevederile Legii nr. 104/2020 cu privire la rezervele de stat și de mobilizare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,</w:t>
            </w:r>
            <w:r w:rsidR="00BE486D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se propune modificarea listei</w:t>
            </w:r>
            <w:r w:rsidR="00F903F0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autorităților administraț</w:t>
            </w:r>
            <w:r w:rsidR="00CB01D0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iei publice centrale și locale și</w:t>
            </w:r>
            <w:r w:rsidR="00F903F0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a altor persoane juridice de drept public și privat,</w:t>
            </w:r>
            <w:r w:rsidR="00CB01D0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care sunt</w:t>
            </w:r>
            <w:r w:rsidR="00F903F0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investite să dispună, în limitele competenței, de informațiile </w:t>
            </w:r>
            <w:r w:rsidR="00CB01D0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atribuite la secret de stat din domeniul rezervelor de stat și de mobilizare</w:t>
            </w:r>
            <w:r w:rsidR="00D877C1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.</w:t>
            </w:r>
            <w:r w:rsidR="00B5044F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 </w:t>
            </w:r>
          </w:p>
        </w:tc>
      </w:tr>
      <w:tr w:rsidR="0022189D" w:rsidRPr="00366643" w:rsidTr="00A22D13">
        <w:trPr>
          <w:trHeight w:val="290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366643" w:rsidRDefault="0022189D" w:rsidP="00A22D1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5. Fundamentarea economico-financiară</w:t>
            </w:r>
          </w:p>
        </w:tc>
      </w:tr>
      <w:tr w:rsidR="0022189D" w:rsidRPr="00943E33" w:rsidTr="00A22D13">
        <w:trPr>
          <w:trHeight w:val="568"/>
        </w:trPr>
        <w:tc>
          <w:tcPr>
            <w:tcW w:w="5000" w:type="pct"/>
          </w:tcPr>
          <w:p w:rsidR="0022189D" w:rsidRPr="00366643" w:rsidRDefault="0022189D" w:rsidP="0035375D">
            <w:pPr>
              <w:widowControl w:val="0"/>
              <w:tabs>
                <w:tab w:val="left" w:pos="539"/>
                <w:tab w:val="left" w:pos="806"/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ind w:left="34" w:right="112" w:firstLine="6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Im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plementarea prezentului proiect nu necesită alocarea resurselor financiare din bugetul de stat</w:t>
            </w:r>
            <w:r w:rsidR="009E24E0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,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întrucât acesta prevede doar modificarea </w:t>
            </w:r>
            <w:r w:rsidR="0035375D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unei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Hotărâri </w:t>
            </w:r>
            <w:r w:rsidR="0035375D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de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Guvern</w:t>
            </w:r>
            <w:r w:rsidR="0035375D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. </w:t>
            </w:r>
          </w:p>
        </w:tc>
      </w:tr>
      <w:tr w:rsidR="0022189D" w:rsidRPr="00943E33" w:rsidTr="00A22D13">
        <w:trPr>
          <w:trHeight w:val="290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366643" w:rsidRDefault="0022189D" w:rsidP="00A22D1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6. Modul de încorporare a actului în cadrul normativ în vigoare</w:t>
            </w:r>
          </w:p>
        </w:tc>
      </w:tr>
      <w:tr w:rsidR="0022189D" w:rsidRPr="00943E33" w:rsidTr="00A22D13">
        <w:trPr>
          <w:trHeight w:val="58"/>
        </w:trPr>
        <w:tc>
          <w:tcPr>
            <w:tcW w:w="5000" w:type="pct"/>
          </w:tcPr>
          <w:p w:rsidR="0022189D" w:rsidRPr="00366643" w:rsidRDefault="00C142E4" w:rsidP="00A22D13">
            <w:pPr>
              <w:tabs>
                <w:tab w:val="left" w:pos="884"/>
                <w:tab w:val="left" w:pos="1196"/>
              </w:tabs>
              <w:spacing w:after="0" w:line="240" w:lineRule="auto"/>
              <w:ind w:firstLine="66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Adoptarea prezentului proiect de act normativ nu va genera necesitatea modificării sau abrogării altor acte normative. </w:t>
            </w:r>
          </w:p>
        </w:tc>
      </w:tr>
      <w:tr w:rsidR="0022189D" w:rsidRPr="00943E33" w:rsidTr="00A22D13">
        <w:trPr>
          <w:trHeight w:val="290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366643" w:rsidRDefault="0022189D" w:rsidP="00A22D1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7. Avizarea şi consultarea publică a proiectului</w:t>
            </w:r>
          </w:p>
        </w:tc>
      </w:tr>
      <w:tr w:rsidR="0022189D" w:rsidRPr="00943E33" w:rsidTr="00A22D13">
        <w:trPr>
          <w:trHeight w:val="368"/>
        </w:trPr>
        <w:tc>
          <w:tcPr>
            <w:tcW w:w="5000" w:type="pct"/>
          </w:tcPr>
          <w:p w:rsidR="0022189D" w:rsidRPr="00366643" w:rsidRDefault="0022189D" w:rsidP="00C142E4">
            <w:pPr>
              <w:spacing w:after="0" w:line="240" w:lineRule="auto"/>
              <w:ind w:firstLine="66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În scopul respectării prevederilor Legii nr.</w:t>
            </w:r>
            <w:r w:rsidR="009E24E0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239/2008 privind transparența în procesul decizional, </w:t>
            </w:r>
            <w:r w:rsidR="00C142E4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anunțul privind inițierea elaborării proiectului hotărârii Guvernului cu privire la modificarea Nomenclatorului informațiilor atribuite la secret de stat, aprobat prin Hotărârea Guvernului nr. 411/2010, a fost publicat </w:t>
            </w: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pe pagina-web oficială a Ministerului Afacerilor Interne și pe portalul consultativ </w:t>
            </w:r>
            <w:hyperlink r:id="rId8" w:history="1">
              <w:r w:rsidRPr="00366643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www.particip.gov.md</w:t>
              </w:r>
            </w:hyperlink>
            <w:r w:rsidR="009E24E0"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, i-ar persoanele interesate au avut posibilitatea consultării și expunerii pe marginea acestuia. </w:t>
            </w:r>
          </w:p>
        </w:tc>
      </w:tr>
      <w:tr w:rsidR="0022189D" w:rsidRPr="00366643" w:rsidTr="00A22D13">
        <w:trPr>
          <w:trHeight w:val="368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366643" w:rsidRDefault="0022189D" w:rsidP="00A22D1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8. Constatările expertizei juridice</w:t>
            </w:r>
          </w:p>
        </w:tc>
      </w:tr>
      <w:tr w:rsidR="0022189D" w:rsidRPr="00943E33" w:rsidTr="00A22D13">
        <w:trPr>
          <w:trHeight w:val="368"/>
        </w:trPr>
        <w:tc>
          <w:tcPr>
            <w:tcW w:w="5000" w:type="pct"/>
          </w:tcPr>
          <w:p w:rsidR="0022189D" w:rsidRPr="00366643" w:rsidRDefault="00C142E4" w:rsidP="00C142E4">
            <w:pPr>
              <w:spacing w:after="0" w:line="240" w:lineRule="auto"/>
              <w:ind w:firstLine="66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Proiectul urmează a fi supus expertizei juridice. </w:t>
            </w:r>
          </w:p>
        </w:tc>
      </w:tr>
      <w:tr w:rsidR="0022189D" w:rsidRPr="00366643" w:rsidTr="00A22D13">
        <w:trPr>
          <w:trHeight w:val="368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366643" w:rsidRDefault="0022189D" w:rsidP="00A22D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9. Constatările expertizei anticorupție</w:t>
            </w:r>
          </w:p>
        </w:tc>
      </w:tr>
      <w:tr w:rsidR="0022189D" w:rsidRPr="00943E33" w:rsidTr="00006667">
        <w:trPr>
          <w:trHeight w:val="273"/>
        </w:trPr>
        <w:tc>
          <w:tcPr>
            <w:tcW w:w="5000" w:type="pct"/>
          </w:tcPr>
          <w:p w:rsidR="0022189D" w:rsidRPr="00366643" w:rsidRDefault="00C142E4" w:rsidP="00A22D13">
            <w:pPr>
              <w:spacing w:after="0" w:line="240" w:lineRule="auto"/>
              <w:ind w:firstLine="66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3666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Proiectul urmează a fi supus expertizei anticorupție. </w:t>
            </w:r>
          </w:p>
        </w:tc>
      </w:tr>
    </w:tbl>
    <w:p w:rsidR="0022189D" w:rsidRPr="00366643" w:rsidRDefault="0022189D" w:rsidP="0022189D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</w:pPr>
    </w:p>
    <w:p w:rsidR="0022189D" w:rsidRPr="00366643" w:rsidRDefault="0022189D" w:rsidP="0022189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2189D" w:rsidRPr="00366643" w:rsidRDefault="0022189D" w:rsidP="0022189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2189D" w:rsidRPr="00366643" w:rsidRDefault="0022189D" w:rsidP="0022189D">
      <w:pPr>
        <w:ind w:left="-540" w:right="-261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666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Secretar general al ministerului</w:t>
      </w:r>
      <w:r w:rsidRPr="0036664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6664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6664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6664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66643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Serghei DIACONU </w:t>
      </w:r>
    </w:p>
    <w:p w:rsidR="0022189D" w:rsidRPr="00366643" w:rsidRDefault="0022189D" w:rsidP="0022189D">
      <w:pPr>
        <w:ind w:left="-426"/>
        <w:rPr>
          <w:rFonts w:ascii="Times New Roman" w:hAnsi="Times New Roman" w:cs="Times New Roman"/>
          <w:sz w:val="28"/>
          <w:szCs w:val="28"/>
          <w:lang w:val="ro-RO"/>
        </w:rPr>
      </w:pPr>
    </w:p>
    <w:p w:rsidR="00680BAD" w:rsidRPr="00317CB1" w:rsidRDefault="00680BAD">
      <w:pPr>
        <w:rPr>
          <w:lang w:val="en-US"/>
        </w:rPr>
      </w:pPr>
    </w:p>
    <w:sectPr w:rsidR="00680BAD" w:rsidRPr="00317CB1" w:rsidSect="00310C3F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09" w:right="92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77" w:rsidRDefault="00174E77">
      <w:pPr>
        <w:spacing w:after="0" w:line="240" w:lineRule="auto"/>
      </w:pPr>
      <w:r>
        <w:separator/>
      </w:r>
    </w:p>
  </w:endnote>
  <w:endnote w:type="continuationSeparator" w:id="0">
    <w:p w:rsidR="00174E77" w:rsidRDefault="0017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D9" w:rsidRDefault="002E47FF" w:rsidP="00FB747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28D9" w:rsidRDefault="00174E77" w:rsidP="00FB74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D9" w:rsidRPr="00820025" w:rsidRDefault="00174E77" w:rsidP="00FB747C">
    <w:pPr>
      <w:pStyle w:val="a5"/>
      <w:jc w:val="right"/>
      <w:rPr>
        <w:rFonts w:ascii="Times New Roman" w:hAnsi="Times New Roman"/>
        <w:lang w:val="ro-R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D9" w:rsidRPr="00820025" w:rsidRDefault="00174E77" w:rsidP="00FB747C">
    <w:pPr>
      <w:pStyle w:val="a5"/>
      <w:jc w:val="right"/>
      <w:rPr>
        <w:rFonts w:ascii="Times New Roman" w:hAnsi="Times New Roman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77" w:rsidRDefault="00174E77">
      <w:pPr>
        <w:spacing w:after="0" w:line="240" w:lineRule="auto"/>
      </w:pPr>
      <w:r>
        <w:separator/>
      </w:r>
    </w:p>
  </w:footnote>
  <w:footnote w:type="continuationSeparator" w:id="0">
    <w:p w:rsidR="00174E77" w:rsidRDefault="0017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D9" w:rsidRPr="0019107C" w:rsidRDefault="00174E77" w:rsidP="00FB747C">
    <w:pPr>
      <w:pStyle w:val="a3"/>
      <w:jc w:val="right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8D"/>
    <w:rsid w:val="00006667"/>
    <w:rsid w:val="00070E7C"/>
    <w:rsid w:val="000D3664"/>
    <w:rsid w:val="000D4310"/>
    <w:rsid w:val="000D4A9C"/>
    <w:rsid w:val="0010738D"/>
    <w:rsid w:val="001374BD"/>
    <w:rsid w:val="00174E77"/>
    <w:rsid w:val="001857EA"/>
    <w:rsid w:val="001A76A7"/>
    <w:rsid w:val="001D6E86"/>
    <w:rsid w:val="00203ABC"/>
    <w:rsid w:val="0021519D"/>
    <w:rsid w:val="0022189D"/>
    <w:rsid w:val="0027494F"/>
    <w:rsid w:val="002E47FF"/>
    <w:rsid w:val="0030162C"/>
    <w:rsid w:val="00317CB1"/>
    <w:rsid w:val="00335789"/>
    <w:rsid w:val="0035375D"/>
    <w:rsid w:val="00366643"/>
    <w:rsid w:val="003669DB"/>
    <w:rsid w:val="003C56C5"/>
    <w:rsid w:val="00412D45"/>
    <w:rsid w:val="00431E1A"/>
    <w:rsid w:val="00456FC5"/>
    <w:rsid w:val="00457658"/>
    <w:rsid w:val="004F6AB0"/>
    <w:rsid w:val="005133C4"/>
    <w:rsid w:val="00603A3B"/>
    <w:rsid w:val="006171AD"/>
    <w:rsid w:val="00646060"/>
    <w:rsid w:val="00660489"/>
    <w:rsid w:val="00680BAD"/>
    <w:rsid w:val="00701E90"/>
    <w:rsid w:val="007A77C8"/>
    <w:rsid w:val="008A716E"/>
    <w:rsid w:val="008E1A4F"/>
    <w:rsid w:val="00914B61"/>
    <w:rsid w:val="009424EA"/>
    <w:rsid w:val="00943E33"/>
    <w:rsid w:val="009A1E59"/>
    <w:rsid w:val="009A5B40"/>
    <w:rsid w:val="009D0061"/>
    <w:rsid w:val="009D1E62"/>
    <w:rsid w:val="009E24E0"/>
    <w:rsid w:val="009F4107"/>
    <w:rsid w:val="00A46DA8"/>
    <w:rsid w:val="00A951FE"/>
    <w:rsid w:val="00B5044F"/>
    <w:rsid w:val="00B56D2C"/>
    <w:rsid w:val="00BA189E"/>
    <w:rsid w:val="00BE3959"/>
    <w:rsid w:val="00BE486D"/>
    <w:rsid w:val="00C142E4"/>
    <w:rsid w:val="00C14AD4"/>
    <w:rsid w:val="00C438F0"/>
    <w:rsid w:val="00C55852"/>
    <w:rsid w:val="00C71F08"/>
    <w:rsid w:val="00C77192"/>
    <w:rsid w:val="00C826C1"/>
    <w:rsid w:val="00C905E9"/>
    <w:rsid w:val="00CB01D0"/>
    <w:rsid w:val="00CB070D"/>
    <w:rsid w:val="00D3538D"/>
    <w:rsid w:val="00D77569"/>
    <w:rsid w:val="00D877C1"/>
    <w:rsid w:val="00DB6379"/>
    <w:rsid w:val="00DC59F8"/>
    <w:rsid w:val="00DD31C1"/>
    <w:rsid w:val="00E24C54"/>
    <w:rsid w:val="00E52471"/>
    <w:rsid w:val="00E63ACD"/>
    <w:rsid w:val="00E64499"/>
    <w:rsid w:val="00F1388C"/>
    <w:rsid w:val="00F27629"/>
    <w:rsid w:val="00F42A11"/>
    <w:rsid w:val="00F903F0"/>
    <w:rsid w:val="00F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189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22189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22189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2189D"/>
    <w:rPr>
      <w:rFonts w:ascii="Calibri" w:eastAsia="Times New Roman" w:hAnsi="Calibri" w:cs="Times New Roman"/>
      <w:lang w:eastAsia="ru-RU"/>
    </w:rPr>
  </w:style>
  <w:style w:type="character" w:styleId="a7">
    <w:name w:val="page number"/>
    <w:rsid w:val="002218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189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22189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22189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2189D"/>
    <w:rPr>
      <w:rFonts w:ascii="Calibri" w:eastAsia="Times New Roman" w:hAnsi="Calibri" w:cs="Times New Roman"/>
      <w:lang w:eastAsia="ru-RU"/>
    </w:rPr>
  </w:style>
  <w:style w:type="character" w:styleId="a7">
    <w:name w:val="page number"/>
    <w:rsid w:val="002218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SPDRM-001</cp:lastModifiedBy>
  <cp:revision>126</cp:revision>
  <dcterms:created xsi:type="dcterms:W3CDTF">2022-03-28T07:53:00Z</dcterms:created>
  <dcterms:modified xsi:type="dcterms:W3CDTF">2022-06-10T06:22:00Z</dcterms:modified>
</cp:coreProperties>
</file>