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6400" w14:textId="77777777" w:rsidR="004C21B8" w:rsidRPr="00DE3030" w:rsidRDefault="00362E4C" w:rsidP="00A01A03">
      <w:pPr>
        <w:jc w:val="center"/>
        <w:rPr>
          <w:b/>
          <w:sz w:val="25"/>
          <w:szCs w:val="25"/>
          <w:lang w:val="ro-MD"/>
        </w:rPr>
      </w:pPr>
      <w:r w:rsidRPr="00DE3030">
        <w:rPr>
          <w:b/>
          <w:sz w:val="25"/>
          <w:szCs w:val="25"/>
          <w:lang w:val="ro-MD"/>
        </w:rPr>
        <w:t>Nota informativă</w:t>
      </w:r>
    </w:p>
    <w:p w14:paraId="260C6F2B" w14:textId="2B36FFE6" w:rsidR="00F16373" w:rsidRPr="00DE3030" w:rsidRDefault="0005506C" w:rsidP="00B35DB8">
      <w:pPr>
        <w:jc w:val="center"/>
        <w:rPr>
          <w:b/>
          <w:sz w:val="25"/>
          <w:szCs w:val="25"/>
          <w:lang w:val="ro-MD"/>
        </w:rPr>
      </w:pPr>
      <w:r w:rsidRPr="00DE3030">
        <w:rPr>
          <w:b/>
          <w:sz w:val="25"/>
          <w:szCs w:val="25"/>
          <w:lang w:val="ro-MD"/>
        </w:rPr>
        <w:t xml:space="preserve">la proiectul </w:t>
      </w:r>
      <w:r w:rsidR="00B35DB8" w:rsidRPr="00DE3030">
        <w:rPr>
          <w:b/>
          <w:sz w:val="25"/>
          <w:szCs w:val="25"/>
          <w:lang w:val="ro-MD"/>
        </w:rPr>
        <w:t xml:space="preserve">pentru modificarea unor acte </w:t>
      </w:r>
      <w:r w:rsidR="00E5787A" w:rsidRPr="00DE3030">
        <w:rPr>
          <w:b/>
          <w:sz w:val="25"/>
          <w:szCs w:val="25"/>
          <w:lang w:val="ro-MD"/>
        </w:rPr>
        <w:t>normative</w:t>
      </w:r>
    </w:p>
    <w:p w14:paraId="004A2AD0" w14:textId="30A43184" w:rsidR="004146E7" w:rsidRPr="00DE3030" w:rsidRDefault="004146E7" w:rsidP="00F16373">
      <w:pPr>
        <w:jc w:val="center"/>
        <w:rPr>
          <w:sz w:val="25"/>
          <w:szCs w:val="25"/>
          <w:lang w:val="ro-MD"/>
        </w:rPr>
      </w:pPr>
    </w:p>
    <w:tbl>
      <w:tblPr>
        <w:tblW w:w="5375" w:type="pct"/>
        <w:jc w:val="center"/>
        <w:tblCellMar>
          <w:top w:w="15" w:type="dxa"/>
          <w:left w:w="15" w:type="dxa"/>
          <w:bottom w:w="15" w:type="dxa"/>
          <w:right w:w="15" w:type="dxa"/>
        </w:tblCellMar>
        <w:tblLook w:val="04A0" w:firstRow="1" w:lastRow="0" w:firstColumn="1" w:lastColumn="0" w:noHBand="0" w:noVBand="1"/>
      </w:tblPr>
      <w:tblGrid>
        <w:gridCol w:w="2269"/>
        <w:gridCol w:w="7482"/>
        <w:gridCol w:w="306"/>
      </w:tblGrid>
      <w:tr w:rsidR="007F159A" w:rsidRPr="002F700C" w14:paraId="4EB14A2B" w14:textId="77777777" w:rsidTr="002E2418">
        <w:trPr>
          <w:gridBefore w:val="1"/>
          <w:gridAfter w:val="1"/>
          <w:wBefore w:w="1128" w:type="pct"/>
          <w:wAfter w:w="152"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DE3030" w:rsidRDefault="007F159A">
            <w:pPr>
              <w:pStyle w:val="cp"/>
              <w:rPr>
                <w:sz w:val="25"/>
                <w:szCs w:val="25"/>
                <w:lang w:val="ro-MD"/>
              </w:rPr>
            </w:pPr>
          </w:p>
        </w:tc>
      </w:tr>
      <w:tr w:rsidR="007F159A" w:rsidRPr="002F700C" w14:paraId="30AA9E74"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77777777" w:rsidR="007F159A" w:rsidRPr="00DE3030" w:rsidRDefault="007F159A">
            <w:pPr>
              <w:rPr>
                <w:b/>
                <w:sz w:val="25"/>
                <w:szCs w:val="25"/>
                <w:lang w:val="ro-MD"/>
              </w:rPr>
            </w:pPr>
            <w:r w:rsidRPr="00DE3030">
              <w:rPr>
                <w:b/>
                <w:sz w:val="25"/>
                <w:szCs w:val="25"/>
                <w:lang w:val="ro-MD"/>
              </w:rPr>
              <w:t xml:space="preserve">1. Denumirea autorului şi, după caz, a participanţilor la elaborarea proiectului </w:t>
            </w:r>
          </w:p>
        </w:tc>
      </w:tr>
      <w:tr w:rsidR="007F159A" w:rsidRPr="002F700C" w14:paraId="183D6650"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DA4AF" w14:textId="77777777" w:rsidR="007F159A" w:rsidRPr="00DE3030" w:rsidRDefault="007F159A">
            <w:pPr>
              <w:rPr>
                <w:sz w:val="25"/>
                <w:szCs w:val="25"/>
                <w:lang w:val="ro-MD"/>
              </w:rPr>
            </w:pPr>
            <w:r w:rsidRPr="00DE3030">
              <w:rPr>
                <w:sz w:val="25"/>
                <w:szCs w:val="25"/>
                <w:lang w:val="ro-MD"/>
              </w:rPr>
              <w:t> </w:t>
            </w:r>
            <w:r w:rsidR="00580EFC" w:rsidRPr="00DE3030">
              <w:rPr>
                <w:sz w:val="25"/>
                <w:szCs w:val="25"/>
                <w:lang w:val="ro-MD"/>
              </w:rPr>
              <w:t>Agenția de Stat pentru Proprietatea Intelectuală</w:t>
            </w:r>
            <w:r w:rsidR="00BA0F09" w:rsidRPr="00DE3030">
              <w:rPr>
                <w:sz w:val="25"/>
                <w:szCs w:val="25"/>
                <w:lang w:val="ro-MD"/>
              </w:rPr>
              <w:t xml:space="preserve"> </w:t>
            </w:r>
            <w:r w:rsidR="001D3C5D" w:rsidRPr="00DE3030">
              <w:rPr>
                <w:sz w:val="25"/>
                <w:szCs w:val="25"/>
                <w:lang w:val="ro-MD"/>
              </w:rPr>
              <w:t>(AGEPI)</w:t>
            </w:r>
          </w:p>
          <w:p w14:paraId="00F37E35" w14:textId="77777777" w:rsidR="00580EFC" w:rsidRPr="00DE3030" w:rsidRDefault="00580EFC">
            <w:pPr>
              <w:rPr>
                <w:sz w:val="25"/>
                <w:szCs w:val="25"/>
                <w:lang w:val="ro-MD"/>
              </w:rPr>
            </w:pPr>
          </w:p>
        </w:tc>
      </w:tr>
      <w:tr w:rsidR="007F159A" w:rsidRPr="002F700C" w14:paraId="14240CA7"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77777777" w:rsidR="007F159A" w:rsidRPr="00DE3030" w:rsidRDefault="007F159A" w:rsidP="00051967">
            <w:pPr>
              <w:jc w:val="both"/>
              <w:rPr>
                <w:b/>
                <w:sz w:val="25"/>
                <w:szCs w:val="25"/>
                <w:lang w:val="ro-MD"/>
              </w:rPr>
            </w:pPr>
            <w:r w:rsidRPr="00DE3030">
              <w:rPr>
                <w:b/>
                <w:sz w:val="25"/>
                <w:szCs w:val="25"/>
                <w:lang w:val="ro-MD"/>
              </w:rPr>
              <w:t xml:space="preserve">2. Condiţiile ce au impus elaborarea proiectului de act normativ şi finalităţile urmărite </w:t>
            </w:r>
          </w:p>
        </w:tc>
      </w:tr>
      <w:tr w:rsidR="007F159A" w:rsidRPr="002F700C" w14:paraId="092D7939"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F1D21" w14:textId="01515679" w:rsidR="005C30D4" w:rsidRPr="005C30D4" w:rsidRDefault="00C81912" w:rsidP="005C30D4">
            <w:pPr>
              <w:ind w:firstLine="567"/>
              <w:jc w:val="both"/>
              <w:rPr>
                <w:rFonts w:cs="Candara"/>
                <w:bCs/>
                <w:sz w:val="25"/>
                <w:szCs w:val="25"/>
                <w:lang w:val="ro-MD"/>
              </w:rPr>
            </w:pPr>
            <w:r w:rsidRPr="00DE3030">
              <w:rPr>
                <w:rFonts w:cs="Candara"/>
                <w:sz w:val="25"/>
                <w:szCs w:val="25"/>
                <w:lang w:val="ro-MD"/>
              </w:rPr>
              <w:t xml:space="preserve">Evoluția concomitentă a sistemului de protecţie a proprietăţii intelectuale și a așteptărilor beneficiarilor acestuia impune actualizarea continuă a legislației. Astfel, ţinând cont de practica aplicării legilor speciale din momentul adoptării lor, dar și de propunerile mandatarilor autorizaţi, </w:t>
            </w:r>
            <w:r w:rsidRPr="00DE3030">
              <w:rPr>
                <w:sz w:val="25"/>
                <w:szCs w:val="25"/>
                <w:lang w:val="ro-MD"/>
              </w:rPr>
              <w:t>în scopul perfecționării și ajustării procedurilor de examinare a cererilor de brevet depuse la Agenţia de Stat pentru Proprietatea Intelectuală (AGEPI) și eliberare a brevetelor</w:t>
            </w:r>
            <w:r w:rsidRPr="00DE3030">
              <w:rPr>
                <w:rFonts w:cs="Candara"/>
                <w:sz w:val="25"/>
                <w:szCs w:val="25"/>
                <w:lang w:val="ro-MD"/>
              </w:rPr>
              <w:t xml:space="preserve">, precum şi </w:t>
            </w:r>
            <w:r w:rsidRPr="00DE3030">
              <w:rPr>
                <w:rFonts w:ascii="Open Sans" w:hAnsi="Open Sans"/>
                <w:sz w:val="25"/>
                <w:szCs w:val="25"/>
                <w:lang w:val="ro-MD"/>
              </w:rPr>
              <w:t xml:space="preserve">în vederea aplicării eficiente a flexibilităţilor oferite prin Acordul TRIPS, în special celor referitoare la procedura de acordare a licenţelor obligatorii, de către AGEPI </w:t>
            </w:r>
            <w:r w:rsidRPr="00DE3030">
              <w:rPr>
                <w:rFonts w:cs="Candara"/>
                <w:sz w:val="25"/>
                <w:szCs w:val="25"/>
                <w:lang w:val="ro-MD"/>
              </w:rPr>
              <w:t xml:space="preserve">a fost iniţiat </w:t>
            </w:r>
            <w:r w:rsidRPr="00DE3030">
              <w:rPr>
                <w:rFonts w:cs="Candara"/>
                <w:bCs/>
                <w:i/>
                <w:sz w:val="25"/>
                <w:szCs w:val="25"/>
                <w:u w:val="single"/>
                <w:lang w:val="ro-MD"/>
              </w:rPr>
              <w:t xml:space="preserve">proiectul Legii pentru </w:t>
            </w:r>
            <w:r w:rsidR="00B35DB8" w:rsidRPr="00DE3030">
              <w:rPr>
                <w:rFonts w:cs="Candara"/>
                <w:bCs/>
                <w:i/>
                <w:sz w:val="25"/>
                <w:szCs w:val="25"/>
                <w:u w:val="single"/>
                <w:lang w:val="ro-MD"/>
              </w:rPr>
              <w:t xml:space="preserve">modificarea unor acte </w:t>
            </w:r>
            <w:r w:rsidR="00E5787A" w:rsidRPr="00DE3030">
              <w:rPr>
                <w:rFonts w:cs="Candara"/>
                <w:bCs/>
                <w:i/>
                <w:sz w:val="25"/>
                <w:szCs w:val="25"/>
                <w:u w:val="single"/>
                <w:lang w:val="ro-MD"/>
              </w:rPr>
              <w:t>normative</w:t>
            </w:r>
            <w:r w:rsidR="005C30D4" w:rsidRPr="005C30D4">
              <w:rPr>
                <w:rFonts w:cs="Candara"/>
                <w:bCs/>
                <w:i/>
                <w:sz w:val="25"/>
                <w:szCs w:val="25"/>
                <w:u w:val="single"/>
                <w:lang w:val="ro-MD"/>
              </w:rPr>
              <w:t xml:space="preserve">, </w:t>
            </w:r>
            <w:r w:rsidR="005C30D4" w:rsidRPr="005C30D4">
              <w:rPr>
                <w:rFonts w:cs="Candara"/>
                <w:bCs/>
                <w:sz w:val="25"/>
                <w:szCs w:val="25"/>
                <w:lang w:val="ro-MD"/>
              </w:rPr>
              <w:t>ce vizează modificarea Legii nr. 50/2008 privind protecția invențiilor și Legii nr. 1456/1993 cu privire la activitatea farmaceutică, inclus în Planul de acțiuni al Guvernului, aprobat prin Hotărârea Guvernului nr. 235/2021 (acțiunea 10.23.4.).</w:t>
            </w:r>
          </w:p>
          <w:p w14:paraId="3EB0984F" w14:textId="77777777" w:rsidR="00304D8B" w:rsidRPr="00DE3030" w:rsidRDefault="008E1173" w:rsidP="000441EE">
            <w:pPr>
              <w:ind w:firstLine="567"/>
              <w:jc w:val="both"/>
              <w:rPr>
                <w:rFonts w:cs="Candara"/>
                <w:bCs/>
                <w:sz w:val="25"/>
                <w:szCs w:val="25"/>
                <w:lang w:val="ro-MD"/>
              </w:rPr>
            </w:pPr>
            <w:r w:rsidRPr="00DE3030">
              <w:rPr>
                <w:rFonts w:cs="Candara"/>
                <w:bCs/>
                <w:sz w:val="25"/>
                <w:szCs w:val="25"/>
                <w:lang w:val="ro-MD"/>
              </w:rPr>
              <w:t xml:space="preserve"> La elaborarea proiectului de lege menționat, AGEPI a beneficiat de consultanța expertului </w:t>
            </w:r>
            <w:r w:rsidR="000441EE" w:rsidRPr="00DE3030">
              <w:rPr>
                <w:rFonts w:cs="Candara"/>
                <w:bCs/>
                <w:sz w:val="25"/>
                <w:szCs w:val="25"/>
                <w:lang w:val="ro-MD"/>
              </w:rPr>
              <w:t>e</w:t>
            </w:r>
            <w:r w:rsidRPr="00DE3030">
              <w:rPr>
                <w:rFonts w:cs="Candara"/>
                <w:bCs/>
                <w:sz w:val="25"/>
                <w:szCs w:val="25"/>
                <w:lang w:val="ro-MD"/>
              </w:rPr>
              <w:t xml:space="preserve">uropean, </w:t>
            </w:r>
            <w:r w:rsidRPr="00DE3030">
              <w:rPr>
                <w:sz w:val="25"/>
                <w:szCs w:val="25"/>
                <w:lang w:val="ro-MD"/>
              </w:rPr>
              <w:t>dl Bojan PRETNAR,</w:t>
            </w:r>
            <w:r w:rsidRPr="00DE3030">
              <w:rPr>
                <w:rFonts w:cs="Candara"/>
                <w:bCs/>
                <w:sz w:val="25"/>
                <w:szCs w:val="25"/>
                <w:lang w:val="ro-MD"/>
              </w:rPr>
              <w:t xml:space="preserve"> în cadrul Proiectului UE “Sprijin pentru dialogul politic structurat, coordonarea implementării Acordului de asociere și îmbunătățirea procesului de aproximare legală”, care a înaintat un șir de recomandări în vederea perfecționării mecanismului de acordare a licențelor obligatorii.</w:t>
            </w:r>
          </w:p>
          <w:p w14:paraId="0100724C" w14:textId="5B7BFD48" w:rsidR="000441EE" w:rsidRPr="00DE3030" w:rsidRDefault="000441EE" w:rsidP="000441EE">
            <w:pPr>
              <w:ind w:firstLine="567"/>
              <w:jc w:val="both"/>
              <w:rPr>
                <w:sz w:val="25"/>
                <w:szCs w:val="25"/>
                <w:lang w:val="ro-MD"/>
              </w:rPr>
            </w:pPr>
          </w:p>
        </w:tc>
      </w:tr>
      <w:tr w:rsidR="007F159A" w:rsidRPr="002F700C" w14:paraId="2564C222"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77777777" w:rsidR="007F159A" w:rsidRPr="00DE3030" w:rsidRDefault="007F159A" w:rsidP="00752ED0">
            <w:pPr>
              <w:jc w:val="both"/>
              <w:rPr>
                <w:b/>
                <w:sz w:val="25"/>
                <w:szCs w:val="25"/>
                <w:lang w:val="ro-MD"/>
              </w:rPr>
            </w:pPr>
            <w:r w:rsidRPr="00DE3030">
              <w:rPr>
                <w:b/>
                <w:sz w:val="25"/>
                <w:szCs w:val="25"/>
                <w:lang w:val="ro-MD"/>
              </w:rPr>
              <w:t xml:space="preserve">3. Descrierea gradului de compatibilitate pentru proiectele care au ca scop armonizarea legislaţiei naţionale cu legislaţia Uniunii Europene </w:t>
            </w:r>
          </w:p>
        </w:tc>
      </w:tr>
      <w:tr w:rsidR="007F159A" w:rsidRPr="002F700C" w14:paraId="228D4453"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F2ADC" w14:textId="77777777" w:rsidR="002E7446" w:rsidRPr="00DE3030" w:rsidRDefault="007F159A" w:rsidP="000441EE">
            <w:pPr>
              <w:ind w:firstLine="517"/>
              <w:jc w:val="both"/>
              <w:rPr>
                <w:sz w:val="25"/>
                <w:szCs w:val="25"/>
                <w:lang w:val="ro-MD"/>
              </w:rPr>
            </w:pPr>
            <w:r w:rsidRPr="00DE3030">
              <w:rPr>
                <w:sz w:val="25"/>
                <w:szCs w:val="25"/>
                <w:lang w:val="ro-MD"/>
              </w:rPr>
              <w:t> </w:t>
            </w:r>
            <w:r w:rsidR="00752ED0" w:rsidRPr="00DE3030">
              <w:rPr>
                <w:sz w:val="25"/>
                <w:szCs w:val="25"/>
                <w:lang w:val="ro-MD"/>
              </w:rPr>
              <w:t xml:space="preserve">Proiectul </w:t>
            </w:r>
            <w:r w:rsidR="00C81912" w:rsidRPr="00DE3030">
              <w:rPr>
                <w:sz w:val="25"/>
                <w:szCs w:val="25"/>
                <w:lang w:val="ro-MD"/>
              </w:rPr>
              <w:t>Legii</w:t>
            </w:r>
            <w:r w:rsidR="00F52AF7" w:rsidRPr="00DE3030">
              <w:rPr>
                <w:sz w:val="25"/>
                <w:szCs w:val="25"/>
                <w:lang w:val="ro-MD"/>
              </w:rPr>
              <w:t xml:space="preserve"> </w:t>
            </w:r>
            <w:r w:rsidR="00752ED0" w:rsidRPr="00DE3030">
              <w:rPr>
                <w:sz w:val="25"/>
                <w:szCs w:val="25"/>
                <w:lang w:val="ro-MD"/>
              </w:rPr>
              <w:t>nu vizează armonizarea legislaţiei naţionale cu legislaţia UE.</w:t>
            </w:r>
          </w:p>
          <w:p w14:paraId="126AB422" w14:textId="7153187B" w:rsidR="000441EE" w:rsidRPr="00DE3030" w:rsidRDefault="000441EE" w:rsidP="000441EE">
            <w:pPr>
              <w:ind w:firstLine="517"/>
              <w:jc w:val="both"/>
              <w:rPr>
                <w:sz w:val="25"/>
                <w:szCs w:val="25"/>
                <w:lang w:val="ro-MD"/>
              </w:rPr>
            </w:pPr>
          </w:p>
        </w:tc>
      </w:tr>
      <w:tr w:rsidR="007F159A" w:rsidRPr="002F700C" w14:paraId="5664BF6C"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2D652" w14:textId="77777777" w:rsidR="007F159A" w:rsidRPr="00DE3030" w:rsidRDefault="007F159A">
            <w:pPr>
              <w:rPr>
                <w:sz w:val="25"/>
                <w:szCs w:val="25"/>
                <w:lang w:val="ro-MD"/>
              </w:rPr>
            </w:pPr>
            <w:r w:rsidRPr="00DE3030">
              <w:rPr>
                <w:b/>
                <w:sz w:val="25"/>
                <w:szCs w:val="25"/>
                <w:lang w:val="ro-MD"/>
              </w:rPr>
              <w:t>4. Principalele prevederi ale proiectului şi evidenţierea elementelor noi</w:t>
            </w:r>
            <w:r w:rsidRPr="00DE3030">
              <w:rPr>
                <w:sz w:val="25"/>
                <w:szCs w:val="25"/>
                <w:lang w:val="ro-MD"/>
              </w:rPr>
              <w:t xml:space="preserve"> </w:t>
            </w:r>
          </w:p>
        </w:tc>
      </w:tr>
      <w:tr w:rsidR="00C81912" w:rsidRPr="002F700C" w14:paraId="29443343"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214BC" w14:textId="4C42892E" w:rsidR="00C81912" w:rsidRPr="00DE3030" w:rsidRDefault="00C81912" w:rsidP="00C30A61">
            <w:pPr>
              <w:shd w:val="clear" w:color="auto" w:fill="FFFFFF"/>
              <w:ind w:firstLine="720"/>
              <w:jc w:val="both"/>
              <w:rPr>
                <w:i/>
                <w:sz w:val="25"/>
                <w:szCs w:val="25"/>
                <w:u w:val="single"/>
                <w:lang w:val="ro-MD"/>
              </w:rPr>
            </w:pPr>
            <w:r w:rsidRPr="00DE3030">
              <w:rPr>
                <w:sz w:val="25"/>
                <w:szCs w:val="25"/>
                <w:lang w:val="ro-MD"/>
              </w:rPr>
              <w:t>În context, în scopul consolidării cadrului juridic în domeniul protecţiei invenţiilor, prin proiectul dat se propun</w:t>
            </w:r>
            <w:r w:rsidR="00C30A61">
              <w:rPr>
                <w:sz w:val="25"/>
                <w:szCs w:val="25"/>
                <w:lang w:val="ro-MD"/>
              </w:rPr>
              <w:t>e</w:t>
            </w:r>
            <w:r w:rsidRPr="00DE3030">
              <w:rPr>
                <w:sz w:val="25"/>
                <w:szCs w:val="25"/>
                <w:lang w:val="ro-MD"/>
              </w:rPr>
              <w:t xml:space="preserve"> </w:t>
            </w:r>
            <w:r w:rsidR="00C30A61">
              <w:rPr>
                <w:sz w:val="25"/>
                <w:szCs w:val="25"/>
                <w:lang w:val="ro-MD"/>
              </w:rPr>
              <w:t xml:space="preserve">modificarea </w:t>
            </w:r>
            <w:r w:rsidR="00C30A61" w:rsidRPr="00C30A61">
              <w:rPr>
                <w:sz w:val="25"/>
                <w:szCs w:val="25"/>
                <w:lang w:val="ro-MD"/>
              </w:rPr>
              <w:t>Leg</w:t>
            </w:r>
            <w:r w:rsidR="00C30A61">
              <w:rPr>
                <w:sz w:val="25"/>
                <w:szCs w:val="25"/>
                <w:lang w:val="ro-MD"/>
              </w:rPr>
              <w:t>ii</w:t>
            </w:r>
            <w:r w:rsidR="00C30A61" w:rsidRPr="00C30A61">
              <w:rPr>
                <w:sz w:val="25"/>
                <w:szCs w:val="25"/>
                <w:lang w:val="ro-MD"/>
              </w:rPr>
              <w:t xml:space="preserve"> nr. 50/2008</w:t>
            </w:r>
            <w:r w:rsidR="00C30A61">
              <w:rPr>
                <w:sz w:val="25"/>
                <w:szCs w:val="25"/>
                <w:lang w:val="ro-MD"/>
              </w:rPr>
              <w:t xml:space="preserve"> privind protecția invențiilor (în continuare – Legea nr. 50/2008) și Legii nr. 1456/1993 cu privire la activitatea farmaceutică (în continuare - Legea nr. 1456/1993)</w:t>
            </w:r>
            <w:r w:rsidR="006431F1" w:rsidRPr="00DE3030">
              <w:rPr>
                <w:sz w:val="25"/>
                <w:szCs w:val="25"/>
                <w:lang w:val="ro-MD"/>
              </w:rPr>
              <w:t>, în special:</w:t>
            </w:r>
          </w:p>
          <w:p w14:paraId="7E3AF520" w14:textId="6FE35CFB" w:rsidR="006431F1" w:rsidRPr="00C30A61" w:rsidRDefault="006431F1" w:rsidP="00C30A61">
            <w:pPr>
              <w:pStyle w:val="ListParagraph"/>
              <w:numPr>
                <w:ilvl w:val="0"/>
                <w:numId w:val="5"/>
              </w:numPr>
              <w:shd w:val="clear" w:color="auto" w:fill="FFFFFF"/>
              <w:spacing w:after="0" w:line="240" w:lineRule="auto"/>
              <w:ind w:left="0" w:firstLine="807"/>
              <w:jc w:val="both"/>
              <w:rPr>
                <w:rFonts w:ascii="Times New Roman" w:hAnsi="Times New Roman" w:cs="Times New Roman"/>
                <w:sz w:val="25"/>
                <w:szCs w:val="25"/>
                <w:lang w:val="ro-MD"/>
              </w:rPr>
            </w:pPr>
            <w:r w:rsidRPr="00C30A61">
              <w:rPr>
                <w:rFonts w:ascii="Times New Roman" w:hAnsi="Times New Roman" w:cs="Times New Roman"/>
                <w:b/>
                <w:sz w:val="25"/>
                <w:szCs w:val="25"/>
                <w:lang w:val="ro-MD"/>
              </w:rPr>
              <w:t>Cu referire la Legea nr. 50</w:t>
            </w:r>
            <w:r w:rsidR="00C30A61" w:rsidRPr="00C30A61">
              <w:rPr>
                <w:rFonts w:ascii="Times New Roman" w:hAnsi="Times New Roman" w:cs="Times New Roman"/>
                <w:b/>
                <w:sz w:val="25"/>
                <w:szCs w:val="25"/>
                <w:lang w:val="ro-MD"/>
              </w:rPr>
              <w:t>/2008</w:t>
            </w:r>
            <w:r w:rsidR="00C30A61">
              <w:rPr>
                <w:rFonts w:ascii="Times New Roman" w:hAnsi="Times New Roman" w:cs="Times New Roman"/>
                <w:sz w:val="25"/>
                <w:szCs w:val="25"/>
                <w:lang w:val="ro-MD"/>
              </w:rPr>
              <w:t>,</w:t>
            </w:r>
            <w:r w:rsidRPr="00C30A61">
              <w:rPr>
                <w:rFonts w:ascii="Times New Roman" w:hAnsi="Times New Roman" w:cs="Times New Roman"/>
                <w:sz w:val="25"/>
                <w:szCs w:val="25"/>
                <w:lang w:val="ro-MD"/>
              </w:rPr>
              <w:t xml:space="preserve"> modificările propuse vizează următoarele </w:t>
            </w:r>
            <w:r w:rsidRPr="00C30A61">
              <w:rPr>
                <w:rFonts w:ascii="Times New Roman" w:hAnsi="Times New Roman" w:cs="Times New Roman"/>
                <w:i/>
                <w:sz w:val="25"/>
                <w:szCs w:val="25"/>
                <w:u w:val="single"/>
                <w:lang w:val="ro-MD"/>
              </w:rPr>
              <w:t>aspecte importante:</w:t>
            </w:r>
          </w:p>
          <w:p w14:paraId="05D2584D" w14:textId="2A223AEA" w:rsidR="00C81912" w:rsidRPr="00073617" w:rsidRDefault="00C81912" w:rsidP="00C30A61">
            <w:pPr>
              <w:shd w:val="clear" w:color="auto" w:fill="FFFFFF"/>
              <w:ind w:firstLine="720"/>
              <w:jc w:val="both"/>
              <w:rPr>
                <w:sz w:val="25"/>
                <w:szCs w:val="25"/>
                <w:lang w:val="ro-MD"/>
              </w:rPr>
            </w:pPr>
            <w:r w:rsidRPr="00DE3030">
              <w:rPr>
                <w:sz w:val="25"/>
                <w:szCs w:val="25"/>
                <w:lang w:val="ro-MD"/>
              </w:rPr>
              <w:t xml:space="preserve"> Ţinând cont de practica internațională, aplicată în circa 65 de state, elucidată în cadrul </w:t>
            </w:r>
            <w:r w:rsidRPr="00073617">
              <w:rPr>
                <w:sz w:val="25"/>
                <w:szCs w:val="25"/>
                <w:lang w:val="ro-MD"/>
              </w:rPr>
              <w:t xml:space="preserve">discuțiilor din ultimii ani la Comitetul privind dreptul brevetelor (SCP) al Organizaţiei Mondiale a Proprietăţii Intelectuale (OMPI), în scopul punerii în aplicare în cadrul legislaţiei naţionale a </w:t>
            </w:r>
            <w:r w:rsidRPr="00073617">
              <w:rPr>
                <w:i/>
                <w:sz w:val="25"/>
                <w:szCs w:val="25"/>
                <w:lang w:val="ro-MD"/>
              </w:rPr>
              <w:t xml:space="preserve">excepţiei Bolar, </w:t>
            </w:r>
            <w:r w:rsidRPr="00073617">
              <w:rPr>
                <w:sz w:val="25"/>
                <w:szCs w:val="25"/>
                <w:lang w:val="ro-MD"/>
              </w:rPr>
              <w:t xml:space="preserve">la </w:t>
            </w:r>
            <w:r w:rsidRPr="00073617">
              <w:rPr>
                <w:b/>
                <w:sz w:val="25"/>
                <w:szCs w:val="25"/>
                <w:lang w:val="ro-MD"/>
              </w:rPr>
              <w:t>art. 22</w:t>
            </w:r>
            <w:r w:rsidRPr="00073617">
              <w:rPr>
                <w:sz w:val="25"/>
                <w:szCs w:val="25"/>
                <w:lang w:val="ro-MD"/>
              </w:rPr>
              <w:t xml:space="preserve"> ce reglementează limitarea efectelor brevetului, alineatul (1) se completează cu litera b</w:t>
            </w:r>
            <w:r w:rsidRPr="00073617">
              <w:rPr>
                <w:sz w:val="25"/>
                <w:szCs w:val="25"/>
                <w:vertAlign w:val="superscript"/>
                <w:lang w:val="ro-MD"/>
              </w:rPr>
              <w:t>1</w:t>
            </w:r>
            <w:r w:rsidRPr="00073617">
              <w:rPr>
                <w:sz w:val="25"/>
                <w:szCs w:val="25"/>
                <w:lang w:val="ro-MD"/>
              </w:rPr>
              <w:t>), prin care se stabileşte că drepturile acordate de brevet nu se extind asupra acţiunilor efectuate în scopul obţinerii autorizaţiei de punere pe piaţă a unui produs, obiect al invenţiei.</w:t>
            </w:r>
          </w:p>
          <w:p w14:paraId="7D55A1B6" w14:textId="77777777" w:rsidR="00073617" w:rsidRPr="00073617" w:rsidRDefault="00073617" w:rsidP="00073617">
            <w:pPr>
              <w:ind w:firstLine="567"/>
              <w:jc w:val="both"/>
              <w:rPr>
                <w:sz w:val="25"/>
                <w:szCs w:val="25"/>
                <w:lang w:val="ro-MD"/>
              </w:rPr>
            </w:pPr>
            <w:r w:rsidRPr="00073617">
              <w:rPr>
                <w:sz w:val="25"/>
                <w:szCs w:val="25"/>
                <w:lang w:val="ro-MD"/>
              </w:rPr>
              <w:t xml:space="preserve">În scopul optimizării procedurii de acordare a </w:t>
            </w:r>
            <w:r w:rsidRPr="00073617">
              <w:rPr>
                <w:i/>
                <w:sz w:val="25"/>
                <w:szCs w:val="25"/>
                <w:lang w:val="ro-MD"/>
              </w:rPr>
              <w:t>licenţelor obligatorii</w:t>
            </w:r>
            <w:r w:rsidRPr="00073617">
              <w:rPr>
                <w:sz w:val="25"/>
                <w:szCs w:val="25"/>
                <w:lang w:val="ro-MD"/>
              </w:rPr>
              <w:t xml:space="preserve"> şi stabilirii unui mecanism de punere în aplicare a acestei proceduri, au fost revizuite integral şi propuse în redacţie nouă normele generale privind licenţa obligatorie şi condiţiile aplicabile acesteia (</w:t>
            </w:r>
            <w:r w:rsidRPr="00073617">
              <w:rPr>
                <w:b/>
                <w:sz w:val="25"/>
                <w:szCs w:val="25"/>
                <w:lang w:val="ro-MD"/>
              </w:rPr>
              <w:t>art.28-29</w:t>
            </w:r>
            <w:r w:rsidRPr="00073617">
              <w:rPr>
                <w:sz w:val="25"/>
                <w:szCs w:val="25"/>
                <w:lang w:val="ro-MD"/>
              </w:rPr>
              <w:t>), precum și propusă completarea legii vizate cu noi articole (</w:t>
            </w:r>
            <w:r w:rsidRPr="00073617">
              <w:rPr>
                <w:b/>
                <w:sz w:val="25"/>
                <w:szCs w:val="25"/>
                <w:lang w:val="ro-MD"/>
              </w:rPr>
              <w:t>art.28</w:t>
            </w:r>
            <w:r w:rsidRPr="00073617">
              <w:rPr>
                <w:b/>
                <w:sz w:val="25"/>
                <w:szCs w:val="25"/>
                <w:vertAlign w:val="superscript"/>
                <w:lang w:val="ro-MD"/>
              </w:rPr>
              <w:t>1</w:t>
            </w:r>
            <w:r w:rsidRPr="00073617">
              <w:rPr>
                <w:b/>
                <w:sz w:val="25"/>
                <w:szCs w:val="25"/>
                <w:lang w:val="ro-MD"/>
              </w:rPr>
              <w:t xml:space="preserve"> – 28</w:t>
            </w:r>
            <w:r w:rsidRPr="00073617">
              <w:rPr>
                <w:b/>
                <w:sz w:val="25"/>
                <w:szCs w:val="25"/>
                <w:vertAlign w:val="superscript"/>
                <w:lang w:val="ro-MD"/>
              </w:rPr>
              <w:t>4</w:t>
            </w:r>
            <w:r w:rsidRPr="00073617">
              <w:rPr>
                <w:sz w:val="25"/>
                <w:szCs w:val="25"/>
                <w:lang w:val="ro-MD"/>
              </w:rPr>
              <w:t xml:space="preserve">), fiind delimitate clar cazurile, condiţiile şi autorităţile abilitate cu dreptul de acordare a licenţei obligatorii. În acest sens, o atenție sporită s-a acordat identificării unui mecanism eficient de eliberare a licențelor obligatorii pentru a oferi un spectru mai larg de posibilități de acordare a acestor licențe, astfel, fiind plasate pe prim plan necesitățile vitale și sociale care pot interveni și care trebuie soluționate de urgență. </w:t>
            </w:r>
          </w:p>
          <w:p w14:paraId="5929C5B7" w14:textId="77777777" w:rsidR="00073617" w:rsidRPr="00073617" w:rsidRDefault="00073617" w:rsidP="00073617">
            <w:pPr>
              <w:ind w:firstLine="567"/>
              <w:jc w:val="both"/>
              <w:rPr>
                <w:sz w:val="25"/>
                <w:szCs w:val="25"/>
                <w:lang w:val="ro-MD"/>
              </w:rPr>
            </w:pPr>
            <w:r w:rsidRPr="00073617">
              <w:rPr>
                <w:sz w:val="25"/>
                <w:szCs w:val="25"/>
                <w:lang w:val="ro-MD"/>
              </w:rPr>
              <w:t xml:space="preserve">În contextul elaborării Analizei impactului de reglementare la proiectul menționat, urmare analizei și comparării opțiunilor identificate, </w:t>
            </w:r>
            <w:r w:rsidRPr="00073617">
              <w:rPr>
                <w:b/>
                <w:sz w:val="25"/>
                <w:szCs w:val="25"/>
                <w:lang w:val="ro-MD"/>
              </w:rPr>
              <w:t xml:space="preserve">a fost identificată ca opțiune recomandată atribuirea </w:t>
            </w:r>
            <w:r w:rsidRPr="00073617">
              <w:rPr>
                <w:b/>
                <w:sz w:val="25"/>
                <w:szCs w:val="25"/>
                <w:lang w:val="ro-MD"/>
              </w:rPr>
              <w:lastRenderedPageBreak/>
              <w:t xml:space="preserve">competențelor de acordare a licențelor obligatorii </w:t>
            </w:r>
            <w:r w:rsidRPr="00073617">
              <w:rPr>
                <w:sz w:val="25"/>
                <w:szCs w:val="25"/>
                <w:lang w:val="ro-MD"/>
              </w:rPr>
              <w:t xml:space="preserve">în situațiile de urgență de sănătate publică, de urgență de apărare națională, sau în caz de necesitate urgentă pentru utilizare publică în scopuri necomerciale - </w:t>
            </w:r>
            <w:r w:rsidRPr="00073617">
              <w:rPr>
                <w:b/>
                <w:bCs/>
                <w:sz w:val="25"/>
                <w:szCs w:val="25"/>
                <w:lang w:val="ro-MD"/>
              </w:rPr>
              <w:t>ministerelor care asigură realizarea politicii guvernamentale în domeniile de activitate care le sunt încredințate</w:t>
            </w:r>
            <w:r w:rsidRPr="00073617">
              <w:rPr>
                <w:bCs/>
                <w:sz w:val="25"/>
                <w:szCs w:val="25"/>
                <w:lang w:val="ro-MD"/>
              </w:rPr>
              <w:t>.</w:t>
            </w:r>
            <w:r w:rsidRPr="00073617">
              <w:rPr>
                <w:sz w:val="25"/>
                <w:szCs w:val="25"/>
                <w:lang w:val="ro-MD"/>
              </w:rPr>
              <w:t xml:space="preserve"> Totodată, menționăm faptul că </w:t>
            </w:r>
            <w:r w:rsidRPr="00073617">
              <w:rPr>
                <w:b/>
                <w:sz w:val="25"/>
                <w:szCs w:val="25"/>
                <w:lang w:val="ro-MD"/>
              </w:rPr>
              <w:t>în calitate de opțiune alternativă</w:t>
            </w:r>
            <w:r w:rsidRPr="00073617">
              <w:rPr>
                <w:sz w:val="25"/>
                <w:szCs w:val="25"/>
                <w:lang w:val="ro-MD"/>
              </w:rPr>
              <w:t xml:space="preserve"> în Analiza impactului de reglementare menționată </w:t>
            </w:r>
            <w:r w:rsidRPr="00073617">
              <w:rPr>
                <w:b/>
                <w:sz w:val="25"/>
                <w:szCs w:val="25"/>
                <w:lang w:val="ro-MD"/>
              </w:rPr>
              <w:t>a fost identificată - acordarea licențelor obligatorii în situațiile de urgență de sănătate publică, de urgență de apărare națională, sau în caz de necesitate urgentă pentru utilizare publică în scopuri necomerciale - prin dispoziția Guvernului</w:t>
            </w:r>
            <w:r w:rsidRPr="00073617">
              <w:rPr>
                <w:sz w:val="25"/>
                <w:szCs w:val="25"/>
                <w:lang w:val="ro-MD"/>
              </w:rPr>
              <w:t xml:space="preserve">. </w:t>
            </w:r>
          </w:p>
          <w:p w14:paraId="3292EE66" w14:textId="77777777" w:rsidR="00073617" w:rsidRPr="00073617" w:rsidRDefault="00073617" w:rsidP="00073617">
            <w:pPr>
              <w:ind w:firstLine="567"/>
              <w:jc w:val="both"/>
              <w:rPr>
                <w:sz w:val="25"/>
                <w:szCs w:val="25"/>
                <w:lang w:val="ro-MD"/>
              </w:rPr>
            </w:pPr>
            <w:r w:rsidRPr="00073617">
              <w:rPr>
                <w:sz w:val="25"/>
                <w:szCs w:val="25"/>
                <w:lang w:val="ro-MD"/>
              </w:rPr>
              <w:t xml:space="preserve">Urmare examinării Analizei impactului </w:t>
            </w:r>
            <w:r w:rsidRPr="00073617">
              <w:rPr>
                <w:bCs/>
                <w:sz w:val="25"/>
                <w:szCs w:val="25"/>
                <w:lang w:val="ro-MD"/>
              </w:rPr>
              <w:t xml:space="preserve">de reglementare la proiectul menționat în cadrul ședinței </w:t>
            </w:r>
            <w:r w:rsidRPr="00073617">
              <w:rPr>
                <w:sz w:val="25"/>
                <w:szCs w:val="25"/>
                <w:lang w:val="ro-MD"/>
              </w:rPr>
              <w:t xml:space="preserve">Grupului de lucru al Comisiei de stat pentru reglementarea activității de întreprinzător din data de 24.05.2022, </w:t>
            </w:r>
            <w:r w:rsidRPr="00073617">
              <w:rPr>
                <w:sz w:val="25"/>
                <w:szCs w:val="25"/>
                <w:u w:val="single"/>
                <w:lang w:val="ro-MD"/>
              </w:rPr>
              <w:t>expertul a considerat opțiunea alternativă una viabilă</w:t>
            </w:r>
            <w:r w:rsidRPr="00073617">
              <w:rPr>
                <w:sz w:val="25"/>
                <w:szCs w:val="25"/>
                <w:lang w:val="ro-MD"/>
              </w:rPr>
              <w:t xml:space="preserve">, urmând a fi dezvoltată cu lux de amănunte, luând în considerație că în marea majoritate a cazurilor, decizia de eliberare a licenței obligatorii nu ține doar de competențele unui minister în parte, aceasta implicând și alte aspecte (economice, fiscale, etc.). Analiza impactului de </w:t>
            </w:r>
            <w:r w:rsidRPr="00073617">
              <w:rPr>
                <w:bCs/>
                <w:sz w:val="25"/>
                <w:szCs w:val="25"/>
                <w:lang w:val="ro-MD"/>
              </w:rPr>
              <w:t xml:space="preserve">reglementare a fost susținută de către membrii grupului respectiv, cu condiția luării în considerare a obiecțiilor și recomandărilor. </w:t>
            </w:r>
          </w:p>
          <w:p w14:paraId="49D08EA1" w14:textId="77777777" w:rsidR="00073617" w:rsidRPr="00073617" w:rsidRDefault="00073617" w:rsidP="00073617">
            <w:pPr>
              <w:ind w:firstLine="567"/>
              <w:jc w:val="both"/>
              <w:rPr>
                <w:sz w:val="25"/>
                <w:szCs w:val="25"/>
                <w:lang w:val="ro-MD"/>
              </w:rPr>
            </w:pPr>
            <w:r w:rsidRPr="00073617">
              <w:rPr>
                <w:sz w:val="25"/>
                <w:szCs w:val="25"/>
                <w:lang w:val="ro-MD"/>
              </w:rPr>
              <w:t xml:space="preserve">Totodată, potrivit art. 102 alin. (5) din Constituție și art. 39 din Legea nr. 136/2017 cu privire la Guvern, dispozițiile se emit de Prim-ministru pentru organizarea activității interne a Guvernului. Corespunzător, eliberarea prin dispoziția Guvernului a licențelor obligatorii ar depăși cadrul constituțional privind organizarea activității interne a Guvernului. </w:t>
            </w:r>
          </w:p>
          <w:p w14:paraId="60FC8C94" w14:textId="77777777" w:rsidR="00073617" w:rsidRPr="00073617" w:rsidRDefault="00073617" w:rsidP="00073617">
            <w:pPr>
              <w:shd w:val="clear" w:color="auto" w:fill="FFFFFF"/>
              <w:tabs>
                <w:tab w:val="left" w:pos="519"/>
              </w:tabs>
              <w:ind w:firstLine="519"/>
              <w:jc w:val="both"/>
              <w:rPr>
                <w:sz w:val="25"/>
                <w:szCs w:val="25"/>
                <w:lang w:val="ro-MD"/>
              </w:rPr>
            </w:pPr>
            <w:r w:rsidRPr="00073617">
              <w:rPr>
                <w:sz w:val="25"/>
                <w:szCs w:val="25"/>
                <w:lang w:val="ro-MD"/>
              </w:rPr>
              <w:t xml:space="preserve">Prin urmare, în contextul propunerilor menționate, precum și ținând cont de reglementările normative aplicabile, prin proiectul înaintat, </w:t>
            </w:r>
            <w:r w:rsidRPr="00073617">
              <w:rPr>
                <w:sz w:val="25"/>
                <w:szCs w:val="25"/>
                <w:u w:val="single"/>
                <w:lang w:val="ro-MD"/>
              </w:rPr>
              <w:t>a fost identificat (ca fiind cel mai eficient) și propus următorul mecanism de acordare a licențelor obligatorii</w:t>
            </w:r>
            <w:r w:rsidRPr="00073617">
              <w:rPr>
                <w:sz w:val="25"/>
                <w:szCs w:val="25"/>
                <w:lang w:val="ro-MD"/>
              </w:rPr>
              <w:t>:</w:t>
            </w:r>
          </w:p>
          <w:p w14:paraId="53A9FEA7" w14:textId="77777777" w:rsidR="00073617" w:rsidRPr="00073617" w:rsidRDefault="00073617" w:rsidP="00073617">
            <w:pPr>
              <w:shd w:val="clear" w:color="auto" w:fill="FFFFFF"/>
              <w:tabs>
                <w:tab w:val="left" w:pos="519"/>
              </w:tabs>
              <w:ind w:firstLine="519"/>
              <w:jc w:val="both"/>
              <w:rPr>
                <w:sz w:val="25"/>
                <w:szCs w:val="25"/>
                <w:lang w:val="ro-MD"/>
              </w:rPr>
            </w:pPr>
            <w:r w:rsidRPr="00073617">
              <w:rPr>
                <w:sz w:val="25"/>
                <w:szCs w:val="25"/>
                <w:lang w:val="ro-MD"/>
              </w:rPr>
              <w:t xml:space="preserve">- </w:t>
            </w:r>
            <w:r w:rsidRPr="00073617">
              <w:rPr>
                <w:i/>
                <w:sz w:val="25"/>
                <w:szCs w:val="25"/>
                <w:lang w:val="ro-MD"/>
              </w:rPr>
              <w:t>în</w:t>
            </w:r>
            <w:r w:rsidRPr="00073617">
              <w:rPr>
                <w:sz w:val="25"/>
                <w:szCs w:val="25"/>
                <w:lang w:val="ro-MD"/>
              </w:rPr>
              <w:t xml:space="preserve"> </w:t>
            </w:r>
            <w:r w:rsidRPr="00073617">
              <w:rPr>
                <w:i/>
                <w:sz w:val="25"/>
                <w:szCs w:val="25"/>
                <w:lang w:val="ro-MD"/>
              </w:rPr>
              <w:t>situațiile determinate de lipsa sau insuficiența de exploatare a invenției brevetate,</w:t>
            </w:r>
            <w:r w:rsidRPr="00073617">
              <w:rPr>
                <w:sz w:val="25"/>
                <w:szCs w:val="25"/>
                <w:lang w:val="ro-MD"/>
              </w:rPr>
              <w:t xml:space="preserve"> precum și </w:t>
            </w:r>
            <w:r w:rsidRPr="00073617">
              <w:rPr>
                <w:i/>
                <w:sz w:val="25"/>
                <w:szCs w:val="25"/>
                <w:lang w:val="ro-MD"/>
              </w:rPr>
              <w:t>în scopul remedierii unei practici anticoncurențiale,</w:t>
            </w:r>
            <w:r w:rsidRPr="00073617">
              <w:rPr>
                <w:sz w:val="25"/>
                <w:szCs w:val="25"/>
                <w:lang w:val="ro-MD"/>
              </w:rPr>
              <w:t xml:space="preserve"> competența de acordare a licențelor obligatorii revine </w:t>
            </w:r>
            <w:r w:rsidRPr="00073617">
              <w:rPr>
                <w:b/>
                <w:i/>
                <w:sz w:val="25"/>
                <w:szCs w:val="25"/>
                <w:lang w:val="ro-MD"/>
              </w:rPr>
              <w:t>instanței de judecată</w:t>
            </w:r>
            <w:r w:rsidRPr="00073617">
              <w:rPr>
                <w:sz w:val="25"/>
                <w:szCs w:val="25"/>
                <w:lang w:val="ro-MD"/>
              </w:rPr>
              <w:t>;</w:t>
            </w:r>
          </w:p>
          <w:p w14:paraId="3B9B344B" w14:textId="77777777" w:rsidR="00073617" w:rsidRPr="00073617" w:rsidRDefault="00073617" w:rsidP="00073617">
            <w:pPr>
              <w:shd w:val="clear" w:color="auto" w:fill="FFFFFF"/>
              <w:tabs>
                <w:tab w:val="left" w:pos="519"/>
              </w:tabs>
              <w:ind w:firstLine="519"/>
              <w:jc w:val="both"/>
              <w:rPr>
                <w:sz w:val="25"/>
                <w:szCs w:val="25"/>
                <w:lang w:val="ro-MD"/>
              </w:rPr>
            </w:pPr>
            <w:r w:rsidRPr="00073617">
              <w:rPr>
                <w:sz w:val="25"/>
                <w:szCs w:val="25"/>
                <w:lang w:val="ro-MD"/>
              </w:rPr>
              <w:t xml:space="preserve">- </w:t>
            </w:r>
            <w:r w:rsidRPr="00073617">
              <w:rPr>
                <w:i/>
                <w:sz w:val="25"/>
                <w:szCs w:val="25"/>
                <w:lang w:val="ro-MD"/>
              </w:rPr>
              <w:t>în situațiile de interes public</w:t>
            </w:r>
            <w:r w:rsidRPr="00073617">
              <w:rPr>
                <w:sz w:val="25"/>
                <w:szCs w:val="25"/>
                <w:lang w:val="ro-MD"/>
              </w:rPr>
              <w:t xml:space="preserve">, cum ar fi </w:t>
            </w:r>
            <w:r w:rsidRPr="00073617">
              <w:rPr>
                <w:i/>
                <w:sz w:val="25"/>
                <w:szCs w:val="25"/>
                <w:lang w:val="ro-MD"/>
              </w:rPr>
              <w:t>cele determinate de situații de urgență națională sau de alte circumstanțe de extremă urgentă</w:t>
            </w:r>
            <w:r w:rsidRPr="00073617">
              <w:rPr>
                <w:sz w:val="25"/>
                <w:szCs w:val="25"/>
                <w:lang w:val="ro-MD"/>
              </w:rPr>
              <w:t xml:space="preserve">, spre exemplu -  survenirea unei urgențe de sănătate publică, de apărare națională,  sau în domeniile agriculturii,  protecției mediului, schimbărilor climatice și resurselor naturale - sau </w:t>
            </w:r>
            <w:r w:rsidRPr="00073617">
              <w:rPr>
                <w:i/>
                <w:sz w:val="25"/>
                <w:szCs w:val="25"/>
                <w:lang w:val="ro-MD"/>
              </w:rPr>
              <w:t>în caz utilizare publică în scopuri necomerciale</w:t>
            </w:r>
            <w:r w:rsidRPr="00073617">
              <w:rPr>
                <w:sz w:val="25"/>
                <w:szCs w:val="25"/>
                <w:lang w:val="ro-MD"/>
              </w:rPr>
              <w:t xml:space="preserve">, competența de acordare a licențelor obligatorii revine </w:t>
            </w:r>
            <w:r w:rsidRPr="00073617">
              <w:rPr>
                <w:b/>
                <w:i/>
                <w:sz w:val="25"/>
                <w:szCs w:val="25"/>
                <w:lang w:val="ro-MD"/>
              </w:rPr>
              <w:t>Guvernului</w:t>
            </w:r>
            <w:r w:rsidRPr="00073617">
              <w:rPr>
                <w:sz w:val="25"/>
                <w:szCs w:val="25"/>
                <w:lang w:val="ro-MD"/>
              </w:rPr>
              <w:t xml:space="preserve">, </w:t>
            </w:r>
            <w:r w:rsidRPr="00073617">
              <w:rPr>
                <w:bCs/>
                <w:color w:val="000000"/>
                <w:sz w:val="25"/>
                <w:szCs w:val="25"/>
                <w:lang w:val="ro-MD"/>
              </w:rPr>
              <w:t>la inițiativa ministerelor care asigură realizarea politicii guvernamentale în domeniile de activitate care le sunt încredințate.</w:t>
            </w:r>
          </w:p>
          <w:p w14:paraId="7F7BAAC0" w14:textId="77777777" w:rsidR="00C81912" w:rsidRPr="00DE3030" w:rsidRDefault="00C81912" w:rsidP="001D4917">
            <w:pPr>
              <w:shd w:val="clear" w:color="auto" w:fill="FFFFFF"/>
              <w:ind w:firstLine="519"/>
              <w:jc w:val="both"/>
              <w:rPr>
                <w:sz w:val="25"/>
                <w:szCs w:val="25"/>
                <w:lang w:val="ro-MD"/>
              </w:rPr>
            </w:pPr>
            <w:bookmarkStart w:id="0" w:name="_GoBack"/>
            <w:bookmarkEnd w:id="0"/>
            <w:r w:rsidRPr="00073617">
              <w:rPr>
                <w:sz w:val="25"/>
                <w:szCs w:val="25"/>
                <w:lang w:val="ro-MD"/>
              </w:rPr>
              <w:t>Pe lângă cele menţionate, în sensul perfecţionării şi ajustării procedurilor</w:t>
            </w:r>
            <w:r w:rsidRPr="00DE3030">
              <w:rPr>
                <w:sz w:val="25"/>
                <w:szCs w:val="25"/>
                <w:lang w:val="ro-MD"/>
              </w:rPr>
              <w:t xml:space="preserve"> de examinare a cererilor de brevet depuse la AGEPI, au fost operate un şir de amendamente sub aspect redacţional şi anume: </w:t>
            </w:r>
          </w:p>
          <w:p w14:paraId="465284A8" w14:textId="4A254BFD" w:rsidR="00C81912" w:rsidRPr="00DE3030" w:rsidRDefault="00C81912" w:rsidP="00C81912">
            <w:pPr>
              <w:ind w:firstLine="567"/>
              <w:jc w:val="both"/>
              <w:rPr>
                <w:sz w:val="25"/>
                <w:szCs w:val="25"/>
                <w:lang w:val="ro-MD"/>
              </w:rPr>
            </w:pPr>
            <w:r w:rsidRPr="00DE3030">
              <w:rPr>
                <w:b/>
                <w:sz w:val="25"/>
                <w:szCs w:val="25"/>
                <w:lang w:val="ro-MD"/>
              </w:rPr>
              <w:tab/>
              <w:t xml:space="preserve">- </w:t>
            </w:r>
            <w:r w:rsidRPr="00DE3030">
              <w:rPr>
                <w:sz w:val="25"/>
                <w:szCs w:val="25"/>
                <w:lang w:val="ro-MD"/>
              </w:rPr>
              <w:t xml:space="preserve">în </w:t>
            </w:r>
            <w:r w:rsidRPr="00DE3030">
              <w:rPr>
                <w:b/>
                <w:sz w:val="25"/>
                <w:szCs w:val="25"/>
                <w:lang w:val="ro-MD"/>
              </w:rPr>
              <w:t>art. 3</w:t>
            </w:r>
            <w:r w:rsidRPr="00DE3030">
              <w:rPr>
                <w:sz w:val="25"/>
                <w:szCs w:val="25"/>
                <w:lang w:val="ro-MD"/>
              </w:rPr>
              <w:t xml:space="preserve"> la noțiunea ”brevet eurasiatic”, după sintagma ”brevet eliberat”  se completează cu textul „în baza unei cereri eurasiatice, depuse până la 26.04.2012”, în scopul concretizării faptului că se face referire nu la toate brevetele eurasiatice, dar numai la cele obținute în baza unei cereri depuse până la 26.04.2012. În acelaşi scop, se propune ajustarea titlului de la </w:t>
            </w:r>
            <w:r w:rsidRPr="00DE3030">
              <w:rPr>
                <w:b/>
                <w:sz w:val="25"/>
                <w:szCs w:val="25"/>
                <w:lang w:val="ro-MD"/>
              </w:rPr>
              <w:t>art.</w:t>
            </w:r>
            <w:r w:rsidR="00CB1E9A">
              <w:rPr>
                <w:b/>
                <w:sz w:val="25"/>
                <w:szCs w:val="25"/>
                <w:lang w:val="ro-MD"/>
              </w:rPr>
              <w:t xml:space="preserve"> </w:t>
            </w:r>
            <w:r w:rsidRPr="00DE3030">
              <w:rPr>
                <w:b/>
                <w:sz w:val="25"/>
                <w:szCs w:val="25"/>
                <w:lang w:val="ro-MD"/>
              </w:rPr>
              <w:t>44</w:t>
            </w:r>
            <w:r w:rsidRPr="00DE3030">
              <w:rPr>
                <w:sz w:val="25"/>
                <w:szCs w:val="25"/>
                <w:lang w:val="ro-MD"/>
              </w:rPr>
              <w:t>;</w:t>
            </w:r>
          </w:p>
          <w:p w14:paraId="66B7F313" w14:textId="45AE2D66" w:rsidR="00C81912" w:rsidRPr="00DE3030" w:rsidRDefault="00C81912" w:rsidP="00C81912">
            <w:pPr>
              <w:ind w:firstLine="567"/>
              <w:jc w:val="both"/>
              <w:rPr>
                <w:sz w:val="25"/>
                <w:szCs w:val="25"/>
                <w:lang w:val="ro-MD"/>
              </w:rPr>
            </w:pPr>
            <w:r w:rsidRPr="00DE3030">
              <w:rPr>
                <w:sz w:val="25"/>
                <w:szCs w:val="25"/>
                <w:lang w:val="ro-MD"/>
              </w:rPr>
              <w:t xml:space="preserve">- la </w:t>
            </w:r>
            <w:r w:rsidRPr="00DE3030">
              <w:rPr>
                <w:b/>
                <w:sz w:val="25"/>
                <w:szCs w:val="25"/>
                <w:lang w:val="ro-MD"/>
              </w:rPr>
              <w:t>art.</w:t>
            </w:r>
            <w:r w:rsidR="00B35DB8" w:rsidRPr="00DE3030">
              <w:rPr>
                <w:b/>
                <w:sz w:val="25"/>
                <w:szCs w:val="25"/>
                <w:lang w:val="ro-MD"/>
              </w:rPr>
              <w:t xml:space="preserve"> </w:t>
            </w:r>
            <w:r w:rsidRPr="00DE3030">
              <w:rPr>
                <w:b/>
                <w:sz w:val="25"/>
                <w:szCs w:val="25"/>
                <w:lang w:val="ro-MD"/>
              </w:rPr>
              <w:t>32</w:t>
            </w:r>
            <w:r w:rsidR="00B35DB8" w:rsidRPr="00DE3030">
              <w:rPr>
                <w:b/>
                <w:sz w:val="25"/>
                <w:szCs w:val="25"/>
                <w:lang w:val="ro-MD"/>
              </w:rPr>
              <w:t xml:space="preserve"> alin. (1), art. 40 alin. (1) și art. 43 alin. (3)</w:t>
            </w:r>
            <w:r w:rsidRPr="00DE3030">
              <w:rPr>
                <w:sz w:val="25"/>
                <w:szCs w:val="25"/>
                <w:lang w:val="ro-MD"/>
              </w:rPr>
              <w:t xml:space="preserve"> privind limba de procedură</w:t>
            </w:r>
            <w:r w:rsidR="00B35DB8" w:rsidRPr="00DE3030">
              <w:rPr>
                <w:sz w:val="25"/>
                <w:szCs w:val="25"/>
                <w:lang w:val="ro-MD"/>
              </w:rPr>
              <w:t>. Totodată,</w:t>
            </w:r>
            <w:r w:rsidRPr="00DE3030">
              <w:rPr>
                <w:sz w:val="25"/>
                <w:szCs w:val="25"/>
                <w:lang w:val="ro-MD"/>
              </w:rPr>
              <w:t xml:space="preserve"> se propune reformularea alineatelor </w:t>
            </w:r>
            <w:r w:rsidRPr="00DE3030">
              <w:rPr>
                <w:b/>
                <w:sz w:val="25"/>
                <w:szCs w:val="25"/>
                <w:lang w:val="ro-MD"/>
              </w:rPr>
              <w:t>(3) şi (4)</w:t>
            </w:r>
            <w:r w:rsidR="00B35DB8" w:rsidRPr="00DE3030">
              <w:rPr>
                <w:b/>
                <w:sz w:val="25"/>
                <w:szCs w:val="25"/>
                <w:lang w:val="ro-MD"/>
              </w:rPr>
              <w:t xml:space="preserve"> ale art. 32</w:t>
            </w:r>
            <w:r w:rsidRPr="00DE3030">
              <w:rPr>
                <w:sz w:val="25"/>
                <w:szCs w:val="25"/>
                <w:lang w:val="ro-MD"/>
              </w:rPr>
              <w:t xml:space="preserve">, în special, prin excluderea faptului autentificării notariale a traducerii documentelor aferente cererii, ţinând cont de procedurile legale stabilite şi practica aplicabilă în acest sens; </w:t>
            </w:r>
          </w:p>
          <w:p w14:paraId="39F51C22" w14:textId="594BC9D0" w:rsidR="00C81912" w:rsidRPr="00DE3030" w:rsidRDefault="00C81912" w:rsidP="00C81912">
            <w:pPr>
              <w:ind w:firstLine="567"/>
              <w:jc w:val="both"/>
              <w:rPr>
                <w:sz w:val="25"/>
                <w:szCs w:val="25"/>
                <w:lang w:val="ro-MD"/>
              </w:rPr>
            </w:pPr>
            <w:r w:rsidRPr="00DE3030">
              <w:rPr>
                <w:sz w:val="25"/>
                <w:szCs w:val="25"/>
                <w:lang w:val="ro-MD"/>
              </w:rPr>
              <w:t xml:space="preserve">- la </w:t>
            </w:r>
            <w:r w:rsidRPr="00DE3030">
              <w:rPr>
                <w:b/>
                <w:sz w:val="25"/>
                <w:szCs w:val="25"/>
                <w:lang w:val="ro-MD"/>
              </w:rPr>
              <w:t>art.</w:t>
            </w:r>
            <w:r w:rsidR="00B35DB8" w:rsidRPr="00DE3030">
              <w:rPr>
                <w:b/>
                <w:sz w:val="25"/>
                <w:szCs w:val="25"/>
                <w:lang w:val="ro-MD"/>
              </w:rPr>
              <w:t xml:space="preserve"> </w:t>
            </w:r>
            <w:r w:rsidRPr="00DE3030">
              <w:rPr>
                <w:b/>
                <w:sz w:val="25"/>
                <w:szCs w:val="25"/>
                <w:lang w:val="ro-MD"/>
              </w:rPr>
              <w:t>52 alin.</w:t>
            </w:r>
            <w:r w:rsidR="00B35DB8" w:rsidRPr="00DE3030">
              <w:rPr>
                <w:b/>
                <w:sz w:val="25"/>
                <w:szCs w:val="25"/>
                <w:lang w:val="ro-MD"/>
              </w:rPr>
              <w:t xml:space="preserve"> </w:t>
            </w:r>
            <w:r w:rsidRPr="00DE3030">
              <w:rPr>
                <w:b/>
                <w:sz w:val="25"/>
                <w:szCs w:val="25"/>
                <w:lang w:val="ro-MD"/>
              </w:rPr>
              <w:t>(3) şi (4)</w:t>
            </w:r>
            <w:r w:rsidRPr="00DE3030">
              <w:rPr>
                <w:sz w:val="25"/>
                <w:szCs w:val="25"/>
                <w:lang w:val="ro-MD"/>
              </w:rPr>
              <w:t xml:space="preserve"> urmează a fi operate unele precizări de ordin procedural cu referire la cererile de brevet de scurtă durată şi examinarea condiţiilor pentru acordarea brevetului de scurtă durată;</w:t>
            </w:r>
          </w:p>
          <w:p w14:paraId="0B452457" w14:textId="4D7418AE" w:rsidR="00C81912" w:rsidRPr="00DE3030" w:rsidRDefault="00C81912" w:rsidP="00C81912">
            <w:pPr>
              <w:jc w:val="both"/>
              <w:rPr>
                <w:sz w:val="25"/>
                <w:szCs w:val="25"/>
                <w:lang w:val="ro-MD"/>
              </w:rPr>
            </w:pPr>
            <w:r w:rsidRPr="00DE3030">
              <w:rPr>
                <w:sz w:val="25"/>
                <w:szCs w:val="25"/>
                <w:lang w:val="ro-MD"/>
              </w:rPr>
              <w:t xml:space="preserve">        - în scopul </w:t>
            </w:r>
            <w:r w:rsidRPr="00DE3030">
              <w:rPr>
                <w:color w:val="000000"/>
                <w:sz w:val="25"/>
                <w:szCs w:val="25"/>
                <w:lang w:val="ro-MD"/>
              </w:rPr>
              <w:t xml:space="preserve">excluderii protecției duble a unei invenții concomitent prin </w:t>
            </w:r>
            <w:r w:rsidR="000441EE" w:rsidRPr="00DE3030">
              <w:rPr>
                <w:color w:val="000000"/>
                <w:sz w:val="25"/>
                <w:szCs w:val="25"/>
                <w:lang w:val="ro-MD"/>
              </w:rPr>
              <w:t>două</w:t>
            </w:r>
            <w:r w:rsidRPr="00DE3030">
              <w:rPr>
                <w:color w:val="000000"/>
                <w:sz w:val="25"/>
                <w:szCs w:val="25"/>
                <w:lang w:val="ro-MD"/>
              </w:rPr>
              <w:t xml:space="preserve"> titluri de protecție – prin brevet naţional şi brevet european validat, se propune completarea </w:t>
            </w:r>
            <w:r w:rsidRPr="00DE3030">
              <w:rPr>
                <w:b/>
                <w:color w:val="000000"/>
                <w:sz w:val="25"/>
                <w:szCs w:val="25"/>
                <w:lang w:val="ro-MD"/>
              </w:rPr>
              <w:t>art.44</w:t>
            </w:r>
            <w:r w:rsidRPr="00DE3030">
              <w:rPr>
                <w:b/>
                <w:color w:val="000000"/>
                <w:sz w:val="25"/>
                <w:szCs w:val="25"/>
                <w:vertAlign w:val="superscript"/>
                <w:lang w:val="ro-MD"/>
              </w:rPr>
              <w:t>2</w:t>
            </w:r>
            <w:r w:rsidRPr="00DE3030">
              <w:rPr>
                <w:color w:val="000000"/>
                <w:sz w:val="25"/>
                <w:szCs w:val="25"/>
                <w:lang w:val="ro-MD"/>
              </w:rPr>
              <w:t xml:space="preserve"> ce ţine de procedura de validare a brevetului european cu un alineat nou – </w:t>
            </w:r>
            <w:r w:rsidRPr="00DE3030">
              <w:rPr>
                <w:b/>
                <w:color w:val="000000"/>
                <w:sz w:val="25"/>
                <w:szCs w:val="25"/>
                <w:lang w:val="ro-MD"/>
              </w:rPr>
              <w:t>alin.(12)</w:t>
            </w:r>
            <w:r w:rsidRPr="00DE3030">
              <w:rPr>
                <w:color w:val="000000"/>
                <w:sz w:val="25"/>
                <w:szCs w:val="25"/>
                <w:lang w:val="ro-MD"/>
              </w:rPr>
              <w:t>, care să interzică existenţa unei protecţii duble în acest caz;</w:t>
            </w:r>
          </w:p>
          <w:p w14:paraId="768FC4DD" w14:textId="6402B168" w:rsidR="00C81912" w:rsidRPr="00DE3030" w:rsidRDefault="00C81912" w:rsidP="00C81912">
            <w:pPr>
              <w:pStyle w:val="tt"/>
              <w:ind w:firstLine="567"/>
              <w:jc w:val="both"/>
              <w:rPr>
                <w:b w:val="0"/>
                <w:sz w:val="25"/>
                <w:szCs w:val="25"/>
                <w:lang w:val="ro-MD"/>
              </w:rPr>
            </w:pPr>
            <w:r w:rsidRPr="00DE3030">
              <w:rPr>
                <w:b w:val="0"/>
                <w:sz w:val="25"/>
                <w:szCs w:val="25"/>
                <w:lang w:val="ro-MD"/>
              </w:rPr>
              <w:t xml:space="preserve">- </w:t>
            </w:r>
            <w:r w:rsidRPr="00DE3030">
              <w:rPr>
                <w:sz w:val="25"/>
                <w:szCs w:val="25"/>
                <w:lang w:val="ro-MD"/>
              </w:rPr>
              <w:t>alin. (2) al art. 46</w:t>
            </w:r>
            <w:r w:rsidRPr="00DE3030">
              <w:rPr>
                <w:b w:val="0"/>
                <w:sz w:val="25"/>
                <w:szCs w:val="25"/>
                <w:lang w:val="ro-MD"/>
              </w:rPr>
              <w:t xml:space="preserve"> se completează în vederea prescrierii la nivel de act </w:t>
            </w:r>
            <w:r w:rsidR="00E5787A" w:rsidRPr="00DE3030">
              <w:rPr>
                <w:b w:val="0"/>
                <w:sz w:val="25"/>
                <w:szCs w:val="25"/>
                <w:lang w:val="ro-MD"/>
              </w:rPr>
              <w:t>normativ</w:t>
            </w:r>
            <w:r w:rsidRPr="00DE3030">
              <w:rPr>
                <w:b w:val="0"/>
                <w:sz w:val="25"/>
                <w:szCs w:val="25"/>
                <w:lang w:val="ro-MD"/>
              </w:rPr>
              <w:t xml:space="preserve"> a consecinţelor nedepunerii cerer</w:t>
            </w:r>
            <w:r w:rsidR="008731EF">
              <w:rPr>
                <w:b w:val="0"/>
                <w:sz w:val="25"/>
                <w:szCs w:val="25"/>
                <w:lang w:val="ro-MD"/>
              </w:rPr>
              <w:t>ii de repunere în termenul omis;</w:t>
            </w:r>
            <w:r w:rsidRPr="00DE3030">
              <w:rPr>
                <w:b w:val="0"/>
                <w:sz w:val="25"/>
                <w:szCs w:val="25"/>
                <w:lang w:val="ro-MD"/>
              </w:rPr>
              <w:t xml:space="preserve"> </w:t>
            </w:r>
          </w:p>
          <w:p w14:paraId="04805963" w14:textId="56BBC89C" w:rsidR="00C81912" w:rsidRPr="00DE3030" w:rsidRDefault="00C81912" w:rsidP="00C81912">
            <w:pPr>
              <w:ind w:firstLine="567"/>
              <w:jc w:val="both"/>
              <w:rPr>
                <w:sz w:val="25"/>
                <w:szCs w:val="25"/>
                <w:lang w:val="ro-MD"/>
              </w:rPr>
            </w:pPr>
            <w:r w:rsidRPr="00DE3030">
              <w:rPr>
                <w:sz w:val="25"/>
                <w:szCs w:val="25"/>
                <w:lang w:val="ro-MD"/>
              </w:rPr>
              <w:lastRenderedPageBreak/>
              <w:t xml:space="preserve">- în </w:t>
            </w:r>
            <w:r w:rsidRPr="00DE3030">
              <w:rPr>
                <w:b/>
                <w:sz w:val="25"/>
                <w:szCs w:val="25"/>
                <w:lang w:val="ro-MD"/>
              </w:rPr>
              <w:t xml:space="preserve">art. 71 </w:t>
            </w:r>
            <w:r w:rsidRPr="00DE3030">
              <w:rPr>
                <w:sz w:val="25"/>
                <w:szCs w:val="25"/>
                <w:lang w:val="ro-MD"/>
              </w:rPr>
              <w:t>alin.(1) lit.b), ce se referă la una din condiţiile de acordare a certificatului complementar de protecţie, urmează de specificat faptul că produsul este obiectul unei autorizaţii valabile de lansare pe piaţă în calitate de produs medicamentos sau fitofarmaceutic şi este în limita revendicărilor din brevetul de invenţie;</w:t>
            </w:r>
          </w:p>
          <w:p w14:paraId="4AF1CB42" w14:textId="4AB8DA65" w:rsidR="00C81912" w:rsidRPr="00C30A61" w:rsidRDefault="00C81912" w:rsidP="00C81912">
            <w:pPr>
              <w:ind w:firstLine="567"/>
              <w:jc w:val="both"/>
              <w:rPr>
                <w:sz w:val="25"/>
                <w:szCs w:val="25"/>
                <w:lang w:val="ro-MD"/>
              </w:rPr>
            </w:pPr>
            <w:r w:rsidRPr="00DE3030">
              <w:rPr>
                <w:sz w:val="25"/>
                <w:szCs w:val="25"/>
                <w:lang w:val="ro-MD"/>
              </w:rPr>
              <w:t xml:space="preserve">- la </w:t>
            </w:r>
            <w:r w:rsidRPr="00DE3030">
              <w:rPr>
                <w:b/>
                <w:sz w:val="25"/>
                <w:szCs w:val="25"/>
                <w:lang w:val="ro-MD"/>
              </w:rPr>
              <w:t>art. 90</w:t>
            </w:r>
            <w:r w:rsidRPr="00DE3030">
              <w:rPr>
                <w:sz w:val="25"/>
                <w:szCs w:val="25"/>
                <w:lang w:val="ro-MD"/>
              </w:rPr>
              <w:t xml:space="preserve"> ce ţine de prelungirea termenelor de procedură, se propune completarea alin.(3) cu normele asupra cărora nu se va aplica prescripţia referitoare la prelungirea termenelor, precum şi pentru a evita </w:t>
            </w:r>
            <w:r w:rsidRPr="00C30A61">
              <w:rPr>
                <w:sz w:val="25"/>
                <w:szCs w:val="25"/>
                <w:lang w:val="ro-MD"/>
              </w:rPr>
              <w:t>suprapunerea posibilității de prelungire a termenului prevăzut în alin. (6) și (7) cu termenul suplimentar de 3 luni oferit conform alin.(10) din art.44</w:t>
            </w:r>
            <w:r w:rsidRPr="00C30A61">
              <w:rPr>
                <w:sz w:val="25"/>
                <w:szCs w:val="25"/>
                <w:vertAlign w:val="superscript"/>
                <w:lang w:val="ro-MD"/>
              </w:rPr>
              <w:t>2</w:t>
            </w:r>
            <w:r w:rsidRPr="00C30A61">
              <w:rPr>
                <w:sz w:val="25"/>
                <w:szCs w:val="25"/>
                <w:lang w:val="ro-MD"/>
              </w:rPr>
              <w:t>;</w:t>
            </w:r>
          </w:p>
          <w:p w14:paraId="23C527C8" w14:textId="77777777" w:rsidR="00C81912" w:rsidRPr="00C30A61" w:rsidRDefault="00C81912" w:rsidP="00C81912">
            <w:pPr>
              <w:ind w:firstLine="522"/>
              <w:jc w:val="both"/>
              <w:rPr>
                <w:sz w:val="25"/>
                <w:szCs w:val="25"/>
                <w:lang w:val="ro-MD"/>
              </w:rPr>
            </w:pPr>
            <w:r w:rsidRPr="00C30A61">
              <w:rPr>
                <w:sz w:val="25"/>
                <w:szCs w:val="25"/>
                <w:lang w:val="ro-MD"/>
              </w:rPr>
              <w:t xml:space="preserve">- în </w:t>
            </w:r>
            <w:r w:rsidRPr="00C30A61">
              <w:rPr>
                <w:b/>
                <w:sz w:val="25"/>
                <w:szCs w:val="25"/>
                <w:lang w:val="ro-MD"/>
              </w:rPr>
              <w:t>art. 92 alin. (4)</w:t>
            </w:r>
            <w:r w:rsidRPr="00C30A61">
              <w:rPr>
                <w:sz w:val="25"/>
                <w:szCs w:val="25"/>
                <w:lang w:val="ro-MD"/>
              </w:rPr>
              <w:t xml:space="preserve"> se exclude referinţa la art. 51 alin. (2), ce reglementează termenul de examinare de fond a cererii de brevet, ca urmare a demersurilor din partea solicitanților și mandatarilor autorizaţi pentru a oferi posibilitatea restabilirii drepturilor în cazul omiterii termenului de depunere a cererii de examinare.</w:t>
            </w:r>
          </w:p>
          <w:p w14:paraId="70FCB1F7" w14:textId="4A93608D" w:rsidR="00C30A61" w:rsidRPr="003B2172" w:rsidRDefault="00C30A61" w:rsidP="003B2172">
            <w:pPr>
              <w:pStyle w:val="ListParagraph"/>
              <w:numPr>
                <w:ilvl w:val="0"/>
                <w:numId w:val="4"/>
              </w:numPr>
              <w:spacing w:after="0" w:line="256" w:lineRule="auto"/>
              <w:ind w:left="0" w:firstLine="709"/>
              <w:jc w:val="both"/>
              <w:rPr>
                <w:sz w:val="25"/>
                <w:szCs w:val="25"/>
                <w:lang w:val="ro-MD"/>
              </w:rPr>
            </w:pPr>
            <w:r w:rsidRPr="00C30A61">
              <w:rPr>
                <w:rFonts w:ascii="Times New Roman" w:hAnsi="Times New Roman" w:cs="Times New Roman"/>
                <w:sz w:val="25"/>
                <w:szCs w:val="25"/>
                <w:lang w:val="ro-MD"/>
              </w:rPr>
              <w:t xml:space="preserve">În vederea asigurării concordanței cu noile prevederi ale art. 28 din Legea nr. 50/2008, se propune modificarea referinței la articol în </w:t>
            </w:r>
            <w:r w:rsidRPr="00C30A61">
              <w:rPr>
                <w:rFonts w:ascii="Times New Roman" w:hAnsi="Times New Roman" w:cs="Times New Roman"/>
                <w:b/>
                <w:sz w:val="25"/>
                <w:szCs w:val="25"/>
                <w:lang w:val="ro-MD"/>
              </w:rPr>
              <w:t>Legea nr. 1456/1993</w:t>
            </w:r>
            <w:r w:rsidRPr="00C30A61">
              <w:rPr>
                <w:rFonts w:ascii="Times New Roman" w:hAnsi="Times New Roman" w:cs="Times New Roman"/>
                <w:sz w:val="25"/>
                <w:szCs w:val="25"/>
                <w:lang w:val="ro-MD"/>
              </w:rPr>
              <w:t>.</w:t>
            </w:r>
          </w:p>
        </w:tc>
      </w:tr>
      <w:tr w:rsidR="007F159A" w:rsidRPr="00DE3030" w14:paraId="24A09EB2"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77777777" w:rsidR="007F159A" w:rsidRPr="00DE3030" w:rsidRDefault="007F159A">
            <w:pPr>
              <w:rPr>
                <w:b/>
                <w:sz w:val="25"/>
                <w:szCs w:val="25"/>
                <w:lang w:val="ro-MD"/>
              </w:rPr>
            </w:pPr>
            <w:r w:rsidRPr="00DE3030">
              <w:rPr>
                <w:b/>
                <w:sz w:val="25"/>
                <w:szCs w:val="25"/>
                <w:lang w:val="ro-MD"/>
              </w:rPr>
              <w:lastRenderedPageBreak/>
              <w:t xml:space="preserve">5. Fundamentarea economico-financiară </w:t>
            </w:r>
          </w:p>
        </w:tc>
      </w:tr>
      <w:tr w:rsidR="007F159A" w:rsidRPr="002F700C" w14:paraId="76EDBEAF"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4E1DD" w14:textId="48148D10" w:rsidR="006A296B" w:rsidRPr="00DE3030" w:rsidRDefault="006A296B" w:rsidP="006A296B">
            <w:pPr>
              <w:ind w:firstLine="567"/>
              <w:jc w:val="both"/>
              <w:rPr>
                <w:sz w:val="25"/>
                <w:szCs w:val="25"/>
                <w:lang w:val="ro-MD"/>
              </w:rPr>
            </w:pPr>
            <w:r w:rsidRPr="00DE3030">
              <w:rPr>
                <w:sz w:val="25"/>
                <w:szCs w:val="25"/>
                <w:lang w:val="ro-MD"/>
              </w:rPr>
              <w:t xml:space="preserve">Amendamentele la </w:t>
            </w:r>
            <w:r w:rsidR="008731EF">
              <w:rPr>
                <w:sz w:val="25"/>
                <w:szCs w:val="25"/>
                <w:lang w:val="ro-MD"/>
              </w:rPr>
              <w:t xml:space="preserve">legile propuse spre modificare conform proiectului </w:t>
            </w:r>
            <w:r w:rsidR="00C81912" w:rsidRPr="00DE3030">
              <w:rPr>
                <w:sz w:val="25"/>
                <w:szCs w:val="25"/>
                <w:lang w:val="ro-MD"/>
              </w:rPr>
              <w:t>nu necesită careva cheltuieli suplimentare din bugetul de stat.</w:t>
            </w:r>
          </w:p>
          <w:p w14:paraId="0D89B4E7" w14:textId="77777777" w:rsidR="00C92A67" w:rsidRPr="00DE3030" w:rsidRDefault="00C92A67" w:rsidP="00BC52B9">
            <w:pPr>
              <w:ind w:firstLine="517"/>
              <w:jc w:val="both"/>
              <w:rPr>
                <w:sz w:val="25"/>
                <w:szCs w:val="25"/>
                <w:lang w:val="ro-MD"/>
              </w:rPr>
            </w:pPr>
          </w:p>
        </w:tc>
      </w:tr>
      <w:tr w:rsidR="007F159A" w:rsidRPr="002F700C" w14:paraId="6ED9D4C4"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7777777" w:rsidR="007F159A" w:rsidRPr="00DE3030" w:rsidRDefault="007F159A">
            <w:pPr>
              <w:rPr>
                <w:b/>
                <w:sz w:val="25"/>
                <w:szCs w:val="25"/>
                <w:lang w:val="ro-MD"/>
              </w:rPr>
            </w:pPr>
            <w:r w:rsidRPr="00DE3030">
              <w:rPr>
                <w:b/>
                <w:sz w:val="25"/>
                <w:szCs w:val="25"/>
                <w:lang w:val="ro-MD"/>
              </w:rPr>
              <w:t xml:space="preserve">6. Modul de încorporare a actului în cadrul normativ în vigoare </w:t>
            </w:r>
          </w:p>
        </w:tc>
      </w:tr>
      <w:tr w:rsidR="007F159A" w:rsidRPr="002F700C" w14:paraId="45F62ED7"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5447E" w14:textId="77777777" w:rsidR="00C92A67" w:rsidRPr="00DE3030" w:rsidRDefault="00A82625" w:rsidP="00163900">
            <w:pPr>
              <w:pStyle w:val="tt"/>
              <w:tabs>
                <w:tab w:val="left" w:pos="851"/>
              </w:tabs>
              <w:ind w:firstLine="522"/>
              <w:jc w:val="both"/>
              <w:rPr>
                <w:b w:val="0"/>
                <w:sz w:val="25"/>
                <w:szCs w:val="25"/>
                <w:lang w:val="ro-MD"/>
              </w:rPr>
            </w:pPr>
            <w:r w:rsidRPr="00DE3030">
              <w:rPr>
                <w:b w:val="0"/>
                <w:sz w:val="25"/>
                <w:szCs w:val="25"/>
                <w:lang w:val="ro-MD"/>
              </w:rPr>
              <w:t xml:space="preserve">Prezentul proiect, se încadrează perfect în cadrul normativ în vigoare, </w:t>
            </w:r>
            <w:r w:rsidR="00430A68" w:rsidRPr="00DE3030">
              <w:rPr>
                <w:b w:val="0"/>
                <w:sz w:val="25"/>
                <w:szCs w:val="25"/>
                <w:lang w:val="ro-MD"/>
              </w:rPr>
              <w:t>întrucât</w:t>
            </w:r>
            <w:r w:rsidRPr="00DE3030">
              <w:rPr>
                <w:b w:val="0"/>
                <w:sz w:val="25"/>
                <w:szCs w:val="25"/>
                <w:lang w:val="ro-MD"/>
              </w:rPr>
              <w:t xml:space="preserve"> are drept scop actualizarea unui act normativ </w:t>
            </w:r>
            <w:r w:rsidR="00163900" w:rsidRPr="00DE3030">
              <w:rPr>
                <w:b w:val="0"/>
                <w:sz w:val="25"/>
                <w:szCs w:val="25"/>
                <w:lang w:val="ro-MD"/>
              </w:rPr>
              <w:t>aprobat și aplicabil, din care considerente</w:t>
            </w:r>
            <w:r w:rsidRPr="00DE3030">
              <w:rPr>
                <w:b w:val="0"/>
                <w:sz w:val="25"/>
                <w:szCs w:val="25"/>
                <w:lang w:val="ro-MD"/>
              </w:rPr>
              <w:t xml:space="preserve"> nu necesită modificarea cadrului legal conex.</w:t>
            </w:r>
          </w:p>
          <w:p w14:paraId="35C44775" w14:textId="4FCA78B3" w:rsidR="00824BE9" w:rsidRPr="00DE3030" w:rsidRDefault="00824BE9" w:rsidP="00163900">
            <w:pPr>
              <w:pStyle w:val="tt"/>
              <w:tabs>
                <w:tab w:val="left" w:pos="851"/>
              </w:tabs>
              <w:ind w:firstLine="522"/>
              <w:jc w:val="both"/>
              <w:rPr>
                <w:b w:val="0"/>
                <w:sz w:val="25"/>
                <w:szCs w:val="25"/>
                <w:lang w:val="ro-MD"/>
              </w:rPr>
            </w:pPr>
          </w:p>
        </w:tc>
      </w:tr>
      <w:tr w:rsidR="007F159A" w:rsidRPr="002F700C" w14:paraId="2DC064C8"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77777777" w:rsidR="007F159A" w:rsidRPr="00DE3030" w:rsidRDefault="007F159A">
            <w:pPr>
              <w:rPr>
                <w:b/>
                <w:sz w:val="25"/>
                <w:szCs w:val="25"/>
                <w:lang w:val="ro-MD"/>
              </w:rPr>
            </w:pPr>
            <w:r w:rsidRPr="00DE3030">
              <w:rPr>
                <w:b/>
                <w:sz w:val="25"/>
                <w:szCs w:val="25"/>
                <w:lang w:val="ro-MD"/>
              </w:rPr>
              <w:t xml:space="preserve">7. Avizarea </w:t>
            </w:r>
            <w:r w:rsidR="005C13A8" w:rsidRPr="00DE3030">
              <w:rPr>
                <w:b/>
                <w:sz w:val="25"/>
                <w:szCs w:val="25"/>
                <w:lang w:val="ro-MD"/>
              </w:rPr>
              <w:t>și</w:t>
            </w:r>
            <w:r w:rsidRPr="00DE3030">
              <w:rPr>
                <w:b/>
                <w:sz w:val="25"/>
                <w:szCs w:val="25"/>
                <w:lang w:val="ro-MD"/>
              </w:rPr>
              <w:t xml:space="preserve"> consultarea publică a proiectului </w:t>
            </w:r>
          </w:p>
        </w:tc>
      </w:tr>
      <w:tr w:rsidR="007F159A" w:rsidRPr="002F700C" w14:paraId="661E8EEB" w14:textId="77777777" w:rsidTr="006A296B">
        <w:trPr>
          <w:trHeight w:val="1381"/>
          <w:jc w:val="center"/>
        </w:trPr>
        <w:tc>
          <w:tcPr>
            <w:tcW w:w="5000" w:type="pct"/>
            <w:gridSpan w:val="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A2466B4" w14:textId="5739A4DC" w:rsidR="00824BE9" w:rsidRPr="00DE3030" w:rsidRDefault="00941C14" w:rsidP="00403D1F">
            <w:pPr>
              <w:ind w:firstLine="521"/>
              <w:jc w:val="both"/>
              <w:rPr>
                <w:sz w:val="25"/>
                <w:szCs w:val="25"/>
                <w:lang w:val="ro-MD"/>
              </w:rPr>
            </w:pPr>
            <w:r w:rsidRPr="00DE3030">
              <w:rPr>
                <w:sz w:val="25"/>
                <w:szCs w:val="25"/>
                <w:lang w:val="ro-MD"/>
              </w:rPr>
              <w:t xml:space="preserve">Proiectul a fost plasat pe pagina web oficială a AGEPI </w:t>
            </w:r>
            <w:hyperlink r:id="rId6" w:history="1">
              <w:r w:rsidRPr="00DE3030">
                <w:rPr>
                  <w:rStyle w:val="Hyperlink"/>
                  <w:sz w:val="25"/>
                  <w:szCs w:val="25"/>
                  <w:lang w:val="ro-MD"/>
                </w:rPr>
                <w:t>www.agepi.gov.md</w:t>
              </w:r>
            </w:hyperlink>
            <w:r w:rsidRPr="00DE3030">
              <w:rPr>
                <w:sz w:val="25"/>
                <w:szCs w:val="25"/>
                <w:lang w:val="ro-MD"/>
              </w:rPr>
              <w:t xml:space="preserve"> la compartimentul „Transparenţa/Consultări publice/proiecte de acte normative </w:t>
            </w:r>
            <w:r w:rsidR="00BC261F">
              <w:rPr>
                <w:sz w:val="25"/>
                <w:szCs w:val="25"/>
                <w:lang w:val="ro-MD"/>
              </w:rPr>
              <w:t>(proprietatea industrială)</w:t>
            </w:r>
            <w:r w:rsidRPr="00DE3030">
              <w:rPr>
                <w:sz w:val="25"/>
                <w:szCs w:val="25"/>
                <w:lang w:val="ro-MD"/>
              </w:rPr>
              <w:t xml:space="preserve">”, precum şi pe </w:t>
            </w:r>
            <w:hyperlink r:id="rId7" w:history="1">
              <w:r w:rsidRPr="00DE3030">
                <w:rPr>
                  <w:rStyle w:val="Hyperlink"/>
                  <w:sz w:val="25"/>
                  <w:szCs w:val="25"/>
                  <w:lang w:val="ro-MD"/>
                </w:rPr>
                <w:t>www.particip.gov.md</w:t>
              </w:r>
            </w:hyperlink>
            <w:r w:rsidRPr="00DE3030">
              <w:rPr>
                <w:sz w:val="25"/>
                <w:szCs w:val="25"/>
                <w:lang w:val="ro-MD"/>
              </w:rPr>
              <w:t>, şi urmează a fi supus  avizării şi consultării publice în conformitate cu procedura stabilită prin Legea nr.</w:t>
            </w:r>
            <w:r w:rsidR="00F22D47" w:rsidRPr="00DE3030">
              <w:rPr>
                <w:sz w:val="25"/>
                <w:szCs w:val="25"/>
                <w:lang w:val="ro-MD"/>
              </w:rPr>
              <w:t xml:space="preserve"> </w:t>
            </w:r>
            <w:r w:rsidRPr="00DE3030">
              <w:rPr>
                <w:sz w:val="25"/>
                <w:szCs w:val="25"/>
                <w:lang w:val="ro-MD"/>
              </w:rPr>
              <w:t>100/2017 cu privire la actele normative.</w:t>
            </w:r>
          </w:p>
          <w:p w14:paraId="48E72260" w14:textId="11E49B3E" w:rsidR="00EE2124" w:rsidRPr="00DE3030" w:rsidRDefault="00EE2124" w:rsidP="00403D1F">
            <w:pPr>
              <w:ind w:firstLine="521"/>
              <w:jc w:val="both"/>
              <w:rPr>
                <w:sz w:val="25"/>
                <w:szCs w:val="25"/>
                <w:lang w:val="ro-MD"/>
              </w:rPr>
            </w:pPr>
          </w:p>
        </w:tc>
      </w:tr>
      <w:tr w:rsidR="002E2418" w:rsidRPr="00DE3030" w14:paraId="520BF8ED" w14:textId="77777777" w:rsidTr="00827DDD">
        <w:trPr>
          <w:trHeight w:val="313"/>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5DC99A" w14:textId="77777777" w:rsidR="002E2418" w:rsidRPr="00DE3030" w:rsidRDefault="004259B5" w:rsidP="004259B5">
            <w:pPr>
              <w:jc w:val="both"/>
              <w:rPr>
                <w:b/>
                <w:sz w:val="25"/>
                <w:szCs w:val="25"/>
                <w:lang w:val="ro-MD"/>
              </w:rPr>
            </w:pPr>
            <w:r w:rsidRPr="00DE3030">
              <w:rPr>
                <w:b/>
                <w:sz w:val="25"/>
                <w:szCs w:val="25"/>
                <w:lang w:val="ro-MD"/>
              </w:rPr>
              <w:t xml:space="preserve">8. Constatările expertizei </w:t>
            </w:r>
            <w:r w:rsidR="005C13A8" w:rsidRPr="00DE3030">
              <w:rPr>
                <w:b/>
                <w:sz w:val="25"/>
                <w:szCs w:val="25"/>
                <w:lang w:val="ro-MD"/>
              </w:rPr>
              <w:t>anticorupție</w:t>
            </w:r>
          </w:p>
        </w:tc>
      </w:tr>
      <w:tr w:rsidR="00827DDD" w:rsidRPr="002F700C" w14:paraId="76F97CB9" w14:textId="77777777" w:rsidTr="006A296B">
        <w:trPr>
          <w:trHeight w:val="875"/>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599017" w14:textId="392E65B1" w:rsidR="00827DDD" w:rsidRPr="00DE3030" w:rsidRDefault="00941C14" w:rsidP="008E59B3">
            <w:pPr>
              <w:ind w:firstLine="521"/>
              <w:jc w:val="both"/>
              <w:rPr>
                <w:sz w:val="25"/>
                <w:szCs w:val="25"/>
                <w:lang w:val="ro-MD"/>
              </w:rPr>
            </w:pPr>
            <w:r w:rsidRPr="00DE3030">
              <w:rPr>
                <w:sz w:val="25"/>
                <w:szCs w:val="25"/>
                <w:lang w:val="ro-MD"/>
              </w:rPr>
              <w:t xml:space="preserve">Proiectul urmează a fi </w:t>
            </w:r>
            <w:r w:rsidRPr="00DE3030">
              <w:rPr>
                <w:sz w:val="25"/>
                <w:szCs w:val="25"/>
                <w:lang w:val="ro-MD" w:eastAsia="en-US"/>
              </w:rPr>
              <w:t xml:space="preserve">supus expertizei anticorupţie </w:t>
            </w:r>
            <w:r w:rsidRPr="00DE3030">
              <w:rPr>
                <w:sz w:val="25"/>
                <w:szCs w:val="25"/>
                <w:lang w:val="ro-MD"/>
              </w:rPr>
              <w:t>în conformitate cu procedura stabilită în Legea nr. 100/2017 cu privire la actele normative</w:t>
            </w:r>
            <w:r w:rsidR="006A296B" w:rsidRPr="00DE3030">
              <w:rPr>
                <w:sz w:val="25"/>
                <w:szCs w:val="25"/>
                <w:lang w:val="ro-MD" w:eastAsia="en-US"/>
              </w:rPr>
              <w:t>.</w:t>
            </w:r>
          </w:p>
        </w:tc>
      </w:tr>
      <w:tr w:rsidR="00B575A6" w:rsidRPr="00DE3030" w14:paraId="1FE96035" w14:textId="77777777" w:rsidTr="00B575A6">
        <w:trPr>
          <w:trHeight w:val="275"/>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C32B227" w14:textId="77777777" w:rsidR="00B575A6" w:rsidRPr="00DE3030" w:rsidRDefault="00BE2625" w:rsidP="00BE2625">
            <w:pPr>
              <w:jc w:val="both"/>
              <w:rPr>
                <w:b/>
                <w:sz w:val="25"/>
                <w:szCs w:val="25"/>
                <w:lang w:val="ro-MD"/>
              </w:rPr>
            </w:pPr>
            <w:r w:rsidRPr="00DE3030">
              <w:rPr>
                <w:b/>
                <w:sz w:val="25"/>
                <w:szCs w:val="25"/>
                <w:lang w:val="ro-MD"/>
              </w:rPr>
              <w:t>9. Constatările expertizei juridice</w:t>
            </w:r>
          </w:p>
        </w:tc>
      </w:tr>
      <w:tr w:rsidR="00B575A6" w:rsidRPr="002F700C" w14:paraId="7BE06E51" w14:textId="77777777" w:rsidTr="002E2418">
        <w:trPr>
          <w:trHeight w:val="501"/>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1C8328" w14:textId="63A408F8" w:rsidR="00A4103A" w:rsidRPr="00DE3030" w:rsidRDefault="00941C14" w:rsidP="005612AA">
            <w:pPr>
              <w:ind w:firstLine="521"/>
              <w:jc w:val="both"/>
              <w:rPr>
                <w:sz w:val="25"/>
                <w:szCs w:val="25"/>
                <w:lang w:val="ro-MD"/>
              </w:rPr>
            </w:pPr>
            <w:r w:rsidRPr="00DE3030">
              <w:rPr>
                <w:sz w:val="25"/>
                <w:szCs w:val="25"/>
                <w:lang w:val="ro-MD"/>
              </w:rPr>
              <w:t>Proiectul urmează a fi supus expertizei juridice în conformitate cu procedura stabilită în Legea nr. 100/2017 cu privire la actele normative.</w:t>
            </w:r>
          </w:p>
        </w:tc>
      </w:tr>
    </w:tbl>
    <w:p w14:paraId="29B23DB2" w14:textId="35AAEB25" w:rsidR="00EC1B92" w:rsidRPr="00DE3030" w:rsidRDefault="00EC1B92" w:rsidP="00675C19">
      <w:pPr>
        <w:jc w:val="right"/>
        <w:rPr>
          <w:b/>
          <w:sz w:val="25"/>
          <w:szCs w:val="25"/>
          <w:lang w:val="ro-MD"/>
        </w:rPr>
      </w:pPr>
    </w:p>
    <w:p w14:paraId="4C85E25F" w14:textId="77777777" w:rsidR="00EE2124" w:rsidRPr="00DE3030" w:rsidRDefault="00EE2124" w:rsidP="00E26282">
      <w:pPr>
        <w:ind w:right="-284"/>
        <w:jc w:val="right"/>
        <w:rPr>
          <w:b/>
          <w:sz w:val="25"/>
          <w:szCs w:val="25"/>
          <w:lang w:val="ro-MD"/>
        </w:rPr>
      </w:pPr>
    </w:p>
    <w:p w14:paraId="35F58CF6" w14:textId="3184BE50" w:rsidR="00BD2BBF" w:rsidRPr="00DE3030" w:rsidRDefault="002712FB" w:rsidP="00E26282">
      <w:pPr>
        <w:ind w:right="-284"/>
        <w:jc w:val="right"/>
        <w:rPr>
          <w:sz w:val="25"/>
          <w:szCs w:val="25"/>
          <w:lang w:val="ro-MD"/>
        </w:rPr>
      </w:pPr>
      <w:r w:rsidRPr="00DE3030">
        <w:rPr>
          <w:b/>
          <w:sz w:val="25"/>
          <w:szCs w:val="25"/>
          <w:lang w:val="ro-MD"/>
        </w:rPr>
        <w:t>Eugeniu RUSU</w:t>
      </w:r>
      <w:r w:rsidR="00BD2BBF" w:rsidRPr="00DE3030">
        <w:rPr>
          <w:b/>
          <w:sz w:val="25"/>
          <w:szCs w:val="25"/>
          <w:lang w:val="ro-MD"/>
        </w:rPr>
        <w:t>,</w:t>
      </w:r>
    </w:p>
    <w:p w14:paraId="282D9528" w14:textId="055D483B" w:rsidR="000A71F2" w:rsidRPr="00DE3030" w:rsidRDefault="00BD2BBF" w:rsidP="00E26282">
      <w:pPr>
        <w:pStyle w:val="Default"/>
        <w:ind w:left="4962" w:right="-284"/>
        <w:jc w:val="right"/>
        <w:rPr>
          <w:b/>
          <w:color w:val="auto"/>
          <w:sz w:val="25"/>
          <w:szCs w:val="25"/>
          <w:lang w:val="ro-MD"/>
        </w:rPr>
      </w:pPr>
      <w:r w:rsidRPr="00DE3030">
        <w:rPr>
          <w:b/>
          <w:color w:val="auto"/>
          <w:sz w:val="25"/>
          <w:szCs w:val="25"/>
          <w:lang w:val="ro-MD"/>
        </w:rPr>
        <w:t xml:space="preserve">Director </w:t>
      </w:r>
      <w:r w:rsidR="000A71F2" w:rsidRPr="00DE3030">
        <w:rPr>
          <w:b/>
          <w:color w:val="auto"/>
          <w:sz w:val="25"/>
          <w:szCs w:val="25"/>
          <w:lang w:val="ro-MD"/>
        </w:rPr>
        <w:t>g</w:t>
      </w:r>
      <w:r w:rsidRPr="00DE3030">
        <w:rPr>
          <w:b/>
          <w:color w:val="auto"/>
          <w:sz w:val="25"/>
          <w:szCs w:val="25"/>
          <w:lang w:val="ro-MD"/>
        </w:rPr>
        <w:t xml:space="preserve">eneral </w:t>
      </w:r>
    </w:p>
    <w:p w14:paraId="77BFE68F" w14:textId="77777777" w:rsidR="000A71F2" w:rsidRPr="00DE3030" w:rsidRDefault="001C0082" w:rsidP="00E26282">
      <w:pPr>
        <w:pStyle w:val="Default"/>
        <w:ind w:left="4962" w:right="-284"/>
        <w:jc w:val="right"/>
        <w:rPr>
          <w:b/>
          <w:sz w:val="25"/>
          <w:szCs w:val="25"/>
          <w:lang w:val="ro-MD"/>
        </w:rPr>
      </w:pPr>
      <w:r w:rsidRPr="00DE3030">
        <w:rPr>
          <w:b/>
          <w:color w:val="auto"/>
          <w:sz w:val="25"/>
          <w:szCs w:val="25"/>
          <w:lang w:val="ro-MD"/>
        </w:rPr>
        <w:t>al Agenţiei de Stat</w:t>
      </w:r>
      <w:r w:rsidR="000A71F2" w:rsidRPr="00DE3030">
        <w:rPr>
          <w:b/>
          <w:color w:val="auto"/>
          <w:sz w:val="25"/>
          <w:szCs w:val="25"/>
          <w:lang w:val="ro-MD"/>
        </w:rPr>
        <w:t xml:space="preserve"> </w:t>
      </w:r>
      <w:r w:rsidRPr="00DE3030">
        <w:rPr>
          <w:b/>
          <w:sz w:val="25"/>
          <w:szCs w:val="25"/>
          <w:lang w:val="ro-MD"/>
        </w:rPr>
        <w:t xml:space="preserve">pentru </w:t>
      </w:r>
    </w:p>
    <w:p w14:paraId="6081A8FB" w14:textId="616C5355" w:rsidR="00CD29C6" w:rsidRPr="00DE3030" w:rsidRDefault="001C0082" w:rsidP="00AC3E08">
      <w:pPr>
        <w:pStyle w:val="Default"/>
        <w:ind w:left="4962" w:right="-284"/>
        <w:jc w:val="right"/>
        <w:rPr>
          <w:b/>
          <w:sz w:val="25"/>
          <w:szCs w:val="25"/>
          <w:lang w:val="ro-MD"/>
        </w:rPr>
      </w:pPr>
      <w:r w:rsidRPr="00DE3030">
        <w:rPr>
          <w:b/>
          <w:sz w:val="25"/>
          <w:szCs w:val="25"/>
          <w:lang w:val="ro-MD"/>
        </w:rPr>
        <w:t>Proprietatea Intelectuală</w:t>
      </w:r>
    </w:p>
    <w:sectPr w:rsidR="00CD29C6" w:rsidRPr="00DE3030" w:rsidSect="00073553">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57C6042"/>
    <w:multiLevelType w:val="hybridMultilevel"/>
    <w:tmpl w:val="42DA1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5659"/>
    <w:rsid w:val="000258B5"/>
    <w:rsid w:val="00026ABB"/>
    <w:rsid w:val="0003322B"/>
    <w:rsid w:val="00036674"/>
    <w:rsid w:val="00040FCC"/>
    <w:rsid w:val="000441EE"/>
    <w:rsid w:val="000450C2"/>
    <w:rsid w:val="00051967"/>
    <w:rsid w:val="0005506C"/>
    <w:rsid w:val="000668E1"/>
    <w:rsid w:val="00073553"/>
    <w:rsid w:val="00073617"/>
    <w:rsid w:val="00074457"/>
    <w:rsid w:val="000764D8"/>
    <w:rsid w:val="000879AF"/>
    <w:rsid w:val="00087B43"/>
    <w:rsid w:val="0009250D"/>
    <w:rsid w:val="000A19AD"/>
    <w:rsid w:val="000A640B"/>
    <w:rsid w:val="000A71F2"/>
    <w:rsid w:val="000D2DED"/>
    <w:rsid w:val="000E0EF9"/>
    <w:rsid w:val="000E2FB1"/>
    <w:rsid w:val="000F3A0D"/>
    <w:rsid w:val="0010022C"/>
    <w:rsid w:val="00101337"/>
    <w:rsid w:val="00101D69"/>
    <w:rsid w:val="0011129A"/>
    <w:rsid w:val="0012271C"/>
    <w:rsid w:val="00133F39"/>
    <w:rsid w:val="00140694"/>
    <w:rsid w:val="00141F82"/>
    <w:rsid w:val="00142E5A"/>
    <w:rsid w:val="00146298"/>
    <w:rsid w:val="00155E99"/>
    <w:rsid w:val="00161841"/>
    <w:rsid w:val="001618A9"/>
    <w:rsid w:val="00162582"/>
    <w:rsid w:val="00163900"/>
    <w:rsid w:val="00165A69"/>
    <w:rsid w:val="00172221"/>
    <w:rsid w:val="00185BA8"/>
    <w:rsid w:val="00190D61"/>
    <w:rsid w:val="00197A33"/>
    <w:rsid w:val="001A33CB"/>
    <w:rsid w:val="001B5398"/>
    <w:rsid w:val="001C0082"/>
    <w:rsid w:val="001D3C5D"/>
    <w:rsid w:val="001D4917"/>
    <w:rsid w:val="001E217B"/>
    <w:rsid w:val="001E3F02"/>
    <w:rsid w:val="001E69A7"/>
    <w:rsid w:val="001F15D2"/>
    <w:rsid w:val="002000F3"/>
    <w:rsid w:val="0020040B"/>
    <w:rsid w:val="002149B0"/>
    <w:rsid w:val="00223F8B"/>
    <w:rsid w:val="0023179B"/>
    <w:rsid w:val="002436A5"/>
    <w:rsid w:val="00250C9A"/>
    <w:rsid w:val="00264C3F"/>
    <w:rsid w:val="002712FB"/>
    <w:rsid w:val="00271A31"/>
    <w:rsid w:val="00272EB0"/>
    <w:rsid w:val="002814D4"/>
    <w:rsid w:val="002833E4"/>
    <w:rsid w:val="00290D43"/>
    <w:rsid w:val="00296E35"/>
    <w:rsid w:val="002A2581"/>
    <w:rsid w:val="002A6699"/>
    <w:rsid w:val="002B2B5A"/>
    <w:rsid w:val="002B4267"/>
    <w:rsid w:val="002B4DDC"/>
    <w:rsid w:val="002C4295"/>
    <w:rsid w:val="002C4FD2"/>
    <w:rsid w:val="002C78ED"/>
    <w:rsid w:val="002D57BF"/>
    <w:rsid w:val="002E2418"/>
    <w:rsid w:val="002E7446"/>
    <w:rsid w:val="002F700C"/>
    <w:rsid w:val="00303CEC"/>
    <w:rsid w:val="00304D8B"/>
    <w:rsid w:val="00304F47"/>
    <w:rsid w:val="00311B2A"/>
    <w:rsid w:val="00312872"/>
    <w:rsid w:val="00314420"/>
    <w:rsid w:val="00315F2D"/>
    <w:rsid w:val="003228EF"/>
    <w:rsid w:val="00326C5A"/>
    <w:rsid w:val="00332F4F"/>
    <w:rsid w:val="00343636"/>
    <w:rsid w:val="00346D1F"/>
    <w:rsid w:val="0035045E"/>
    <w:rsid w:val="003614AB"/>
    <w:rsid w:val="00362E4C"/>
    <w:rsid w:val="003740E6"/>
    <w:rsid w:val="0038655D"/>
    <w:rsid w:val="00397551"/>
    <w:rsid w:val="003A18A2"/>
    <w:rsid w:val="003A4BA4"/>
    <w:rsid w:val="003B14DC"/>
    <w:rsid w:val="003B2172"/>
    <w:rsid w:val="003B720F"/>
    <w:rsid w:val="003D073A"/>
    <w:rsid w:val="003D0DC0"/>
    <w:rsid w:val="003D7ECB"/>
    <w:rsid w:val="003E1076"/>
    <w:rsid w:val="003E71A8"/>
    <w:rsid w:val="003E7B07"/>
    <w:rsid w:val="003F78C2"/>
    <w:rsid w:val="003F7E4E"/>
    <w:rsid w:val="00403D1F"/>
    <w:rsid w:val="00405E01"/>
    <w:rsid w:val="00414531"/>
    <w:rsid w:val="004146E7"/>
    <w:rsid w:val="00416E90"/>
    <w:rsid w:val="004259B5"/>
    <w:rsid w:val="00430A68"/>
    <w:rsid w:val="00435489"/>
    <w:rsid w:val="004365BD"/>
    <w:rsid w:val="004375DB"/>
    <w:rsid w:val="0044242C"/>
    <w:rsid w:val="004434DD"/>
    <w:rsid w:val="00443DFF"/>
    <w:rsid w:val="00447FED"/>
    <w:rsid w:val="004513F3"/>
    <w:rsid w:val="004515AC"/>
    <w:rsid w:val="00451D16"/>
    <w:rsid w:val="004673D5"/>
    <w:rsid w:val="00467614"/>
    <w:rsid w:val="00482328"/>
    <w:rsid w:val="00486ABF"/>
    <w:rsid w:val="0049292E"/>
    <w:rsid w:val="004B02DC"/>
    <w:rsid w:val="004B3250"/>
    <w:rsid w:val="004B37DB"/>
    <w:rsid w:val="004B6B41"/>
    <w:rsid w:val="004B7082"/>
    <w:rsid w:val="004C21B8"/>
    <w:rsid w:val="004C23E4"/>
    <w:rsid w:val="004C29D6"/>
    <w:rsid w:val="004C5447"/>
    <w:rsid w:val="004D2268"/>
    <w:rsid w:val="004F181F"/>
    <w:rsid w:val="00514285"/>
    <w:rsid w:val="00520654"/>
    <w:rsid w:val="00520DF8"/>
    <w:rsid w:val="00525978"/>
    <w:rsid w:val="00530258"/>
    <w:rsid w:val="00541361"/>
    <w:rsid w:val="00544B71"/>
    <w:rsid w:val="00551F7A"/>
    <w:rsid w:val="00554771"/>
    <w:rsid w:val="00554FC6"/>
    <w:rsid w:val="00557B87"/>
    <w:rsid w:val="005601FA"/>
    <w:rsid w:val="005612AA"/>
    <w:rsid w:val="0056561C"/>
    <w:rsid w:val="005744F7"/>
    <w:rsid w:val="005753D6"/>
    <w:rsid w:val="00580EFC"/>
    <w:rsid w:val="00585A68"/>
    <w:rsid w:val="00594DB8"/>
    <w:rsid w:val="00594E8A"/>
    <w:rsid w:val="005A2328"/>
    <w:rsid w:val="005B3C16"/>
    <w:rsid w:val="005B57A5"/>
    <w:rsid w:val="005C13A8"/>
    <w:rsid w:val="005C30D4"/>
    <w:rsid w:val="005D222D"/>
    <w:rsid w:val="005D22D2"/>
    <w:rsid w:val="005D2D25"/>
    <w:rsid w:val="005E0C4A"/>
    <w:rsid w:val="005E758F"/>
    <w:rsid w:val="005F5CAF"/>
    <w:rsid w:val="00602785"/>
    <w:rsid w:val="00604420"/>
    <w:rsid w:val="0060604E"/>
    <w:rsid w:val="0061151B"/>
    <w:rsid w:val="00632AC9"/>
    <w:rsid w:val="00632C7A"/>
    <w:rsid w:val="006431F1"/>
    <w:rsid w:val="006442DD"/>
    <w:rsid w:val="00646493"/>
    <w:rsid w:val="0065145A"/>
    <w:rsid w:val="0065238B"/>
    <w:rsid w:val="006667CE"/>
    <w:rsid w:val="006703DB"/>
    <w:rsid w:val="00675C19"/>
    <w:rsid w:val="006964D5"/>
    <w:rsid w:val="006A296B"/>
    <w:rsid w:val="006A2995"/>
    <w:rsid w:val="006A32E7"/>
    <w:rsid w:val="006A3C0C"/>
    <w:rsid w:val="006A451F"/>
    <w:rsid w:val="006B4132"/>
    <w:rsid w:val="006B62EA"/>
    <w:rsid w:val="006C2367"/>
    <w:rsid w:val="006E2A3E"/>
    <w:rsid w:val="006E59F2"/>
    <w:rsid w:val="0070668A"/>
    <w:rsid w:val="00711467"/>
    <w:rsid w:val="00722A23"/>
    <w:rsid w:val="00747117"/>
    <w:rsid w:val="0075178F"/>
    <w:rsid w:val="00752ED0"/>
    <w:rsid w:val="00754305"/>
    <w:rsid w:val="0075442C"/>
    <w:rsid w:val="007554FC"/>
    <w:rsid w:val="00763C0A"/>
    <w:rsid w:val="00763F72"/>
    <w:rsid w:val="00764D22"/>
    <w:rsid w:val="00772CA9"/>
    <w:rsid w:val="00773CAA"/>
    <w:rsid w:val="00786D4E"/>
    <w:rsid w:val="00792DB5"/>
    <w:rsid w:val="00797DDA"/>
    <w:rsid w:val="007A474D"/>
    <w:rsid w:val="007A5D9A"/>
    <w:rsid w:val="007B3DB6"/>
    <w:rsid w:val="007C1151"/>
    <w:rsid w:val="007D5A10"/>
    <w:rsid w:val="007F159A"/>
    <w:rsid w:val="007F24B5"/>
    <w:rsid w:val="007F6FA7"/>
    <w:rsid w:val="00804CFC"/>
    <w:rsid w:val="00812D66"/>
    <w:rsid w:val="00814139"/>
    <w:rsid w:val="00815E3F"/>
    <w:rsid w:val="00824BE9"/>
    <w:rsid w:val="00827DDD"/>
    <w:rsid w:val="008421CA"/>
    <w:rsid w:val="008536E7"/>
    <w:rsid w:val="008731EF"/>
    <w:rsid w:val="00877B36"/>
    <w:rsid w:val="00883F5C"/>
    <w:rsid w:val="00892459"/>
    <w:rsid w:val="00894AD6"/>
    <w:rsid w:val="00896725"/>
    <w:rsid w:val="008A2F5D"/>
    <w:rsid w:val="008A7E97"/>
    <w:rsid w:val="008C3174"/>
    <w:rsid w:val="008C6B3F"/>
    <w:rsid w:val="008D3FC9"/>
    <w:rsid w:val="008D4FEF"/>
    <w:rsid w:val="008D5709"/>
    <w:rsid w:val="008E1173"/>
    <w:rsid w:val="008E1CFF"/>
    <w:rsid w:val="008E4B50"/>
    <w:rsid w:val="008E59B3"/>
    <w:rsid w:val="00901836"/>
    <w:rsid w:val="00910537"/>
    <w:rsid w:val="0091208A"/>
    <w:rsid w:val="00914617"/>
    <w:rsid w:val="00916F99"/>
    <w:rsid w:val="009202A3"/>
    <w:rsid w:val="0092236A"/>
    <w:rsid w:val="00934177"/>
    <w:rsid w:val="00935EE6"/>
    <w:rsid w:val="00941C14"/>
    <w:rsid w:val="00951E78"/>
    <w:rsid w:val="0096679B"/>
    <w:rsid w:val="00974556"/>
    <w:rsid w:val="00984FE1"/>
    <w:rsid w:val="009B5A87"/>
    <w:rsid w:val="009C493E"/>
    <w:rsid w:val="009E3D7D"/>
    <w:rsid w:val="009F1B32"/>
    <w:rsid w:val="00A01A03"/>
    <w:rsid w:val="00A052E4"/>
    <w:rsid w:val="00A15D23"/>
    <w:rsid w:val="00A22879"/>
    <w:rsid w:val="00A22DC0"/>
    <w:rsid w:val="00A34053"/>
    <w:rsid w:val="00A343A5"/>
    <w:rsid w:val="00A35E49"/>
    <w:rsid w:val="00A4103A"/>
    <w:rsid w:val="00A44244"/>
    <w:rsid w:val="00A45C58"/>
    <w:rsid w:val="00A563DE"/>
    <w:rsid w:val="00A655F6"/>
    <w:rsid w:val="00A66E6C"/>
    <w:rsid w:val="00A771A8"/>
    <w:rsid w:val="00A77B4A"/>
    <w:rsid w:val="00A82625"/>
    <w:rsid w:val="00A8330A"/>
    <w:rsid w:val="00A92A00"/>
    <w:rsid w:val="00A9550D"/>
    <w:rsid w:val="00A958B9"/>
    <w:rsid w:val="00AB113B"/>
    <w:rsid w:val="00AB47C7"/>
    <w:rsid w:val="00AC17BC"/>
    <w:rsid w:val="00AC2FAE"/>
    <w:rsid w:val="00AC3E08"/>
    <w:rsid w:val="00AD0395"/>
    <w:rsid w:val="00AD22CD"/>
    <w:rsid w:val="00AD24E7"/>
    <w:rsid w:val="00AE0736"/>
    <w:rsid w:val="00B00DB1"/>
    <w:rsid w:val="00B04376"/>
    <w:rsid w:val="00B12685"/>
    <w:rsid w:val="00B12D5F"/>
    <w:rsid w:val="00B14AC0"/>
    <w:rsid w:val="00B14DD1"/>
    <w:rsid w:val="00B16885"/>
    <w:rsid w:val="00B22E77"/>
    <w:rsid w:val="00B23CBF"/>
    <w:rsid w:val="00B2483E"/>
    <w:rsid w:val="00B32814"/>
    <w:rsid w:val="00B34855"/>
    <w:rsid w:val="00B35DB8"/>
    <w:rsid w:val="00B40A75"/>
    <w:rsid w:val="00B542BC"/>
    <w:rsid w:val="00B575A6"/>
    <w:rsid w:val="00B82DBF"/>
    <w:rsid w:val="00B8589E"/>
    <w:rsid w:val="00B87D91"/>
    <w:rsid w:val="00B92B4E"/>
    <w:rsid w:val="00B96871"/>
    <w:rsid w:val="00BA0F09"/>
    <w:rsid w:val="00BA2B64"/>
    <w:rsid w:val="00BA2DEF"/>
    <w:rsid w:val="00BB1BFF"/>
    <w:rsid w:val="00BB20AA"/>
    <w:rsid w:val="00BB2F7B"/>
    <w:rsid w:val="00BC20CD"/>
    <w:rsid w:val="00BC261F"/>
    <w:rsid w:val="00BC52B9"/>
    <w:rsid w:val="00BD2BBF"/>
    <w:rsid w:val="00BE2625"/>
    <w:rsid w:val="00BF4271"/>
    <w:rsid w:val="00BF4E65"/>
    <w:rsid w:val="00BF520B"/>
    <w:rsid w:val="00C0174F"/>
    <w:rsid w:val="00C07A4A"/>
    <w:rsid w:val="00C118F7"/>
    <w:rsid w:val="00C11C2E"/>
    <w:rsid w:val="00C14F03"/>
    <w:rsid w:val="00C16A85"/>
    <w:rsid w:val="00C17245"/>
    <w:rsid w:val="00C20BB7"/>
    <w:rsid w:val="00C247D1"/>
    <w:rsid w:val="00C24CAC"/>
    <w:rsid w:val="00C25022"/>
    <w:rsid w:val="00C30A61"/>
    <w:rsid w:val="00C41922"/>
    <w:rsid w:val="00C46848"/>
    <w:rsid w:val="00C46A25"/>
    <w:rsid w:val="00C628EE"/>
    <w:rsid w:val="00C63574"/>
    <w:rsid w:val="00C63C6E"/>
    <w:rsid w:val="00C70A1E"/>
    <w:rsid w:val="00C773D9"/>
    <w:rsid w:val="00C813B5"/>
    <w:rsid w:val="00C81912"/>
    <w:rsid w:val="00C8269A"/>
    <w:rsid w:val="00C847D3"/>
    <w:rsid w:val="00C86254"/>
    <w:rsid w:val="00C872DB"/>
    <w:rsid w:val="00C92A67"/>
    <w:rsid w:val="00CA7361"/>
    <w:rsid w:val="00CB1E9A"/>
    <w:rsid w:val="00CB2361"/>
    <w:rsid w:val="00CB36E5"/>
    <w:rsid w:val="00CC1794"/>
    <w:rsid w:val="00CC6376"/>
    <w:rsid w:val="00CD29C6"/>
    <w:rsid w:val="00CD7055"/>
    <w:rsid w:val="00CE116A"/>
    <w:rsid w:val="00CE3D92"/>
    <w:rsid w:val="00CF3114"/>
    <w:rsid w:val="00CF334C"/>
    <w:rsid w:val="00D01861"/>
    <w:rsid w:val="00D041E8"/>
    <w:rsid w:val="00D06220"/>
    <w:rsid w:val="00D07D2F"/>
    <w:rsid w:val="00D10660"/>
    <w:rsid w:val="00D118F3"/>
    <w:rsid w:val="00D13BD3"/>
    <w:rsid w:val="00D20783"/>
    <w:rsid w:val="00D307FB"/>
    <w:rsid w:val="00D34943"/>
    <w:rsid w:val="00D47401"/>
    <w:rsid w:val="00D5575A"/>
    <w:rsid w:val="00D6108E"/>
    <w:rsid w:val="00D70C0A"/>
    <w:rsid w:val="00D81587"/>
    <w:rsid w:val="00D92C21"/>
    <w:rsid w:val="00DA3F6B"/>
    <w:rsid w:val="00DA7CC3"/>
    <w:rsid w:val="00DB6F4A"/>
    <w:rsid w:val="00DC0AFB"/>
    <w:rsid w:val="00DC10C6"/>
    <w:rsid w:val="00DD1728"/>
    <w:rsid w:val="00DD559E"/>
    <w:rsid w:val="00DE3030"/>
    <w:rsid w:val="00DE5963"/>
    <w:rsid w:val="00DE6320"/>
    <w:rsid w:val="00DE7D28"/>
    <w:rsid w:val="00DF1334"/>
    <w:rsid w:val="00DF293D"/>
    <w:rsid w:val="00E02910"/>
    <w:rsid w:val="00E039CF"/>
    <w:rsid w:val="00E03E0E"/>
    <w:rsid w:val="00E1715C"/>
    <w:rsid w:val="00E21635"/>
    <w:rsid w:val="00E227E2"/>
    <w:rsid w:val="00E26282"/>
    <w:rsid w:val="00E43C6B"/>
    <w:rsid w:val="00E46D40"/>
    <w:rsid w:val="00E479C1"/>
    <w:rsid w:val="00E505D0"/>
    <w:rsid w:val="00E5787A"/>
    <w:rsid w:val="00E622B4"/>
    <w:rsid w:val="00E627F9"/>
    <w:rsid w:val="00E82CB9"/>
    <w:rsid w:val="00E93F63"/>
    <w:rsid w:val="00E95B29"/>
    <w:rsid w:val="00EA6A14"/>
    <w:rsid w:val="00EC063F"/>
    <w:rsid w:val="00EC0AA0"/>
    <w:rsid w:val="00EC1B92"/>
    <w:rsid w:val="00EC43B2"/>
    <w:rsid w:val="00ED07B9"/>
    <w:rsid w:val="00ED15F0"/>
    <w:rsid w:val="00ED26B7"/>
    <w:rsid w:val="00ED5FC0"/>
    <w:rsid w:val="00EE2124"/>
    <w:rsid w:val="00EE50C1"/>
    <w:rsid w:val="00EE5A42"/>
    <w:rsid w:val="00EF0366"/>
    <w:rsid w:val="00EF555A"/>
    <w:rsid w:val="00EF5FB1"/>
    <w:rsid w:val="00F0317D"/>
    <w:rsid w:val="00F124F5"/>
    <w:rsid w:val="00F14D1A"/>
    <w:rsid w:val="00F16373"/>
    <w:rsid w:val="00F22D47"/>
    <w:rsid w:val="00F25BBC"/>
    <w:rsid w:val="00F2627E"/>
    <w:rsid w:val="00F2636E"/>
    <w:rsid w:val="00F30947"/>
    <w:rsid w:val="00F42DA6"/>
    <w:rsid w:val="00F444A4"/>
    <w:rsid w:val="00F503C6"/>
    <w:rsid w:val="00F50C49"/>
    <w:rsid w:val="00F52AF7"/>
    <w:rsid w:val="00F52D69"/>
    <w:rsid w:val="00F538D1"/>
    <w:rsid w:val="00F56BAB"/>
    <w:rsid w:val="00F64976"/>
    <w:rsid w:val="00F649C2"/>
    <w:rsid w:val="00F725BF"/>
    <w:rsid w:val="00F75A2E"/>
    <w:rsid w:val="00F75F0F"/>
    <w:rsid w:val="00F83E3C"/>
    <w:rsid w:val="00F855DB"/>
    <w:rsid w:val="00F95FD0"/>
    <w:rsid w:val="00FB5313"/>
    <w:rsid w:val="00FC27C1"/>
    <w:rsid w:val="00FC4342"/>
    <w:rsid w:val="00FD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6320C12F-F4D4-4745-8C07-D6E909C9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385790129">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ep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6B84-CA8B-4586-B30A-3DEE257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corina</dc:creator>
  <cp:lastModifiedBy>Morari Daniela</cp:lastModifiedBy>
  <cp:revision>10</cp:revision>
  <cp:lastPrinted>2020-02-12T09:31:00Z</cp:lastPrinted>
  <dcterms:created xsi:type="dcterms:W3CDTF">2022-06-23T09:49:00Z</dcterms:created>
  <dcterms:modified xsi:type="dcterms:W3CDTF">2022-07-12T12:58:00Z</dcterms:modified>
</cp:coreProperties>
</file>