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A00F40" w:rsidRPr="00A00F40" w:rsidTr="00B1110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00F4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Nota informativă</w:t>
            </w:r>
          </w:p>
          <w:p w:rsidR="00A00F40" w:rsidRPr="00A00F40" w:rsidRDefault="00A00F40" w:rsidP="00A00F40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00F4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la proiectul hotărârii de Guvern cu privire la modificarea</w:t>
            </w:r>
          </w:p>
          <w:p w:rsidR="00A00F40" w:rsidRPr="00A00F40" w:rsidRDefault="00A00F40" w:rsidP="00A00F40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00F4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unor hotărâri ale Guvernului și </w:t>
            </w:r>
            <w:r w:rsidRPr="00A00F40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abrogarea Hotărârii Guvernului nr.177/2010 cu privire la uniforma și însemnele Agenției pentru Supravegherea Tehnică</w:t>
            </w:r>
          </w:p>
          <w:p w:rsidR="00A00F40" w:rsidRPr="00A00F40" w:rsidRDefault="00A00F40" w:rsidP="00A00F40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tabs>
                <w:tab w:val="left" w:pos="9498"/>
              </w:tabs>
              <w:spacing w:after="0" w:line="240" w:lineRule="auto"/>
              <w:ind w:left="135" w:right="191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1.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Denumirea autorului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, după caz, a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participanţilor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la elaborarea proiectului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Prezentul proiect de hotărâre este elaborat de către Ministerul Economiei, în calitate de autoritatea 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competentă, responsabilă de elaborarea și promovarea la nivel de stat a politicii în domeniul securității industriale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  <w:p w:rsidR="00A00F40" w:rsidRPr="00A00F40" w:rsidRDefault="00A00F40" w:rsidP="00A00F40">
            <w:pPr>
              <w:spacing w:after="0" w:line="240" w:lineRule="auto"/>
              <w:ind w:left="135" w:right="191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2.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Condiţiile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ce au impus elaborarea proiectului de act normativ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finalităţile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urmărite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97" w:right="19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</w:pP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Necesitatea elaborării proiectului vine în contextul adoptării Legii nr.151/2022 </w:t>
            </w:r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privind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funcţionarea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în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condiţii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de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sigu</w:t>
            </w:r>
            <w:bookmarkStart w:id="0" w:name="_GoBack"/>
            <w:bookmarkEnd w:id="0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ranţă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a obiectivelor industriale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a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instalaţiilor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tehnice </w:t>
            </w:r>
            <w:proofErr w:type="spellStart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potenţial</w:t>
            </w:r>
            <w:proofErr w:type="spellEnd"/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periculoase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, prin care se abrogă Legea nr.116/2012 privind securitatea industrială a obiectelor industriale periculoase.</w:t>
            </w:r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De asemenea, 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art.29 din Legea nr.151/2022 stabilește că Guvernul, în</w:t>
            </w:r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t</w:t>
            </w: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ermen de 12 luni de la data publicării legi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i,</w:t>
            </w: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va pune în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concordanţă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actele normative în vigoare cu aceasta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</w:t>
            </w:r>
          </w:p>
          <w:p w:rsidR="00A00F40" w:rsidRPr="00A00F40" w:rsidRDefault="00A00F40" w:rsidP="00A00F40">
            <w:pPr>
              <w:spacing w:after="0" w:line="240" w:lineRule="auto"/>
              <w:ind w:left="97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Prin proiectul în cauză se impune modificarea a 8 hotărâri de Guvern 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care au tangentă cu asigurarea implementării prevederilor din Legea nr. 151/2022, și anume: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Hotărârea Guvernului nr.1116/2002 despre aprobarea Regulamentului cu privire la depozitarea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comercializarea cu ridicata, prin sistem automatizat, a produselor petroliere identificate, 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Hotărârea Guvernului nr.130/2014 cu privire la aprobarea Reglementării tehnice ”Mașini industriale”, 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Hotărârea Guvernului nr.1324/2016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pentru aprobarea Reglementării tehnice privind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cerinţele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esenţiale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de securitate ale explozibililor de uz civil, punerea la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dispoziţie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pe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piaţă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controlul explozibililor de uz civil; 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Hotărârii Guvernului nr.506/2017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pentru aprobarea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Cerinţelor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minime de securitate privind exploatarea ascensoarelor; 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Hotărârea Guvernului nr.552/2017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pentru aprobarea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Cerinţelor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minime de securitate privind exploatarea sistemelor de </w:t>
            </w:r>
            <w:proofErr w:type="spellStart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distribuţie</w:t>
            </w:r>
            <w:proofErr w:type="spellEnd"/>
            <w:r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a gazelor combustibile natural;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Hotărârea Guvernului nr.1088/2017 cu privire la organizarea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funcţionarea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Agenţiei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pentru Supraveghere Tehnică;</w:t>
            </w:r>
          </w:p>
          <w:p w:rsidR="00A00F40" w:rsidRPr="00A00F40" w:rsidRDefault="00A00F40" w:rsidP="00A00F4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Hotărârea Guvernului nr.781/2018 cu privire la aprobarea Metodologiei controlului de stat asupra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activităţii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de întreprinzător în baza analizei riscurilor, aferent domeniilor de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competenţă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ale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Agenţiei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pentru Supraveghere Tehnică;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lastRenderedPageBreak/>
              <w:t xml:space="preserve">Hotărârea Guvernului nr.1104/2018 pentru aprobarea Regulamentului privind zonele de 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protecţie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 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reţelelor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de gaze natural.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Urmare a adoptării Legii nr.151/2022 se propune abrogarea Hotărârii de Guvern nr.177/2010 cu privire la uniforma 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însemnele 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Agenţiei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pentru Supraveghere Tehnică, ultima fiind aprobată în vederea aplicării art.18, alin. (7) din Legea nr.116/2012.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Modificarea Hotărârii Guvernului nr.781/2009 </w:t>
            </w:r>
            <w:r w:rsidRPr="00A00F40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cu privire la aprobarea </w:t>
            </w:r>
            <w:r w:rsidRPr="00A00F40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ro-RO" w:eastAsia="en-US"/>
              </w:rPr>
              <w:t xml:space="preserve">Metodologiei controlului de stat asupra </w:t>
            </w:r>
            <w:proofErr w:type="spellStart"/>
            <w:r w:rsidRPr="00A00F40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ro-RO" w:eastAsia="en-US"/>
              </w:rPr>
              <w:t>activităţii</w:t>
            </w:r>
            <w:proofErr w:type="spellEnd"/>
            <w:r w:rsidRPr="00A00F40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ro-RO" w:eastAsia="en-US"/>
              </w:rPr>
              <w:t xml:space="preserve"> de întreprinzător în baza analizei riscurilor, aferent domeniilor de competentă ale </w:t>
            </w:r>
            <w:proofErr w:type="spellStart"/>
            <w:r w:rsidRPr="00A00F40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ro-RO" w:eastAsia="en-US"/>
              </w:rPr>
              <w:t>Agenţiei</w:t>
            </w:r>
            <w:proofErr w:type="spellEnd"/>
            <w:r w:rsidRPr="00A00F40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ro-RO" w:eastAsia="en-US"/>
              </w:rPr>
              <w:t xml:space="preserve"> pentru Supraveghere Tehnică</w:t>
            </w:r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se datorează domeniului diversificat de competență a Agenției, în care politica este promovată de mai multe autorități. Astfel, în domeniul securitatea industrială și supravegherea pieței autoritatea competentă este Ministerul Economiei, în domeniul construcții și urbanism - Ministerul Infrastructurii și Dezvoltării Regionale, iar în domeniile siguranța </w:t>
            </w:r>
            <w:proofErr w:type="spellStart"/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antiincediară</w:t>
            </w:r>
            <w:proofErr w:type="spellEnd"/>
            <w:r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și protecția civilă - Ministerul Afacerilor Interne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În acest context, prin prezentul proiect se urmărește, inclusiv, pentru autorități atribuirea funcțiilor de control asupra exercitării hotărârii în limita competențelor funcționale.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lastRenderedPageBreak/>
              <w:t>3.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Descrierea gradului de compatibilitate pentru proiectele care au ca scop armonizarea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legislaţiei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naţionale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cu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legislaţia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Uniunii Europene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</w:pPr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 xml:space="preserve">Proiectul </w:t>
            </w:r>
            <w:proofErr w:type="spellStart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>hotărâii</w:t>
            </w:r>
            <w:proofErr w:type="spellEnd"/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 xml:space="preserve"> nu conține norme privind armonizarea directă/nemijlocită a legislației naționale cu acte juridice ale Uniunii Europene. </w:t>
            </w:r>
          </w:p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4.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Principalele prevederi ale proiectului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evidențierea elementelor noi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Proiectul are drept scop 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eliminarea normelor care nu se integrează în prevederi ale actelor normative în vigoare și, respectiv,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excluderea divergenților/contradicțiilor între acte normative superioare și secundare în vigoare. Astfel, atunci când nu este în contradicție cu legea nouă, referințele la Legea nr.116/2012 în actele Guvernului se substituie cu referințele la Legea nr.151/2022. 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De asemenea, proiectul prevede intervenția normativă în vederea ajustării terminologiei cu terminologia din Legea nr.151/2022 întru asigurarea aplicării adecvate a cadrului legal în vigoare. 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Pentru a evita lacune legislative, este prevăzut că intrarea în vigoare a proiectului va fi odată cu intrare în vigoare a Legii nr. 151/2022, și anume – 09.06.2023.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5.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Fundamentarea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economico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-financiară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</w:pPr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>Prezentul proiect nu are impact negativ nici asupra mediului de afaceri, nici asupra bugetului de stat.</w:t>
            </w:r>
          </w:p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</w:pP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lastRenderedPageBreak/>
              <w:t>6.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Modul de încorporare a actului în cadrul normativ în vigoare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Implementarea proiectului actului normativ nu presupune modificarea sau abrogarea altor acte normative subsecvente.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7.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Avizarea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şi</w:t>
            </w:r>
            <w:proofErr w:type="spellEnd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 consultarea publică a proiectului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În scopul respectării prevederilor Legii nr. 239-XVI din 13 noiembrie 2008 privind 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transparenţa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în procesul decizional, proiectul a fost plasat pe pagina web oficială a Ministerului Economiei (</w:t>
            </w:r>
            <w:hyperlink r:id="rId5" w:history="1">
              <w:r w:rsidRPr="00A00F40">
                <w:rPr>
                  <w:rFonts w:ascii="Times New Roman" w:eastAsiaTheme="minorHAnsi" w:hAnsi="Times New Roman"/>
                  <w:color w:val="0000FF"/>
                  <w:sz w:val="28"/>
                  <w:szCs w:val="28"/>
                  <w:u w:val="single"/>
                  <w:lang w:val="ro-MD" w:eastAsia="en-US"/>
                </w:rPr>
                <w:t>www.me.gov.md</w:t>
              </w:r>
            </w:hyperlink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), la compartimentul „</w:t>
            </w: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Anunţuri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privind consultările publice” și portalul 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u w:val="single"/>
                <w:lang w:val="ro-MD" w:eastAsia="en-US"/>
              </w:rPr>
              <w:t>particip.gov.md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.</w:t>
            </w:r>
          </w:p>
          <w:p w:rsidR="00A00F40" w:rsidRPr="00A00F40" w:rsidRDefault="00A00F40" w:rsidP="00A00F40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Conform prevederilor art. 32 din Legea nr. 100/2017 cu privire la actele normative proiectul va fi supus avizării și consultării publice, și respectiv, definitivat în conformitate cu avizele părților interesate.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8.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 xml:space="preserve">Constatările expertizei </w:t>
            </w:r>
            <w:proofErr w:type="spellStart"/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anticorupţie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Potrivit Legii integrității nr.82/2017, proiectul definitivat în baza propunerilor și obiecțiilor expuse în procesul de avizare de către părțile interesate va fi supus expertizei anticorupție.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9.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Constatările expertizei de compatibilitate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Proiectul nu va fi supus expertizei de compatibilitate întrucât nu urmărește armonizarea legislației naționale la legislația Uniunii Europene</w:t>
            </w:r>
          </w:p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10.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Constatările expertizei juridice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trHeight w:val="48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Vor fi reflectate în Sinteza obiecțiilor și propunerilor la proiect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MD" w:eastAsia="en-US"/>
              </w:rPr>
              <w:t>11.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Pr="00A00F40">
              <w:rPr>
                <w:rFonts w:ascii="Times New Roman" w:eastAsiaTheme="minorHAnsi" w:hAnsi="Times New Roman"/>
                <w:b/>
                <w:sz w:val="28"/>
                <w:szCs w:val="28"/>
                <w:lang w:val="ro-MD" w:eastAsia="en-US"/>
              </w:rPr>
              <w:t>Constatările altor expertize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A00F40" w:rsidRPr="00A00F40" w:rsidTr="00B1110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0"/>
            </w:tblGrid>
            <w:tr w:rsidR="00A00F40" w:rsidRPr="00A00F40" w:rsidTr="00B11101">
              <w:trPr>
                <w:trHeight w:val="523"/>
              </w:trPr>
              <w:tc>
                <w:tcPr>
                  <w:tcW w:w="0" w:type="auto"/>
                </w:tcPr>
                <w:p w:rsidR="00A00F40" w:rsidRPr="00A00F40" w:rsidRDefault="00A00F40" w:rsidP="00A00F40">
                  <w:pPr>
                    <w:spacing w:after="0" w:line="240" w:lineRule="auto"/>
                    <w:ind w:left="131" w:right="191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ro-RO" w:eastAsia="en-US"/>
                    </w:rPr>
                  </w:pPr>
                  <w:r w:rsidRPr="00A00F40">
                    <w:rPr>
                      <w:rFonts w:ascii="Times New Roman" w:eastAsiaTheme="minorHAnsi" w:hAnsi="Times New Roman"/>
                      <w:sz w:val="28"/>
                      <w:szCs w:val="28"/>
                      <w:lang w:val="en-US" w:eastAsia="en-US"/>
                    </w:rPr>
                    <w:t xml:space="preserve">Proiectul nu </w:t>
                  </w:r>
                  <w:r w:rsidRPr="00A00F40">
                    <w:rPr>
                      <w:rFonts w:ascii="Times New Roman" w:eastAsiaTheme="minorHAnsi" w:hAnsi="Times New Roman"/>
                      <w:sz w:val="28"/>
                      <w:szCs w:val="28"/>
                      <w:lang w:val="ro-RO" w:eastAsia="en-US"/>
                    </w:rPr>
                    <w:t>conține prevederi de reglementare a activității de întreprinzător în contextul Legii nr.235/2006 cu privire la principiile de bază de reglementare a activității de întreprinzător, astfel decăzând necesitatea examinării proiectului de către Grupul de lucru pentru reglementarea activității de întreprinzător.</w:t>
                  </w:r>
                </w:p>
                <w:p w:rsidR="00A00F40" w:rsidRPr="00A00F40" w:rsidRDefault="00A00F40" w:rsidP="00A00F40">
                  <w:pPr>
                    <w:spacing w:after="0" w:line="240" w:lineRule="auto"/>
                    <w:ind w:left="135" w:right="191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</w:tbl>
          <w:p w:rsidR="00A00F40" w:rsidRPr="00A00F40" w:rsidRDefault="00A00F40" w:rsidP="00A00F40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A00F40" w:rsidRPr="00A00F40" w:rsidRDefault="00A00F40" w:rsidP="00A00F40">
      <w:pPr>
        <w:tabs>
          <w:tab w:val="left" w:pos="9498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</w:p>
    <w:p w:rsidR="00A00F40" w:rsidRPr="00A00F40" w:rsidRDefault="00A00F40" w:rsidP="00A00F40">
      <w:pPr>
        <w:tabs>
          <w:tab w:val="left" w:pos="9498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</w:p>
    <w:p w:rsidR="00A00F40" w:rsidRPr="00A00F40" w:rsidRDefault="00A00F40" w:rsidP="00A00F40">
      <w:pPr>
        <w:tabs>
          <w:tab w:val="left" w:pos="9498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</w:p>
    <w:p w:rsidR="00A00F40" w:rsidRPr="00A00F40" w:rsidRDefault="00A00F40" w:rsidP="00A00F40">
      <w:pPr>
        <w:tabs>
          <w:tab w:val="left" w:pos="9498"/>
        </w:tabs>
        <w:ind w:right="191" w:firstLine="90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A00F40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>Ministrul economiei                                                                       Sergiu GAIBU</w:t>
      </w:r>
    </w:p>
    <w:p w:rsidR="00A00F40" w:rsidRDefault="00A00F40"/>
    <w:sectPr w:rsidR="00A00F40" w:rsidSect="004B163F">
      <w:pgSz w:w="12240" w:h="15840"/>
      <w:pgMar w:top="810" w:right="850" w:bottom="99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46376"/>
    <w:multiLevelType w:val="hybridMultilevel"/>
    <w:tmpl w:val="76A88EEA"/>
    <w:lvl w:ilvl="0" w:tplc="5BBE25D2">
      <w:start w:val="2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14"/>
    <w:rsid w:val="00022E9A"/>
    <w:rsid w:val="00035687"/>
    <w:rsid w:val="00041AC2"/>
    <w:rsid w:val="00101A94"/>
    <w:rsid w:val="00115060"/>
    <w:rsid w:val="001D4E9D"/>
    <w:rsid w:val="001F0FB2"/>
    <w:rsid w:val="001F5E40"/>
    <w:rsid w:val="00234EE8"/>
    <w:rsid w:val="0027156A"/>
    <w:rsid w:val="002925EA"/>
    <w:rsid w:val="00317310"/>
    <w:rsid w:val="0040460C"/>
    <w:rsid w:val="0043702A"/>
    <w:rsid w:val="005D0ACE"/>
    <w:rsid w:val="00684496"/>
    <w:rsid w:val="00691EAE"/>
    <w:rsid w:val="0082066E"/>
    <w:rsid w:val="008E28B5"/>
    <w:rsid w:val="00947F14"/>
    <w:rsid w:val="00A00F40"/>
    <w:rsid w:val="00A23F84"/>
    <w:rsid w:val="00B16368"/>
    <w:rsid w:val="00B520B9"/>
    <w:rsid w:val="00BD12AF"/>
    <w:rsid w:val="00C42137"/>
    <w:rsid w:val="00C74CF7"/>
    <w:rsid w:val="00D81341"/>
    <w:rsid w:val="00DA3279"/>
    <w:rsid w:val="00F04669"/>
    <w:rsid w:val="00F3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805F5-760F-4A3C-A1EF-60956F4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67"/>
    <w:rPr>
      <w:rFonts w:eastAsiaTheme="minorEastAsia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6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37B67"/>
    <w:pPr>
      <w:spacing w:after="0" w:line="240" w:lineRule="auto"/>
    </w:pPr>
    <w:rPr>
      <w:rFonts w:eastAsiaTheme="minorEastAsia" w:cs="Times New Roman"/>
      <w:lang w:eastAsia="en-GB"/>
    </w:rPr>
  </w:style>
  <w:style w:type="character" w:styleId="a5">
    <w:name w:val="Hyperlink"/>
    <w:uiPriority w:val="99"/>
    <w:rsid w:val="00F37B67"/>
    <w:rPr>
      <w:color w:val="0000FF"/>
      <w:u w:val="single"/>
    </w:rPr>
  </w:style>
  <w:style w:type="character" w:customStyle="1" w:styleId="docheader">
    <w:name w:val="doc_header"/>
    <w:rsid w:val="00F37B67"/>
    <w:rPr>
      <w:rFonts w:ascii="Times New Roman" w:hAnsi="Times New Roman" w:cs="Times New Roman" w:hint="default"/>
    </w:rPr>
  </w:style>
  <w:style w:type="paragraph" w:customStyle="1" w:styleId="tt">
    <w:name w:val="tt"/>
    <w:basedOn w:val="a"/>
    <w:rsid w:val="00B163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dcterms:created xsi:type="dcterms:W3CDTF">2022-06-23T04:28:00Z</dcterms:created>
  <dcterms:modified xsi:type="dcterms:W3CDTF">2022-08-12T09:40:00Z</dcterms:modified>
</cp:coreProperties>
</file>