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1663" w14:textId="513A9DEE" w:rsidR="00C97546" w:rsidRPr="0071735F" w:rsidRDefault="00955623" w:rsidP="008C2425">
      <w:pPr>
        <w:ind w:firstLine="12"/>
        <w:jc w:val="center"/>
        <w:rPr>
          <w:rFonts w:ascii="Times New Roman" w:hAnsi="Times New Roman" w:cs="Times New Roman"/>
          <w:b/>
          <w:sz w:val="28"/>
          <w:szCs w:val="28"/>
          <w:lang w:val="ro-MD"/>
        </w:rPr>
      </w:pPr>
      <w:r w:rsidRPr="0071735F">
        <w:rPr>
          <w:rFonts w:ascii="Times New Roman" w:hAnsi="Times New Roman" w:cs="Times New Roman"/>
          <w:b/>
          <w:sz w:val="28"/>
          <w:szCs w:val="28"/>
          <w:lang w:val="ro-MD"/>
        </w:rPr>
        <w:t>Proiectul analizei</w:t>
      </w:r>
      <w:r w:rsidR="00367001" w:rsidRPr="0071735F">
        <w:rPr>
          <w:rFonts w:ascii="Times New Roman" w:hAnsi="Times New Roman" w:cs="Times New Roman"/>
          <w:b/>
          <w:sz w:val="28"/>
          <w:szCs w:val="28"/>
          <w:lang w:val="ro-MD"/>
        </w:rPr>
        <w:t xml:space="preserve"> impactului </w:t>
      </w:r>
      <w:r w:rsidR="008C2425" w:rsidRPr="0071735F">
        <w:rPr>
          <w:rFonts w:ascii="Times New Roman" w:hAnsi="Times New Roman" w:cs="Times New Roman"/>
          <w:b/>
          <w:sz w:val="28"/>
          <w:szCs w:val="28"/>
          <w:lang w:val="ro-MD"/>
        </w:rPr>
        <w:br/>
      </w:r>
      <w:r w:rsidR="00A7727D" w:rsidRPr="0071735F">
        <w:rPr>
          <w:rFonts w:ascii="Times New Roman" w:hAnsi="Times New Roman" w:cs="Times New Roman"/>
          <w:b/>
          <w:sz w:val="28"/>
          <w:szCs w:val="28"/>
          <w:lang w:val="ro-MD"/>
        </w:rPr>
        <w:t xml:space="preserve">la proiectul </w:t>
      </w:r>
      <w:r w:rsidR="001E72A0" w:rsidRPr="0071735F">
        <w:rPr>
          <w:rFonts w:ascii="Times New Roman" w:hAnsi="Times New Roman" w:cs="Times New Roman"/>
          <w:b/>
          <w:sz w:val="28"/>
          <w:szCs w:val="28"/>
          <w:lang w:val="ro-MD"/>
        </w:rPr>
        <w:t xml:space="preserve">lege pentru modificarea Legii </w:t>
      </w:r>
      <w:r w:rsidR="005C00E4" w:rsidRPr="0071735F">
        <w:rPr>
          <w:rFonts w:ascii="Times New Roman" w:hAnsi="Times New Roman" w:cs="Times New Roman"/>
          <w:b/>
          <w:sz w:val="28"/>
          <w:szCs w:val="28"/>
          <w:lang w:val="ro-MD"/>
        </w:rPr>
        <w:t>Nr. 139</w:t>
      </w:r>
      <w:r w:rsidR="00D22310">
        <w:rPr>
          <w:rFonts w:ascii="Times New Roman" w:hAnsi="Times New Roman" w:cs="Times New Roman"/>
          <w:b/>
          <w:sz w:val="28"/>
          <w:szCs w:val="28"/>
          <w:lang w:val="ro-MD"/>
        </w:rPr>
        <w:t>/</w:t>
      </w:r>
      <w:r w:rsidR="005C00E4" w:rsidRPr="0071735F">
        <w:rPr>
          <w:rFonts w:ascii="Times New Roman" w:hAnsi="Times New Roman" w:cs="Times New Roman"/>
          <w:b/>
          <w:sz w:val="28"/>
          <w:szCs w:val="28"/>
          <w:lang w:val="ro-MD"/>
        </w:rPr>
        <w:t xml:space="preserve">2018 </w:t>
      </w:r>
      <w:r w:rsidR="008C2425" w:rsidRPr="0071735F">
        <w:rPr>
          <w:rFonts w:ascii="Times New Roman" w:hAnsi="Times New Roman" w:cs="Times New Roman"/>
          <w:b/>
          <w:sz w:val="28"/>
          <w:szCs w:val="28"/>
          <w:lang w:val="ro-MD"/>
        </w:rPr>
        <w:br/>
      </w:r>
      <w:r w:rsidR="005C00E4" w:rsidRPr="0071735F">
        <w:rPr>
          <w:rFonts w:ascii="Times New Roman" w:hAnsi="Times New Roman" w:cs="Times New Roman"/>
          <w:b/>
          <w:sz w:val="28"/>
          <w:szCs w:val="28"/>
          <w:lang w:val="ro-MD"/>
        </w:rPr>
        <w:t>cu privire la eficiența energetică</w:t>
      </w:r>
    </w:p>
    <w:tbl>
      <w:tblPr>
        <w:tblW w:w="4903" w:type="pct"/>
        <w:jc w:val="center"/>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2"/>
        <w:gridCol w:w="5638"/>
      </w:tblGrid>
      <w:tr w:rsidR="00B468B6" w:rsidRPr="00D22310" w14:paraId="070D2C5A" w14:textId="77777777" w:rsidTr="00125D3C">
        <w:trPr>
          <w:trHeight w:val="717"/>
          <w:jc w:val="center"/>
        </w:trPr>
        <w:tc>
          <w:tcPr>
            <w:tcW w:w="2017" w:type="pct"/>
            <w:tcMar>
              <w:top w:w="15" w:type="dxa"/>
              <w:left w:w="45" w:type="dxa"/>
              <w:bottom w:w="15" w:type="dxa"/>
              <w:right w:w="45" w:type="dxa"/>
            </w:tcMar>
            <w:hideMark/>
          </w:tcPr>
          <w:p w14:paraId="15658B0A" w14:textId="77777777" w:rsidR="00C97546" w:rsidRPr="0071735F" w:rsidRDefault="00C97546"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bCs/>
                <w:sz w:val="24"/>
                <w:szCs w:val="24"/>
                <w:lang w:val="ro-MD" w:eastAsia="ro-RO"/>
              </w:rPr>
              <w:t>Titlul analizei impactului</w:t>
            </w:r>
            <w:r w:rsidRPr="0071735F">
              <w:rPr>
                <w:rFonts w:ascii="Times New Roman" w:eastAsia="Times New Roman" w:hAnsi="Times New Roman" w:cs="Times New Roman"/>
                <w:b/>
                <w:bCs/>
                <w:sz w:val="24"/>
                <w:szCs w:val="24"/>
                <w:lang w:val="ro-MD" w:eastAsia="ro-RO"/>
              </w:rPr>
              <w:br/>
            </w:r>
          </w:p>
        </w:tc>
        <w:tc>
          <w:tcPr>
            <w:tcW w:w="2983" w:type="pct"/>
            <w:tcMar>
              <w:top w:w="15" w:type="dxa"/>
              <w:left w:w="45" w:type="dxa"/>
              <w:bottom w:w="15" w:type="dxa"/>
              <w:right w:w="45" w:type="dxa"/>
            </w:tcMar>
            <w:hideMark/>
          </w:tcPr>
          <w:p w14:paraId="7393C583" w14:textId="0A409EF2" w:rsidR="00C97546" w:rsidRPr="0071735F" w:rsidRDefault="009B7CA6" w:rsidP="008C2425">
            <w:pPr>
              <w:spacing w:after="60"/>
              <w:jc w:val="both"/>
              <w:rPr>
                <w:rFonts w:ascii="Times New Roman" w:eastAsia="Times New Roman" w:hAnsi="Times New Roman" w:cs="Times New Roman"/>
                <w:bCs/>
                <w:sz w:val="24"/>
                <w:szCs w:val="24"/>
                <w:lang w:val="ro-MD"/>
              </w:rPr>
            </w:pPr>
            <w:r w:rsidRPr="0071735F">
              <w:rPr>
                <w:rFonts w:ascii="Times New Roman" w:eastAsia="Times New Roman" w:hAnsi="Times New Roman" w:cs="Times New Roman"/>
                <w:bCs/>
                <w:sz w:val="24"/>
                <w:szCs w:val="24"/>
                <w:lang w:val="ro-MD"/>
              </w:rPr>
              <w:t xml:space="preserve">Analiza impactului </w:t>
            </w:r>
            <w:r w:rsidR="00A06851" w:rsidRPr="0071735F">
              <w:rPr>
                <w:rFonts w:ascii="Times New Roman" w:eastAsia="Times New Roman" w:hAnsi="Times New Roman" w:cs="Times New Roman"/>
                <w:bCs/>
                <w:sz w:val="24"/>
                <w:szCs w:val="24"/>
                <w:lang w:val="ro-MD"/>
              </w:rPr>
              <w:t xml:space="preserve">la </w:t>
            </w:r>
            <w:r w:rsidR="008C2425" w:rsidRPr="0071735F">
              <w:rPr>
                <w:rFonts w:ascii="Times New Roman" w:eastAsia="Times New Roman" w:hAnsi="Times New Roman" w:cs="Times New Roman"/>
                <w:bCs/>
                <w:sz w:val="24"/>
                <w:szCs w:val="24"/>
                <w:lang w:val="ro-MD"/>
              </w:rPr>
              <w:t>Proiectul analizei impactului la proiectul lege pentru modificarea Legii Nr. 139</w:t>
            </w:r>
            <w:r w:rsidR="00D22310">
              <w:rPr>
                <w:rFonts w:ascii="Times New Roman" w:eastAsia="Times New Roman" w:hAnsi="Times New Roman" w:cs="Times New Roman"/>
                <w:bCs/>
                <w:sz w:val="24"/>
                <w:szCs w:val="24"/>
                <w:lang w:val="ro-MD"/>
              </w:rPr>
              <w:t>/</w:t>
            </w:r>
            <w:r w:rsidR="008C2425" w:rsidRPr="0071735F">
              <w:rPr>
                <w:rFonts w:ascii="Times New Roman" w:eastAsia="Times New Roman" w:hAnsi="Times New Roman" w:cs="Times New Roman"/>
                <w:bCs/>
                <w:sz w:val="24"/>
                <w:szCs w:val="24"/>
                <w:lang w:val="ro-MD"/>
              </w:rPr>
              <w:t>2018 cu privire la eficiența energetică</w:t>
            </w:r>
          </w:p>
        </w:tc>
      </w:tr>
      <w:tr w:rsidR="00B468B6" w:rsidRPr="0071735F" w14:paraId="7D124A04" w14:textId="77777777" w:rsidTr="00125D3C">
        <w:trPr>
          <w:jc w:val="center"/>
        </w:trPr>
        <w:tc>
          <w:tcPr>
            <w:tcW w:w="2017" w:type="pct"/>
            <w:tcMar>
              <w:top w:w="15" w:type="dxa"/>
              <w:left w:w="45" w:type="dxa"/>
              <w:bottom w:w="15" w:type="dxa"/>
              <w:right w:w="45" w:type="dxa"/>
            </w:tcMar>
            <w:hideMark/>
          </w:tcPr>
          <w:p w14:paraId="1F6B329E" w14:textId="77777777" w:rsidR="00C97546" w:rsidRPr="0071735F" w:rsidRDefault="00C97546"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bCs/>
                <w:sz w:val="24"/>
                <w:szCs w:val="24"/>
                <w:lang w:val="ro-MD" w:eastAsia="ro-RO"/>
              </w:rPr>
              <w:t>Data:</w:t>
            </w:r>
          </w:p>
        </w:tc>
        <w:tc>
          <w:tcPr>
            <w:tcW w:w="2983" w:type="pct"/>
            <w:tcMar>
              <w:top w:w="15" w:type="dxa"/>
              <w:left w:w="45" w:type="dxa"/>
              <w:bottom w:w="15" w:type="dxa"/>
              <w:right w:w="45" w:type="dxa"/>
            </w:tcMar>
            <w:hideMark/>
          </w:tcPr>
          <w:p w14:paraId="6E819A88" w14:textId="13DC4918" w:rsidR="00C97546" w:rsidRPr="0071735F" w:rsidRDefault="00D22310" w:rsidP="007D7BBD">
            <w:pPr>
              <w:spacing w:after="60"/>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14.09.2022</w:t>
            </w:r>
          </w:p>
        </w:tc>
      </w:tr>
      <w:tr w:rsidR="00B468B6" w:rsidRPr="00D22310" w14:paraId="1A8FED75" w14:textId="77777777" w:rsidTr="00125D3C">
        <w:trPr>
          <w:jc w:val="center"/>
        </w:trPr>
        <w:tc>
          <w:tcPr>
            <w:tcW w:w="2017" w:type="pct"/>
            <w:tcMar>
              <w:top w:w="15" w:type="dxa"/>
              <w:left w:w="45" w:type="dxa"/>
              <w:bottom w:w="15" w:type="dxa"/>
              <w:right w:w="45" w:type="dxa"/>
            </w:tcMar>
            <w:hideMark/>
          </w:tcPr>
          <w:p w14:paraId="41AE69F9" w14:textId="77777777" w:rsidR="00C97546" w:rsidRPr="0071735F" w:rsidRDefault="00C97546"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bCs/>
                <w:sz w:val="24"/>
                <w:szCs w:val="24"/>
                <w:lang w:val="ro-MD" w:eastAsia="ro-RO"/>
              </w:rPr>
              <w:t>Autoritatea administra</w:t>
            </w:r>
            <w:r w:rsidR="005F25AA" w:rsidRPr="0071735F">
              <w:rPr>
                <w:rFonts w:ascii="Times New Roman" w:eastAsia="Times New Roman" w:hAnsi="Times New Roman" w:cs="Times New Roman"/>
                <w:b/>
                <w:bCs/>
                <w:sz w:val="24"/>
                <w:szCs w:val="24"/>
                <w:lang w:val="ro-MD" w:eastAsia="ro-RO"/>
              </w:rPr>
              <w:t>ț</w:t>
            </w:r>
            <w:r w:rsidRPr="0071735F">
              <w:rPr>
                <w:rFonts w:ascii="Times New Roman" w:eastAsia="Times New Roman" w:hAnsi="Times New Roman" w:cs="Times New Roman"/>
                <w:b/>
                <w:bCs/>
                <w:sz w:val="24"/>
                <w:szCs w:val="24"/>
                <w:lang w:val="ro-MD" w:eastAsia="ro-RO"/>
              </w:rPr>
              <w:t xml:space="preserve">iei publice </w:t>
            </w:r>
            <w:r w:rsidR="00C02470" w:rsidRPr="0071735F">
              <w:rPr>
                <w:rFonts w:ascii="Times New Roman" w:eastAsia="Times New Roman" w:hAnsi="Times New Roman" w:cs="Times New Roman"/>
                <w:b/>
                <w:bCs/>
                <w:sz w:val="24"/>
                <w:szCs w:val="24"/>
                <w:lang w:val="ro-MD" w:eastAsia="ro-RO"/>
              </w:rPr>
              <w:t>(</w:t>
            </w:r>
            <w:r w:rsidRPr="0071735F">
              <w:rPr>
                <w:rFonts w:ascii="Times New Roman" w:eastAsia="Times New Roman" w:hAnsi="Times New Roman" w:cs="Times New Roman"/>
                <w:b/>
                <w:bCs/>
                <w:sz w:val="24"/>
                <w:szCs w:val="24"/>
                <w:lang w:val="ro-MD" w:eastAsia="ro-RO"/>
              </w:rPr>
              <w:t>autor</w:t>
            </w:r>
            <w:r w:rsidR="00C02470" w:rsidRPr="0071735F">
              <w:rPr>
                <w:rFonts w:ascii="Times New Roman" w:eastAsia="Times New Roman" w:hAnsi="Times New Roman" w:cs="Times New Roman"/>
                <w:b/>
                <w:bCs/>
                <w:sz w:val="24"/>
                <w:szCs w:val="24"/>
                <w:lang w:val="ro-MD" w:eastAsia="ro-RO"/>
              </w:rPr>
              <w:t>)</w:t>
            </w:r>
            <w:r w:rsidRPr="0071735F">
              <w:rPr>
                <w:rFonts w:ascii="Times New Roman" w:eastAsia="Times New Roman" w:hAnsi="Times New Roman" w:cs="Times New Roman"/>
                <w:b/>
                <w:bCs/>
                <w:sz w:val="24"/>
                <w:szCs w:val="24"/>
                <w:lang w:val="ro-MD" w:eastAsia="ro-RO"/>
              </w:rPr>
              <w:t>:</w:t>
            </w:r>
          </w:p>
        </w:tc>
        <w:tc>
          <w:tcPr>
            <w:tcW w:w="2983" w:type="pct"/>
            <w:tcMar>
              <w:top w:w="15" w:type="dxa"/>
              <w:left w:w="45" w:type="dxa"/>
              <w:bottom w:w="15" w:type="dxa"/>
              <w:right w:w="45" w:type="dxa"/>
            </w:tcMar>
            <w:hideMark/>
          </w:tcPr>
          <w:p w14:paraId="5B244C4C" w14:textId="679A6ABF" w:rsidR="00C97546" w:rsidRPr="0071735F" w:rsidRDefault="00242D60" w:rsidP="00C64DFB">
            <w:pPr>
              <w:spacing w:before="120"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 xml:space="preserve">Ministerul </w:t>
            </w:r>
            <w:r w:rsidR="004B7B4E" w:rsidRPr="0071735F">
              <w:rPr>
                <w:rFonts w:ascii="Times New Roman" w:eastAsia="Times New Roman" w:hAnsi="Times New Roman" w:cs="Times New Roman"/>
                <w:sz w:val="24"/>
                <w:szCs w:val="24"/>
                <w:lang w:val="ro-MD" w:eastAsia="ro-RO"/>
              </w:rPr>
              <w:t>I</w:t>
            </w:r>
            <w:r w:rsidR="005D29D0" w:rsidRPr="0071735F">
              <w:rPr>
                <w:rFonts w:ascii="Times New Roman" w:eastAsia="Times New Roman" w:hAnsi="Times New Roman" w:cs="Times New Roman"/>
                <w:sz w:val="24"/>
                <w:szCs w:val="24"/>
                <w:lang w:val="ro-MD" w:eastAsia="ro-RO"/>
              </w:rPr>
              <w:t>nfrastructurii</w:t>
            </w:r>
            <w:r w:rsidR="00C64DFB" w:rsidRPr="0071735F">
              <w:rPr>
                <w:rFonts w:ascii="Times New Roman" w:eastAsia="Times New Roman" w:hAnsi="Times New Roman" w:cs="Times New Roman"/>
                <w:sz w:val="24"/>
                <w:szCs w:val="24"/>
                <w:lang w:val="ro-MD" w:eastAsia="ro-RO"/>
              </w:rPr>
              <w:t xml:space="preserve"> și Dezvoltării Regionale</w:t>
            </w:r>
          </w:p>
        </w:tc>
      </w:tr>
      <w:tr w:rsidR="00B468B6" w:rsidRPr="00D22310" w14:paraId="4B3EF8FC" w14:textId="77777777" w:rsidTr="00125D3C">
        <w:trPr>
          <w:jc w:val="center"/>
        </w:trPr>
        <w:tc>
          <w:tcPr>
            <w:tcW w:w="2017" w:type="pct"/>
            <w:tcMar>
              <w:top w:w="15" w:type="dxa"/>
              <w:left w:w="45" w:type="dxa"/>
              <w:bottom w:w="15" w:type="dxa"/>
              <w:right w:w="45" w:type="dxa"/>
            </w:tcMar>
            <w:hideMark/>
          </w:tcPr>
          <w:p w14:paraId="1E955FEC" w14:textId="77777777" w:rsidR="00C97546" w:rsidRPr="0071735F" w:rsidRDefault="00C97546"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bCs/>
                <w:sz w:val="24"/>
                <w:szCs w:val="24"/>
                <w:lang w:val="ro-MD" w:eastAsia="ro-RO"/>
              </w:rPr>
              <w:t>Subdiviziunea:</w:t>
            </w:r>
          </w:p>
        </w:tc>
        <w:tc>
          <w:tcPr>
            <w:tcW w:w="2983" w:type="pct"/>
            <w:tcMar>
              <w:top w:w="15" w:type="dxa"/>
              <w:left w:w="45" w:type="dxa"/>
              <w:bottom w:w="15" w:type="dxa"/>
              <w:right w:w="45" w:type="dxa"/>
            </w:tcMar>
            <w:hideMark/>
          </w:tcPr>
          <w:p w14:paraId="638D9FF9" w14:textId="77777777" w:rsidR="00C97546" w:rsidRPr="0071735F" w:rsidRDefault="004B7B4E"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Direcția politici în domeniul energetic</w:t>
            </w:r>
          </w:p>
        </w:tc>
      </w:tr>
      <w:tr w:rsidR="00B468B6" w:rsidRPr="00D22310" w14:paraId="1FF01DB8" w14:textId="77777777" w:rsidTr="00125D3C">
        <w:trPr>
          <w:jc w:val="center"/>
        </w:trPr>
        <w:tc>
          <w:tcPr>
            <w:tcW w:w="2017" w:type="pct"/>
            <w:tcMar>
              <w:top w:w="15" w:type="dxa"/>
              <w:left w:w="45" w:type="dxa"/>
              <w:bottom w:w="15" w:type="dxa"/>
              <w:right w:w="45" w:type="dxa"/>
            </w:tcMar>
            <w:hideMark/>
          </w:tcPr>
          <w:p w14:paraId="49E2BA1B" w14:textId="4A6211E2" w:rsidR="00C97546" w:rsidRPr="0071735F" w:rsidRDefault="00C97546" w:rsidP="00DA5F81">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bCs/>
                <w:sz w:val="24"/>
                <w:szCs w:val="24"/>
                <w:lang w:val="ro-MD" w:eastAsia="ro-RO"/>
              </w:rPr>
              <w:t xml:space="preserve">Persoana responsabilă </w:t>
            </w:r>
            <w:r w:rsidR="00561773" w:rsidRPr="0071735F">
              <w:rPr>
                <w:rFonts w:ascii="Times New Roman" w:eastAsia="Times New Roman" w:hAnsi="Times New Roman" w:cs="Times New Roman"/>
                <w:b/>
                <w:bCs/>
                <w:sz w:val="24"/>
                <w:szCs w:val="24"/>
                <w:lang w:val="ro-MD" w:eastAsia="ro-RO"/>
              </w:rPr>
              <w:t>și</w:t>
            </w:r>
            <w:r w:rsidRPr="0071735F">
              <w:rPr>
                <w:rFonts w:ascii="Times New Roman" w:eastAsia="Times New Roman" w:hAnsi="Times New Roman" w:cs="Times New Roman"/>
                <w:b/>
                <w:bCs/>
                <w:sz w:val="24"/>
                <w:szCs w:val="24"/>
                <w:lang w:val="ro-MD" w:eastAsia="ro-RO"/>
              </w:rPr>
              <w:t xml:space="preserve"> </w:t>
            </w:r>
            <w:r w:rsidR="00C02470" w:rsidRPr="0071735F">
              <w:rPr>
                <w:rFonts w:ascii="Times New Roman" w:eastAsia="Times New Roman" w:hAnsi="Times New Roman" w:cs="Times New Roman"/>
                <w:b/>
                <w:bCs/>
                <w:sz w:val="24"/>
                <w:szCs w:val="24"/>
                <w:lang w:val="ro-MD" w:eastAsia="ro-RO"/>
              </w:rPr>
              <w:t xml:space="preserve">datele </w:t>
            </w:r>
            <w:r w:rsidRPr="0071735F">
              <w:rPr>
                <w:rFonts w:ascii="Times New Roman" w:eastAsia="Times New Roman" w:hAnsi="Times New Roman" w:cs="Times New Roman"/>
                <w:b/>
                <w:bCs/>
                <w:sz w:val="24"/>
                <w:szCs w:val="24"/>
                <w:lang w:val="ro-MD" w:eastAsia="ro-RO"/>
              </w:rPr>
              <w:t>de contact:</w:t>
            </w:r>
          </w:p>
        </w:tc>
        <w:tc>
          <w:tcPr>
            <w:tcW w:w="2983" w:type="pct"/>
            <w:tcMar>
              <w:top w:w="15" w:type="dxa"/>
              <w:left w:w="45" w:type="dxa"/>
              <w:bottom w:w="15" w:type="dxa"/>
              <w:right w:w="45" w:type="dxa"/>
            </w:tcMar>
            <w:hideMark/>
          </w:tcPr>
          <w:p w14:paraId="621E6F11" w14:textId="632B3FEC" w:rsidR="00842A0D" w:rsidRPr="0071735F" w:rsidRDefault="00C64DFB" w:rsidP="00842A0D">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Nicolae M</w:t>
            </w:r>
            <w:r w:rsidR="00D22310" w:rsidRPr="0071735F">
              <w:rPr>
                <w:rFonts w:ascii="Times New Roman" w:eastAsia="Times New Roman" w:hAnsi="Times New Roman" w:cs="Times New Roman"/>
                <w:sz w:val="24"/>
                <w:szCs w:val="24"/>
                <w:lang w:val="ro-MD" w:eastAsia="ro-RO"/>
              </w:rPr>
              <w:t>AGDÎL</w:t>
            </w:r>
          </w:p>
          <w:p w14:paraId="4497C468" w14:textId="63E4974F" w:rsidR="00842A0D" w:rsidRPr="0071735F" w:rsidRDefault="0005732C" w:rsidP="00842A0D">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Șef adjunct</w:t>
            </w:r>
          </w:p>
          <w:p w14:paraId="0D5697EF" w14:textId="3678EABC" w:rsidR="00842A0D" w:rsidRPr="0071735F" w:rsidRDefault="00C64DFB" w:rsidP="00842A0D">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tel.: (+373 22) 250-685</w:t>
            </w:r>
          </w:p>
          <w:p w14:paraId="1A0A807E" w14:textId="015722E5" w:rsidR="004A3FA0" w:rsidRPr="0071735F" w:rsidRDefault="00C64DFB" w:rsidP="00C64DFB">
            <w:pPr>
              <w:spacing w:after="6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e-mail: nicolae.magdil@m</w:t>
            </w:r>
            <w:r w:rsidR="00842A0D" w:rsidRPr="0071735F">
              <w:rPr>
                <w:rFonts w:ascii="Times New Roman" w:eastAsia="Times New Roman" w:hAnsi="Times New Roman" w:cs="Times New Roman"/>
                <w:sz w:val="24"/>
                <w:szCs w:val="24"/>
                <w:lang w:val="ro-MD" w:eastAsia="ro-RO"/>
              </w:rPr>
              <w:t>i</w:t>
            </w:r>
            <w:r w:rsidRPr="0071735F">
              <w:rPr>
                <w:rFonts w:ascii="Times New Roman" w:eastAsia="Times New Roman" w:hAnsi="Times New Roman" w:cs="Times New Roman"/>
                <w:sz w:val="24"/>
                <w:szCs w:val="24"/>
                <w:lang w:val="ro-MD" w:eastAsia="ro-RO"/>
              </w:rPr>
              <w:t>dr</w:t>
            </w:r>
            <w:r w:rsidR="00842A0D" w:rsidRPr="0071735F">
              <w:rPr>
                <w:rFonts w:ascii="Times New Roman" w:eastAsia="Times New Roman" w:hAnsi="Times New Roman" w:cs="Times New Roman"/>
                <w:sz w:val="24"/>
                <w:szCs w:val="24"/>
                <w:lang w:val="ro-MD" w:eastAsia="ro-RO"/>
              </w:rPr>
              <w:t>.gov.md.</w:t>
            </w:r>
          </w:p>
        </w:tc>
      </w:tr>
      <w:tr w:rsidR="00B468B6" w:rsidRPr="0071735F" w14:paraId="76864DEC" w14:textId="77777777" w:rsidTr="00125D3C">
        <w:trPr>
          <w:trHeight w:val="267"/>
          <w:jc w:val="center"/>
        </w:trPr>
        <w:tc>
          <w:tcPr>
            <w:tcW w:w="5000" w:type="pct"/>
            <w:gridSpan w:val="2"/>
            <w:tcMar>
              <w:top w:w="15" w:type="dxa"/>
              <w:left w:w="45" w:type="dxa"/>
              <w:bottom w:w="15" w:type="dxa"/>
              <w:right w:w="45" w:type="dxa"/>
            </w:tcMar>
          </w:tcPr>
          <w:p w14:paraId="0AFBBCCA" w14:textId="0168A220" w:rsidR="00E775BD" w:rsidRPr="0071735F" w:rsidRDefault="00E775BD" w:rsidP="00DA5F81">
            <w:pPr>
              <w:spacing w:before="240" w:after="240"/>
              <w:rPr>
                <w:rFonts w:ascii="Times New Roman" w:eastAsia="Times New Roman" w:hAnsi="Times New Roman" w:cs="Times New Roman"/>
                <w:b/>
                <w:bCs/>
                <w:sz w:val="24"/>
                <w:szCs w:val="24"/>
                <w:lang w:val="ro-MD" w:eastAsia="ro-RO"/>
              </w:rPr>
            </w:pPr>
            <w:r w:rsidRPr="0071735F">
              <w:rPr>
                <w:rFonts w:ascii="Times New Roman" w:eastAsia="Times New Roman" w:hAnsi="Times New Roman" w:cs="Times New Roman"/>
                <w:b/>
                <w:bCs/>
                <w:sz w:val="24"/>
                <w:szCs w:val="24"/>
                <w:lang w:val="ro-MD" w:eastAsia="ro-RO"/>
              </w:rPr>
              <w:t xml:space="preserve">Compartimentele analizei impactului </w:t>
            </w:r>
          </w:p>
        </w:tc>
      </w:tr>
      <w:tr w:rsidR="00B468B6" w:rsidRPr="0071735F" w14:paraId="497AC62E" w14:textId="77777777" w:rsidTr="00125D3C">
        <w:trPr>
          <w:jc w:val="center"/>
        </w:trPr>
        <w:tc>
          <w:tcPr>
            <w:tcW w:w="5000" w:type="pct"/>
            <w:gridSpan w:val="2"/>
            <w:shd w:val="clear" w:color="auto" w:fill="auto"/>
            <w:tcMar>
              <w:top w:w="15" w:type="dxa"/>
              <w:left w:w="45" w:type="dxa"/>
              <w:bottom w:w="15" w:type="dxa"/>
              <w:right w:w="45" w:type="dxa"/>
            </w:tcMar>
          </w:tcPr>
          <w:p w14:paraId="3083C073" w14:textId="1EF0592F" w:rsidR="004B5182" w:rsidRPr="0071735F" w:rsidRDefault="00B468B6" w:rsidP="00DA5F81">
            <w:pPr>
              <w:spacing w:before="60" w:after="60"/>
              <w:jc w:val="both"/>
              <w:rPr>
                <w:rFonts w:ascii="Times New Roman" w:eastAsia="Times New Roman" w:hAnsi="Times New Roman" w:cs="Times New Roman"/>
                <w:b/>
                <w:sz w:val="24"/>
                <w:szCs w:val="24"/>
                <w:lang w:val="ro-MD" w:eastAsia="ro-RO"/>
              </w:rPr>
            </w:pPr>
            <w:r w:rsidRPr="0071735F">
              <w:rPr>
                <w:rFonts w:ascii="Times New Roman" w:eastAsia="Times New Roman" w:hAnsi="Times New Roman" w:cs="Times New Roman"/>
                <w:b/>
                <w:bCs/>
                <w:sz w:val="24"/>
                <w:szCs w:val="24"/>
                <w:lang w:val="ro-MD" w:eastAsia="ro-RO"/>
              </w:rPr>
              <w:t>1. DEFINIREA PROBLEMEI</w:t>
            </w:r>
          </w:p>
        </w:tc>
      </w:tr>
      <w:tr w:rsidR="00B468B6" w:rsidRPr="0071735F" w14:paraId="7134B673" w14:textId="77777777" w:rsidTr="00125D3C">
        <w:trPr>
          <w:jc w:val="center"/>
        </w:trPr>
        <w:tc>
          <w:tcPr>
            <w:tcW w:w="5000" w:type="pct"/>
            <w:gridSpan w:val="2"/>
            <w:shd w:val="clear" w:color="auto" w:fill="auto"/>
            <w:tcMar>
              <w:top w:w="15" w:type="dxa"/>
              <w:left w:w="45" w:type="dxa"/>
              <w:bottom w:w="15" w:type="dxa"/>
              <w:right w:w="45" w:type="dxa"/>
            </w:tcMar>
          </w:tcPr>
          <w:p w14:paraId="0611BAB7" w14:textId="4B980F76" w:rsidR="004B5182" w:rsidRPr="0071735F" w:rsidRDefault="004B5182" w:rsidP="00DA5F81">
            <w:pPr>
              <w:spacing w:before="60" w:after="60"/>
              <w:jc w:val="both"/>
              <w:rPr>
                <w:rFonts w:ascii="Times New Roman" w:eastAsia="Times New Roman" w:hAnsi="Times New Roman" w:cs="Times New Roman"/>
                <w:b/>
                <w:sz w:val="24"/>
                <w:szCs w:val="24"/>
                <w:lang w:val="ro-MD" w:eastAsia="ru-RU"/>
              </w:rPr>
            </w:pPr>
            <w:r w:rsidRPr="0071735F">
              <w:rPr>
                <w:rFonts w:ascii="Times New Roman" w:eastAsia="Calibri" w:hAnsi="Times New Roman" w:cs="Times New Roman"/>
                <w:b/>
                <w:sz w:val="24"/>
                <w:szCs w:val="24"/>
                <w:lang w:val="ro-MD" w:eastAsia="en-GB"/>
              </w:rPr>
              <w:t xml:space="preserve">a) </w:t>
            </w:r>
            <w:r w:rsidR="00561773" w:rsidRPr="0071735F">
              <w:rPr>
                <w:rFonts w:ascii="Times New Roman" w:eastAsia="Times New Roman" w:hAnsi="Times New Roman" w:cs="Times New Roman"/>
                <w:b/>
                <w:sz w:val="24"/>
                <w:szCs w:val="24"/>
                <w:lang w:val="ro-MD" w:eastAsia="ru-RU"/>
              </w:rPr>
              <w:t>Determinați</w:t>
            </w:r>
            <w:r w:rsidRPr="0071735F">
              <w:rPr>
                <w:rFonts w:ascii="Times New Roman" w:eastAsia="Times New Roman" w:hAnsi="Times New Roman" w:cs="Times New Roman"/>
                <w:b/>
                <w:sz w:val="24"/>
                <w:szCs w:val="24"/>
                <w:lang w:val="ro-MD" w:eastAsia="ru-RU"/>
              </w:rPr>
              <w:t xml:space="preserve"> clar </w:t>
            </w:r>
            <w:r w:rsidR="00561773" w:rsidRPr="0071735F">
              <w:rPr>
                <w:rFonts w:ascii="Times New Roman" w:eastAsia="Times New Roman" w:hAnsi="Times New Roman" w:cs="Times New Roman"/>
                <w:b/>
                <w:sz w:val="24"/>
                <w:szCs w:val="24"/>
                <w:lang w:val="ro-MD" w:eastAsia="ru-RU"/>
              </w:rPr>
              <w:t>și</w:t>
            </w:r>
            <w:r w:rsidRPr="0071735F">
              <w:rPr>
                <w:rFonts w:ascii="Times New Roman" w:eastAsia="Times New Roman" w:hAnsi="Times New Roman" w:cs="Times New Roman"/>
                <w:b/>
                <w:sz w:val="24"/>
                <w:szCs w:val="24"/>
                <w:lang w:val="ro-MD" w:eastAsia="ru-RU"/>
              </w:rPr>
              <w:t xml:space="preserve"> concis problema </w:t>
            </w:r>
            <w:r w:rsidR="00561773" w:rsidRPr="0071735F">
              <w:rPr>
                <w:rFonts w:ascii="Times New Roman" w:eastAsia="Times New Roman" w:hAnsi="Times New Roman" w:cs="Times New Roman"/>
                <w:b/>
                <w:sz w:val="24"/>
                <w:szCs w:val="24"/>
                <w:lang w:val="ro-MD" w:eastAsia="ru-RU"/>
              </w:rPr>
              <w:t>și</w:t>
            </w:r>
            <w:r w:rsidRPr="0071735F">
              <w:rPr>
                <w:rFonts w:ascii="Times New Roman" w:eastAsia="Times New Roman" w:hAnsi="Times New Roman" w:cs="Times New Roman"/>
                <w:b/>
                <w:sz w:val="24"/>
                <w:szCs w:val="24"/>
                <w:lang w:val="ro-MD" w:eastAsia="ru-RU"/>
              </w:rPr>
              <w:t xml:space="preserve">/sau problemele care urmează să fie </w:t>
            </w:r>
            <w:r w:rsidR="00561773" w:rsidRPr="0071735F">
              <w:rPr>
                <w:rFonts w:ascii="Times New Roman" w:eastAsia="Times New Roman" w:hAnsi="Times New Roman" w:cs="Times New Roman"/>
                <w:b/>
                <w:sz w:val="24"/>
                <w:szCs w:val="24"/>
                <w:lang w:val="ro-MD" w:eastAsia="ru-RU"/>
              </w:rPr>
              <w:t>soluționate</w:t>
            </w:r>
          </w:p>
        </w:tc>
      </w:tr>
      <w:tr w:rsidR="00B468B6" w:rsidRPr="0071735F" w14:paraId="05EAEF9E" w14:textId="77777777" w:rsidTr="00125D3C">
        <w:trPr>
          <w:trHeight w:val="1250"/>
          <w:jc w:val="center"/>
        </w:trPr>
        <w:tc>
          <w:tcPr>
            <w:tcW w:w="5000" w:type="pct"/>
            <w:gridSpan w:val="2"/>
            <w:tcMar>
              <w:top w:w="15" w:type="dxa"/>
              <w:left w:w="45" w:type="dxa"/>
              <w:bottom w:w="15" w:type="dxa"/>
              <w:right w:w="45" w:type="dxa"/>
            </w:tcMar>
          </w:tcPr>
          <w:p w14:paraId="5E11B903" w14:textId="692E33B0" w:rsidR="00E635F7" w:rsidRPr="0071735F" w:rsidRDefault="001705FF" w:rsidP="001705FF">
            <w:pPr>
              <w:spacing w:before="60" w:after="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Elaborarea  proiectului de lege pentru modificarea Legii</w:t>
            </w:r>
            <w:r w:rsidR="00D22310">
              <w:rPr>
                <w:rFonts w:ascii="Times New Roman" w:eastAsia="Times New Roman" w:hAnsi="Times New Roman" w:cs="Times New Roman"/>
                <w:bCs/>
                <w:sz w:val="24"/>
                <w:szCs w:val="24"/>
                <w:lang w:val="ro-MD" w:eastAsia="ru-RU"/>
              </w:rPr>
              <w:t xml:space="preserve"> nr.139/2018 </w:t>
            </w:r>
            <w:r w:rsidRPr="0071735F">
              <w:rPr>
                <w:rFonts w:ascii="Times New Roman" w:eastAsia="Times New Roman" w:hAnsi="Times New Roman" w:cs="Times New Roman"/>
                <w:bCs/>
                <w:sz w:val="24"/>
                <w:szCs w:val="24"/>
                <w:lang w:val="ro-MD" w:eastAsia="ru-RU"/>
              </w:rPr>
              <w:t>cu privire la eficiența energetică, în redacția nouă, propuse de  prezenta A</w:t>
            </w:r>
            <w:r w:rsidR="006E52DB" w:rsidRPr="0071735F">
              <w:rPr>
                <w:rFonts w:ascii="Times New Roman" w:eastAsia="Times New Roman" w:hAnsi="Times New Roman" w:cs="Times New Roman"/>
                <w:bCs/>
                <w:sz w:val="24"/>
                <w:szCs w:val="24"/>
                <w:lang w:val="ro-MD" w:eastAsia="ru-RU"/>
              </w:rPr>
              <w:t xml:space="preserve">naliză a </w:t>
            </w:r>
            <w:r w:rsidRPr="0071735F">
              <w:rPr>
                <w:rFonts w:ascii="Times New Roman" w:eastAsia="Times New Roman" w:hAnsi="Times New Roman" w:cs="Times New Roman"/>
                <w:bCs/>
                <w:sz w:val="24"/>
                <w:szCs w:val="24"/>
                <w:lang w:val="ro-MD" w:eastAsia="ru-RU"/>
              </w:rPr>
              <w:t>I</w:t>
            </w:r>
            <w:r w:rsidR="006E52DB" w:rsidRPr="0071735F">
              <w:rPr>
                <w:rFonts w:ascii="Times New Roman" w:eastAsia="Times New Roman" w:hAnsi="Times New Roman" w:cs="Times New Roman"/>
                <w:bCs/>
                <w:sz w:val="24"/>
                <w:szCs w:val="24"/>
                <w:lang w:val="ro-MD" w:eastAsia="ru-RU"/>
              </w:rPr>
              <w:t xml:space="preserve">mpactului de </w:t>
            </w:r>
            <w:r w:rsidRPr="0071735F">
              <w:rPr>
                <w:rFonts w:ascii="Times New Roman" w:eastAsia="Times New Roman" w:hAnsi="Times New Roman" w:cs="Times New Roman"/>
                <w:bCs/>
                <w:sz w:val="24"/>
                <w:szCs w:val="24"/>
                <w:lang w:val="ro-MD" w:eastAsia="ru-RU"/>
              </w:rPr>
              <w:t>R</w:t>
            </w:r>
            <w:r w:rsidR="006E52DB" w:rsidRPr="0071735F">
              <w:rPr>
                <w:rFonts w:ascii="Times New Roman" w:eastAsia="Times New Roman" w:hAnsi="Times New Roman" w:cs="Times New Roman"/>
                <w:bCs/>
                <w:sz w:val="24"/>
                <w:szCs w:val="24"/>
                <w:lang w:val="ro-MD" w:eastAsia="ru-RU"/>
              </w:rPr>
              <w:t>eglementare /AIR/</w:t>
            </w:r>
            <w:r w:rsidRPr="0071735F">
              <w:rPr>
                <w:rFonts w:ascii="Times New Roman" w:eastAsia="Times New Roman" w:hAnsi="Times New Roman" w:cs="Times New Roman"/>
                <w:bCs/>
                <w:sz w:val="24"/>
                <w:szCs w:val="24"/>
                <w:lang w:val="ro-MD" w:eastAsia="ru-RU"/>
              </w:rPr>
              <w:t xml:space="preserve"> </w:t>
            </w:r>
            <w:r w:rsidR="00ED4DDE" w:rsidRPr="0071735F">
              <w:rPr>
                <w:rFonts w:ascii="Times New Roman" w:eastAsia="Times New Roman" w:hAnsi="Times New Roman" w:cs="Times New Roman"/>
                <w:bCs/>
                <w:sz w:val="24"/>
                <w:szCs w:val="24"/>
                <w:lang w:val="ro-MD" w:eastAsia="ru-RU"/>
              </w:rPr>
              <w:t xml:space="preserve">are la bază </w:t>
            </w:r>
            <w:r w:rsidRPr="0071735F">
              <w:rPr>
                <w:rFonts w:ascii="Times New Roman" w:eastAsia="Times New Roman" w:hAnsi="Times New Roman" w:cs="Times New Roman"/>
                <w:bCs/>
                <w:sz w:val="24"/>
                <w:szCs w:val="24"/>
                <w:lang w:val="ro-MD" w:eastAsia="ru-RU"/>
              </w:rPr>
              <w:t>necesitatea îmbunătăți</w:t>
            </w:r>
            <w:r w:rsidR="00ED4DDE" w:rsidRPr="0071735F">
              <w:rPr>
                <w:rFonts w:ascii="Times New Roman" w:eastAsia="Times New Roman" w:hAnsi="Times New Roman" w:cs="Times New Roman"/>
                <w:bCs/>
                <w:sz w:val="24"/>
                <w:szCs w:val="24"/>
                <w:lang w:val="ro-MD" w:eastAsia="ru-RU"/>
              </w:rPr>
              <w:t>rii</w:t>
            </w:r>
            <w:r w:rsidR="00E635F7" w:rsidRPr="0071735F">
              <w:rPr>
                <w:rFonts w:ascii="Times New Roman" w:eastAsia="Times New Roman" w:hAnsi="Times New Roman" w:cs="Times New Roman"/>
                <w:bCs/>
                <w:sz w:val="24"/>
                <w:szCs w:val="24"/>
                <w:lang w:val="ro-MD" w:eastAsia="ru-RU"/>
              </w:rPr>
              <w:t xml:space="preserve"> și consolidării cadrului juridic național cu incidență în domeniul </w:t>
            </w:r>
            <w:r w:rsidRPr="0071735F">
              <w:rPr>
                <w:rFonts w:ascii="Times New Roman" w:eastAsia="Times New Roman" w:hAnsi="Times New Roman" w:cs="Times New Roman"/>
                <w:bCs/>
                <w:sz w:val="24"/>
                <w:szCs w:val="24"/>
                <w:lang w:val="ro-MD" w:eastAsia="ru-RU"/>
              </w:rPr>
              <w:t>eficienț</w:t>
            </w:r>
            <w:r w:rsidR="00E635F7" w:rsidRPr="0071735F">
              <w:rPr>
                <w:rFonts w:ascii="Times New Roman" w:eastAsia="Times New Roman" w:hAnsi="Times New Roman" w:cs="Times New Roman"/>
                <w:bCs/>
                <w:sz w:val="24"/>
                <w:szCs w:val="24"/>
                <w:lang w:val="ro-MD" w:eastAsia="ru-RU"/>
              </w:rPr>
              <w:t>ei</w:t>
            </w:r>
            <w:r w:rsidRPr="0071735F">
              <w:rPr>
                <w:rFonts w:ascii="Times New Roman" w:eastAsia="Times New Roman" w:hAnsi="Times New Roman" w:cs="Times New Roman"/>
                <w:bCs/>
                <w:sz w:val="24"/>
                <w:szCs w:val="24"/>
                <w:lang w:val="ro-MD" w:eastAsia="ru-RU"/>
              </w:rPr>
              <w:t xml:space="preserve"> energetic</w:t>
            </w:r>
            <w:r w:rsidR="00E635F7" w:rsidRPr="0071735F">
              <w:rPr>
                <w:rFonts w:ascii="Times New Roman" w:eastAsia="Times New Roman" w:hAnsi="Times New Roman" w:cs="Times New Roman"/>
                <w:bCs/>
                <w:sz w:val="24"/>
                <w:szCs w:val="24"/>
                <w:lang w:val="ro-MD" w:eastAsia="ru-RU"/>
              </w:rPr>
              <w:t xml:space="preserve">e, care s-ar răsfrânge asupra </w:t>
            </w:r>
            <w:r w:rsidR="00F32055" w:rsidRPr="0071735F">
              <w:rPr>
                <w:rFonts w:ascii="Times New Roman" w:eastAsia="Times New Roman" w:hAnsi="Times New Roman" w:cs="Times New Roman"/>
                <w:bCs/>
                <w:sz w:val="24"/>
                <w:szCs w:val="24"/>
                <w:lang w:val="ro-MD" w:eastAsia="ru-RU"/>
              </w:rPr>
              <w:t>tuturor sectoarelor economiei naționale, în special cele de consum.</w:t>
            </w:r>
          </w:p>
          <w:p w14:paraId="28C422ED" w14:textId="2EA1C8B6" w:rsidR="001705FF" w:rsidRPr="0071735F" w:rsidRDefault="00F32055" w:rsidP="001705FF">
            <w:pPr>
              <w:spacing w:before="60" w:after="0"/>
              <w:jc w:val="both"/>
              <w:rPr>
                <w:rFonts w:ascii="Times New Roman" w:eastAsia="Times New Roman" w:hAnsi="Times New Roman" w:cs="Times New Roman"/>
                <w:bCs/>
                <w:i/>
                <w:iCs/>
                <w:sz w:val="24"/>
                <w:szCs w:val="24"/>
                <w:lang w:val="ro-MD" w:eastAsia="ru-RU"/>
              </w:rPr>
            </w:pPr>
            <w:r w:rsidRPr="0071735F">
              <w:rPr>
                <w:rFonts w:ascii="Times New Roman" w:eastAsia="Times New Roman" w:hAnsi="Times New Roman" w:cs="Times New Roman"/>
                <w:bCs/>
                <w:sz w:val="24"/>
                <w:szCs w:val="24"/>
                <w:lang w:val="ro-MD" w:eastAsia="ru-RU"/>
              </w:rPr>
              <w:t xml:space="preserve">Consolidarea cadrului juridic național pe domeniu ar avea loc prin transpunerea în legislația primară a </w:t>
            </w:r>
            <w:r w:rsidR="000F1DA7" w:rsidRPr="0071735F">
              <w:rPr>
                <w:rFonts w:ascii="Times New Roman" w:eastAsia="Times New Roman" w:hAnsi="Times New Roman" w:cs="Times New Roman"/>
                <w:bCs/>
                <w:i/>
                <w:iCs/>
                <w:sz w:val="24"/>
                <w:szCs w:val="24"/>
                <w:lang w:val="ro-MD" w:eastAsia="ru-RU"/>
              </w:rPr>
              <w:t>Directivei (UE) 2018/2002 a Parlamentului European și a Consiliului din 11 decembrie 2018 de modificare a Directivei 2012/27/UE privind eficiența energetică</w:t>
            </w:r>
            <w:r w:rsidR="00D70E3E" w:rsidRPr="0071735F">
              <w:rPr>
                <w:rStyle w:val="FootnoteReference"/>
                <w:rFonts w:ascii="Times New Roman" w:eastAsia="Times New Roman" w:hAnsi="Times New Roman" w:cs="Times New Roman"/>
                <w:bCs/>
                <w:i/>
                <w:iCs/>
                <w:sz w:val="24"/>
                <w:szCs w:val="24"/>
                <w:lang w:val="ro-MD" w:eastAsia="ru-RU"/>
              </w:rPr>
              <w:footnoteReference w:id="1"/>
            </w:r>
            <w:r w:rsidR="00D70E3E" w:rsidRPr="0071735F">
              <w:rPr>
                <w:rFonts w:ascii="Times New Roman" w:eastAsia="Times New Roman" w:hAnsi="Times New Roman" w:cs="Times New Roman"/>
                <w:bCs/>
                <w:sz w:val="24"/>
                <w:szCs w:val="24"/>
                <w:lang w:val="ro-MD" w:eastAsia="ru-RU"/>
              </w:rPr>
              <w:t xml:space="preserve">, după cum a fost adaptată prin </w:t>
            </w:r>
            <w:r w:rsidR="00A67179" w:rsidRPr="0071735F">
              <w:rPr>
                <w:rFonts w:ascii="Times New Roman" w:eastAsia="Times New Roman" w:hAnsi="Times New Roman" w:cs="Times New Roman"/>
                <w:bCs/>
                <w:i/>
                <w:iCs/>
                <w:sz w:val="24"/>
                <w:szCs w:val="24"/>
                <w:lang w:val="ro-MD" w:eastAsia="ru-RU"/>
              </w:rPr>
              <w:t>D</w:t>
            </w:r>
            <w:r w:rsidR="00D70E3E" w:rsidRPr="0071735F">
              <w:rPr>
                <w:rFonts w:ascii="Times New Roman" w:eastAsia="Times New Roman" w:hAnsi="Times New Roman" w:cs="Times New Roman"/>
                <w:bCs/>
                <w:i/>
                <w:iCs/>
                <w:sz w:val="24"/>
                <w:szCs w:val="24"/>
                <w:lang w:val="ro-MD" w:eastAsia="ru-RU"/>
              </w:rPr>
              <w:t xml:space="preserve">ecizia </w:t>
            </w:r>
            <w:r w:rsidR="00A67179" w:rsidRPr="0071735F">
              <w:rPr>
                <w:rFonts w:ascii="Times New Roman" w:eastAsia="Times New Roman" w:hAnsi="Times New Roman" w:cs="Times New Roman"/>
                <w:bCs/>
                <w:i/>
                <w:iCs/>
                <w:sz w:val="24"/>
                <w:szCs w:val="24"/>
                <w:lang w:val="ro-MD" w:eastAsia="ru-RU"/>
              </w:rPr>
              <w:t xml:space="preserve">D/2021/14/MC-EnC a </w:t>
            </w:r>
            <w:r w:rsidR="00D70E3E" w:rsidRPr="0071735F">
              <w:rPr>
                <w:rFonts w:ascii="Times New Roman" w:eastAsia="Times New Roman" w:hAnsi="Times New Roman" w:cs="Times New Roman"/>
                <w:bCs/>
                <w:i/>
                <w:iCs/>
                <w:sz w:val="24"/>
                <w:szCs w:val="24"/>
                <w:lang w:val="ro-MD" w:eastAsia="ru-RU"/>
              </w:rPr>
              <w:t>Consiliului Ministerial al Comunității Energetice</w:t>
            </w:r>
            <w:r w:rsidR="0001458E" w:rsidRPr="0071735F">
              <w:rPr>
                <w:rStyle w:val="FootnoteReference"/>
                <w:rFonts w:ascii="Times New Roman" w:eastAsia="Times New Roman" w:hAnsi="Times New Roman" w:cs="Times New Roman"/>
                <w:bCs/>
                <w:i/>
                <w:iCs/>
                <w:sz w:val="24"/>
                <w:szCs w:val="24"/>
                <w:lang w:val="ro-MD" w:eastAsia="ru-RU"/>
              </w:rPr>
              <w:footnoteReference w:id="2"/>
            </w:r>
            <w:r w:rsidR="00A67179" w:rsidRPr="0071735F">
              <w:rPr>
                <w:rFonts w:ascii="Times New Roman" w:eastAsia="Times New Roman" w:hAnsi="Times New Roman" w:cs="Times New Roman"/>
                <w:bCs/>
                <w:i/>
                <w:iCs/>
                <w:sz w:val="24"/>
                <w:szCs w:val="24"/>
                <w:lang w:val="ro-MD" w:eastAsia="ru-RU"/>
              </w:rPr>
              <w:t>.</w:t>
            </w:r>
            <w:r w:rsidR="00D70E3E" w:rsidRPr="0071735F">
              <w:rPr>
                <w:rFonts w:ascii="Times New Roman" w:eastAsia="Times New Roman" w:hAnsi="Times New Roman" w:cs="Times New Roman"/>
                <w:bCs/>
                <w:i/>
                <w:iCs/>
                <w:sz w:val="24"/>
                <w:szCs w:val="24"/>
                <w:lang w:val="ro-MD" w:eastAsia="ru-RU"/>
              </w:rPr>
              <w:t xml:space="preserve"> </w:t>
            </w:r>
            <w:r w:rsidR="00CD0029" w:rsidRPr="0071735F">
              <w:rPr>
                <w:rFonts w:ascii="Times New Roman" w:eastAsia="Times New Roman" w:hAnsi="Times New Roman" w:cs="Times New Roman"/>
                <w:bCs/>
                <w:sz w:val="24"/>
                <w:szCs w:val="24"/>
                <w:lang w:val="ro-MD" w:eastAsia="ru-RU"/>
              </w:rPr>
              <w:t>De precizat că</w:t>
            </w:r>
            <w:r w:rsidR="000A5464" w:rsidRPr="0071735F">
              <w:rPr>
                <w:rFonts w:ascii="Times New Roman" w:eastAsia="Times New Roman" w:hAnsi="Times New Roman" w:cs="Times New Roman"/>
                <w:bCs/>
                <w:sz w:val="24"/>
                <w:szCs w:val="24"/>
                <w:lang w:val="ro-MD" w:eastAsia="ru-RU"/>
              </w:rPr>
              <w:t xml:space="preserve"> transpunerea și implementarea Directivei menționate </w:t>
            </w:r>
            <w:r w:rsidR="000A5464" w:rsidRPr="0071735F">
              <w:rPr>
                <w:rFonts w:ascii="Times New Roman" w:eastAsia="Times New Roman" w:hAnsi="Times New Roman" w:cs="Times New Roman"/>
                <w:bCs/>
                <w:i/>
                <w:iCs/>
                <w:sz w:val="24"/>
                <w:szCs w:val="24"/>
                <w:lang w:val="ro-MD" w:eastAsia="ru-RU"/>
              </w:rPr>
              <w:t>supra</w:t>
            </w:r>
            <w:r w:rsidR="000A5464" w:rsidRPr="0071735F">
              <w:rPr>
                <w:rFonts w:ascii="Times New Roman" w:eastAsia="Times New Roman" w:hAnsi="Times New Roman" w:cs="Times New Roman"/>
                <w:bCs/>
                <w:sz w:val="24"/>
                <w:szCs w:val="24"/>
                <w:lang w:val="ro-MD" w:eastAsia="ru-RU"/>
              </w:rPr>
              <w:t xml:space="preserve"> este o obligație ce </w:t>
            </w:r>
            <w:r w:rsidR="001705FF" w:rsidRPr="0071735F">
              <w:rPr>
                <w:rFonts w:ascii="Times New Roman" w:eastAsia="Times New Roman" w:hAnsi="Times New Roman" w:cs="Times New Roman"/>
                <w:bCs/>
                <w:sz w:val="24"/>
                <w:szCs w:val="24"/>
                <w:lang w:val="ro-MD" w:eastAsia="ru-RU"/>
              </w:rPr>
              <w:t>reies</w:t>
            </w:r>
            <w:r w:rsidR="000A5464" w:rsidRPr="0071735F">
              <w:rPr>
                <w:rFonts w:ascii="Times New Roman" w:eastAsia="Times New Roman" w:hAnsi="Times New Roman" w:cs="Times New Roman"/>
                <w:bCs/>
                <w:sz w:val="24"/>
                <w:szCs w:val="24"/>
                <w:lang w:val="ro-MD" w:eastAsia="ru-RU"/>
              </w:rPr>
              <w:t>e</w:t>
            </w:r>
            <w:r w:rsidR="001705FF" w:rsidRPr="0071735F">
              <w:rPr>
                <w:rFonts w:ascii="Times New Roman" w:eastAsia="Times New Roman" w:hAnsi="Times New Roman" w:cs="Times New Roman"/>
                <w:bCs/>
                <w:sz w:val="24"/>
                <w:szCs w:val="24"/>
                <w:lang w:val="ro-MD" w:eastAsia="ru-RU"/>
              </w:rPr>
              <w:t xml:space="preserve"> din angajamentele  Republicii Moldova în calitate de membru a</w:t>
            </w:r>
            <w:r w:rsidR="00533753">
              <w:rPr>
                <w:rFonts w:ascii="Times New Roman" w:eastAsia="Times New Roman" w:hAnsi="Times New Roman" w:cs="Times New Roman"/>
                <w:bCs/>
                <w:sz w:val="24"/>
                <w:szCs w:val="24"/>
                <w:lang w:val="ro-MD" w:eastAsia="ru-RU"/>
              </w:rPr>
              <w:t>l</w:t>
            </w:r>
            <w:r w:rsidR="001705FF" w:rsidRPr="0071735F">
              <w:rPr>
                <w:rFonts w:ascii="Times New Roman" w:eastAsia="Times New Roman" w:hAnsi="Times New Roman" w:cs="Times New Roman"/>
                <w:bCs/>
                <w:sz w:val="24"/>
                <w:szCs w:val="24"/>
                <w:lang w:val="ro-MD" w:eastAsia="ru-RU"/>
              </w:rPr>
              <w:t xml:space="preserve"> Comunității Energetice în conformitate cu prevederile </w:t>
            </w:r>
            <w:r w:rsidR="001705FF" w:rsidRPr="0071735F">
              <w:rPr>
                <w:rFonts w:ascii="Times New Roman" w:eastAsia="Times New Roman" w:hAnsi="Times New Roman" w:cs="Times New Roman"/>
                <w:bCs/>
                <w:i/>
                <w:iCs/>
                <w:sz w:val="24"/>
                <w:szCs w:val="24"/>
                <w:lang w:val="ro-MD" w:eastAsia="ru-RU"/>
              </w:rPr>
              <w:t xml:space="preserve">Legii nr. 117 din 23.12.2009 pentru aderarea Republicii Moldova la Tratatul de constituire a </w:t>
            </w:r>
            <w:r w:rsidR="007A7355" w:rsidRPr="0071735F">
              <w:rPr>
                <w:rFonts w:ascii="Times New Roman" w:eastAsia="Times New Roman" w:hAnsi="Times New Roman" w:cs="Times New Roman"/>
                <w:bCs/>
                <w:i/>
                <w:iCs/>
                <w:sz w:val="24"/>
                <w:szCs w:val="24"/>
                <w:lang w:val="ro-MD" w:eastAsia="ru-RU"/>
              </w:rPr>
              <w:t>Comunității</w:t>
            </w:r>
            <w:r w:rsidR="001705FF" w:rsidRPr="0071735F">
              <w:rPr>
                <w:rFonts w:ascii="Times New Roman" w:eastAsia="Times New Roman" w:hAnsi="Times New Roman" w:cs="Times New Roman"/>
                <w:bCs/>
                <w:i/>
                <w:iCs/>
                <w:sz w:val="24"/>
                <w:szCs w:val="24"/>
                <w:lang w:val="ro-MD" w:eastAsia="ru-RU"/>
              </w:rPr>
              <w:t xml:space="preserve"> Energetice</w:t>
            </w:r>
            <w:r w:rsidR="008C71D2" w:rsidRPr="0071735F">
              <w:rPr>
                <w:rFonts w:ascii="Times New Roman" w:eastAsia="Times New Roman" w:hAnsi="Times New Roman" w:cs="Times New Roman"/>
                <w:bCs/>
                <w:i/>
                <w:iCs/>
                <w:sz w:val="24"/>
                <w:szCs w:val="24"/>
                <w:lang w:val="ro-MD" w:eastAsia="ru-RU"/>
              </w:rPr>
              <w:t>.</w:t>
            </w:r>
          </w:p>
          <w:p w14:paraId="3BA92B7B" w14:textId="08FA0644" w:rsidR="00283E66" w:rsidRPr="0071735F" w:rsidRDefault="002F7A96" w:rsidP="001705FF">
            <w:pPr>
              <w:spacing w:before="60" w:after="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i/>
                <w:iCs/>
                <w:sz w:val="24"/>
                <w:szCs w:val="24"/>
                <w:lang w:val="ro-MD" w:eastAsia="ru-RU"/>
              </w:rPr>
              <w:t>Directiva 2018/2002 p</w:t>
            </w:r>
            <w:r w:rsidR="001705FF" w:rsidRPr="0071735F">
              <w:rPr>
                <w:rFonts w:ascii="Times New Roman" w:eastAsia="Times New Roman" w:hAnsi="Times New Roman" w:cs="Times New Roman"/>
                <w:bCs/>
                <w:i/>
                <w:iCs/>
                <w:sz w:val="24"/>
                <w:szCs w:val="24"/>
                <w:lang w:val="ro-MD" w:eastAsia="ru-RU"/>
              </w:rPr>
              <w:t>rivind eficiența energetică</w:t>
            </w:r>
            <w:r w:rsidR="007A7F79" w:rsidRPr="0071735F">
              <w:rPr>
                <w:rFonts w:ascii="Times New Roman" w:eastAsia="Times New Roman" w:hAnsi="Times New Roman" w:cs="Times New Roman"/>
                <w:bCs/>
                <w:i/>
                <w:iCs/>
                <w:sz w:val="24"/>
                <w:szCs w:val="24"/>
                <w:lang w:val="ro-MD" w:eastAsia="ru-RU"/>
              </w:rPr>
              <w:t>,</w:t>
            </w:r>
            <w:r w:rsidR="001705FF" w:rsidRPr="0071735F">
              <w:rPr>
                <w:rFonts w:ascii="Times New Roman" w:eastAsia="Times New Roman" w:hAnsi="Times New Roman" w:cs="Times New Roman"/>
                <w:bCs/>
                <w:sz w:val="24"/>
                <w:szCs w:val="24"/>
                <w:lang w:val="ro-MD" w:eastAsia="ru-RU"/>
              </w:rPr>
              <w:t xml:space="preserve"> </w:t>
            </w:r>
            <w:r w:rsidRPr="0071735F">
              <w:rPr>
                <w:rFonts w:ascii="Times New Roman" w:eastAsia="Times New Roman" w:hAnsi="Times New Roman" w:cs="Times New Roman"/>
                <w:bCs/>
                <w:sz w:val="24"/>
                <w:szCs w:val="24"/>
                <w:lang w:val="ro-MD" w:eastAsia="ru-RU"/>
              </w:rPr>
              <w:t xml:space="preserve">modifică </w:t>
            </w:r>
            <w:r w:rsidR="00D81B40" w:rsidRPr="0071735F">
              <w:rPr>
                <w:rFonts w:ascii="Times New Roman" w:eastAsia="Times New Roman" w:hAnsi="Times New Roman" w:cs="Times New Roman"/>
                <w:bCs/>
                <w:i/>
                <w:iCs/>
                <w:sz w:val="24"/>
                <w:szCs w:val="24"/>
                <w:lang w:val="ro-MD" w:eastAsia="ru-RU"/>
              </w:rPr>
              <w:t>Directiva 2012/27/UE</w:t>
            </w:r>
            <w:r w:rsidR="007A7F79" w:rsidRPr="0071735F">
              <w:rPr>
                <w:rFonts w:ascii="Times New Roman" w:eastAsia="Times New Roman" w:hAnsi="Times New Roman" w:cs="Times New Roman"/>
                <w:bCs/>
                <w:i/>
                <w:iCs/>
                <w:sz w:val="24"/>
                <w:szCs w:val="24"/>
                <w:lang w:val="ro-MD" w:eastAsia="ru-RU"/>
              </w:rPr>
              <w:t>,</w:t>
            </w:r>
            <w:r w:rsidR="007A7355" w:rsidRPr="0071735F">
              <w:rPr>
                <w:rFonts w:ascii="Times New Roman" w:eastAsia="Times New Roman" w:hAnsi="Times New Roman" w:cs="Times New Roman"/>
                <w:bCs/>
                <w:i/>
                <w:iCs/>
                <w:sz w:val="24"/>
                <w:szCs w:val="24"/>
                <w:lang w:val="ro-MD" w:eastAsia="ru-RU"/>
              </w:rPr>
              <w:t xml:space="preserve"> </w:t>
            </w:r>
            <w:r w:rsidR="0077135E" w:rsidRPr="0071735F">
              <w:rPr>
                <w:rFonts w:ascii="Times New Roman" w:eastAsia="Times New Roman" w:hAnsi="Times New Roman" w:cs="Times New Roman"/>
                <w:bCs/>
                <w:sz w:val="24"/>
                <w:szCs w:val="24"/>
                <w:lang w:val="ro-MD" w:eastAsia="ru-RU"/>
              </w:rPr>
              <w:t xml:space="preserve">a fost transpusă </w:t>
            </w:r>
            <w:r w:rsidR="006741CC" w:rsidRPr="0071735F">
              <w:rPr>
                <w:rFonts w:ascii="Times New Roman" w:eastAsia="Times New Roman" w:hAnsi="Times New Roman" w:cs="Times New Roman"/>
                <w:bCs/>
                <w:sz w:val="24"/>
                <w:szCs w:val="24"/>
                <w:lang w:val="ro-MD" w:eastAsia="ru-RU"/>
              </w:rPr>
              <w:t xml:space="preserve">pe deplin și fidel în </w:t>
            </w:r>
            <w:r w:rsidR="006741CC" w:rsidRPr="0071735F">
              <w:rPr>
                <w:rFonts w:ascii="Times New Roman" w:eastAsia="Times New Roman" w:hAnsi="Times New Roman" w:cs="Times New Roman"/>
                <w:bCs/>
                <w:i/>
                <w:iCs/>
                <w:sz w:val="24"/>
                <w:szCs w:val="24"/>
                <w:lang w:val="ro-MD" w:eastAsia="ru-RU"/>
              </w:rPr>
              <w:t>Legea 139/2018 cu privire la eficiența energetică</w:t>
            </w:r>
            <w:r w:rsidR="007A7F79" w:rsidRPr="0071735F">
              <w:rPr>
                <w:rFonts w:ascii="Times New Roman" w:eastAsia="Times New Roman" w:hAnsi="Times New Roman" w:cs="Times New Roman"/>
                <w:bCs/>
                <w:i/>
                <w:iCs/>
                <w:sz w:val="24"/>
                <w:szCs w:val="24"/>
                <w:lang w:val="ro-MD" w:eastAsia="ru-RU"/>
              </w:rPr>
              <w:t xml:space="preserve">, </w:t>
            </w:r>
            <w:r w:rsidR="007A7F79" w:rsidRPr="0071735F">
              <w:rPr>
                <w:rFonts w:ascii="Times New Roman" w:eastAsia="Times New Roman" w:hAnsi="Times New Roman" w:cs="Times New Roman"/>
                <w:bCs/>
                <w:sz w:val="24"/>
                <w:szCs w:val="24"/>
                <w:lang w:val="ro-MD" w:eastAsia="ru-RU"/>
              </w:rPr>
              <w:t xml:space="preserve">care și </w:t>
            </w:r>
            <w:r w:rsidR="007A7355" w:rsidRPr="0071735F">
              <w:rPr>
                <w:rFonts w:ascii="Times New Roman" w:eastAsia="Times New Roman" w:hAnsi="Times New Roman" w:cs="Times New Roman"/>
                <w:bCs/>
                <w:sz w:val="24"/>
                <w:szCs w:val="24"/>
                <w:lang w:val="ro-MD" w:eastAsia="ru-RU"/>
              </w:rPr>
              <w:t>este</w:t>
            </w:r>
            <w:r w:rsidR="007A7355" w:rsidRPr="0071735F">
              <w:rPr>
                <w:rFonts w:ascii="Times New Roman" w:eastAsia="Times New Roman" w:hAnsi="Times New Roman" w:cs="Times New Roman"/>
                <w:bCs/>
                <w:i/>
                <w:iCs/>
                <w:sz w:val="24"/>
                <w:szCs w:val="24"/>
                <w:lang w:val="ro-MD" w:eastAsia="ru-RU"/>
              </w:rPr>
              <w:t xml:space="preserve"> </w:t>
            </w:r>
            <w:r w:rsidR="001705FF" w:rsidRPr="0071735F">
              <w:rPr>
                <w:rFonts w:ascii="Times New Roman" w:eastAsia="Times New Roman" w:hAnsi="Times New Roman" w:cs="Times New Roman"/>
                <w:bCs/>
                <w:sz w:val="24"/>
                <w:szCs w:val="24"/>
                <w:lang w:val="ro-MD" w:eastAsia="ru-RU"/>
              </w:rPr>
              <w:t>legea-cadru în domeniul eficienței energetice, actualmente în vigoare.</w:t>
            </w:r>
            <w:r w:rsidR="006F764C" w:rsidRPr="0071735F">
              <w:rPr>
                <w:rFonts w:ascii="Times New Roman" w:eastAsia="Times New Roman" w:hAnsi="Times New Roman" w:cs="Times New Roman"/>
                <w:bCs/>
                <w:sz w:val="24"/>
                <w:szCs w:val="24"/>
                <w:lang w:val="ro-MD" w:eastAsia="ru-RU"/>
              </w:rPr>
              <w:t xml:space="preserve"> Prin urmare, transpunerea versiunii revizuite a Directivei va lua forma unei intervenții la Legea 139/2018. </w:t>
            </w:r>
          </w:p>
          <w:p w14:paraId="3EE10AC8" w14:textId="77777777" w:rsidR="00DB4196" w:rsidRPr="0071735F" w:rsidRDefault="00BE19EA" w:rsidP="001705FF">
            <w:pPr>
              <w:spacing w:before="60" w:after="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lastRenderedPageBreak/>
              <w:t xml:space="preserve">Tot aici merită a fi menționat faptul că Directiva 2018/2002 face parte din pachetul </w:t>
            </w:r>
            <w:r w:rsidR="00B54556" w:rsidRPr="0071735F">
              <w:rPr>
                <w:rFonts w:ascii="Times New Roman" w:eastAsia="Times New Roman" w:hAnsi="Times New Roman" w:cs="Times New Roman"/>
                <w:bCs/>
                <w:sz w:val="24"/>
                <w:szCs w:val="24"/>
                <w:lang w:val="ro-MD" w:eastAsia="ru-RU"/>
              </w:rPr>
              <w:t xml:space="preserve">legislativ al </w:t>
            </w:r>
            <w:r w:rsidRPr="0071735F">
              <w:rPr>
                <w:rFonts w:ascii="Times New Roman" w:eastAsia="Times New Roman" w:hAnsi="Times New Roman" w:cs="Times New Roman"/>
                <w:bCs/>
                <w:sz w:val="24"/>
                <w:szCs w:val="24"/>
                <w:lang w:val="ro-MD" w:eastAsia="ru-RU"/>
              </w:rPr>
              <w:t>Comisiei Europene „Energie curată pentru toți Europenii”</w:t>
            </w:r>
            <w:r w:rsidR="00B54556" w:rsidRPr="0071735F">
              <w:rPr>
                <w:rStyle w:val="FootnoteReference"/>
                <w:rFonts w:ascii="Times New Roman" w:eastAsia="Times New Roman" w:hAnsi="Times New Roman" w:cs="Times New Roman"/>
                <w:bCs/>
                <w:sz w:val="24"/>
                <w:szCs w:val="24"/>
                <w:lang w:val="ro-MD" w:eastAsia="ru-RU"/>
              </w:rPr>
              <w:footnoteReference w:id="3"/>
            </w:r>
            <w:r w:rsidR="007F7C96" w:rsidRPr="0071735F">
              <w:rPr>
                <w:rFonts w:ascii="Times New Roman" w:eastAsia="Times New Roman" w:hAnsi="Times New Roman" w:cs="Times New Roman"/>
                <w:bCs/>
                <w:sz w:val="24"/>
                <w:szCs w:val="24"/>
                <w:lang w:val="ro-MD" w:eastAsia="ru-RU"/>
              </w:rPr>
              <w:t xml:space="preserve">, și include 8 acte legislative. </w:t>
            </w:r>
            <w:r w:rsidR="004168A0" w:rsidRPr="0071735F">
              <w:rPr>
                <w:rFonts w:ascii="Times New Roman" w:eastAsia="Times New Roman" w:hAnsi="Times New Roman" w:cs="Times New Roman"/>
                <w:bCs/>
                <w:sz w:val="24"/>
                <w:szCs w:val="24"/>
                <w:lang w:val="ro-MD" w:eastAsia="ru-RU"/>
              </w:rPr>
              <w:t xml:space="preserve">Prin decizia Consiliului Ministerial din D/2021/14/MC-EnC din Noiembrie 2021, </w:t>
            </w:r>
            <w:r w:rsidR="00A51336" w:rsidRPr="0071735F">
              <w:rPr>
                <w:rFonts w:ascii="Times New Roman" w:eastAsia="Times New Roman" w:hAnsi="Times New Roman" w:cs="Times New Roman"/>
                <w:bCs/>
                <w:sz w:val="24"/>
                <w:szCs w:val="24"/>
                <w:lang w:val="ro-MD" w:eastAsia="ru-RU"/>
              </w:rPr>
              <w:t>obligatorii în transpunere</w:t>
            </w:r>
            <w:r w:rsidR="00723EB9" w:rsidRPr="0071735F">
              <w:rPr>
                <w:rFonts w:ascii="Times New Roman" w:eastAsia="Times New Roman" w:hAnsi="Times New Roman" w:cs="Times New Roman"/>
                <w:bCs/>
                <w:sz w:val="24"/>
                <w:szCs w:val="24"/>
                <w:lang w:val="ro-MD" w:eastAsia="ru-RU"/>
              </w:rPr>
              <w:t xml:space="preserve"> pentru Părțile Contractante au devenit 5 acte, în domeniul energiei regenerabile, guvernanței, </w:t>
            </w:r>
            <w:r w:rsidR="00EB0F36" w:rsidRPr="0071735F">
              <w:rPr>
                <w:rFonts w:ascii="Times New Roman" w:eastAsia="Times New Roman" w:hAnsi="Times New Roman" w:cs="Times New Roman"/>
                <w:bCs/>
                <w:sz w:val="24"/>
                <w:szCs w:val="24"/>
                <w:lang w:val="ro-MD" w:eastAsia="ru-RU"/>
              </w:rPr>
              <w:t xml:space="preserve">electricității și eficienței energetice. </w:t>
            </w:r>
          </w:p>
          <w:p w14:paraId="10B6A2B7" w14:textId="34479FB6" w:rsidR="00681E39" w:rsidRPr="0071735F" w:rsidRDefault="00EB0F36" w:rsidP="00C8631D">
            <w:pPr>
              <w:spacing w:before="6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O prezentare grafică a angajamente</w:t>
            </w:r>
            <w:r w:rsidR="00DB4196" w:rsidRPr="0071735F">
              <w:rPr>
                <w:rFonts w:ascii="Times New Roman" w:eastAsia="Times New Roman" w:hAnsi="Times New Roman" w:cs="Times New Roman"/>
                <w:bCs/>
                <w:sz w:val="24"/>
                <w:szCs w:val="24"/>
                <w:lang w:val="ro-MD" w:eastAsia="ru-RU"/>
              </w:rPr>
              <w:t xml:space="preserve">lor </w:t>
            </w:r>
            <w:r w:rsidR="007C3E75" w:rsidRPr="0071735F">
              <w:rPr>
                <w:rFonts w:ascii="Times New Roman" w:eastAsia="Times New Roman" w:hAnsi="Times New Roman" w:cs="Times New Roman"/>
                <w:bCs/>
                <w:sz w:val="24"/>
                <w:szCs w:val="24"/>
                <w:lang w:val="ro-MD" w:eastAsia="ru-RU"/>
              </w:rPr>
              <w:t xml:space="preserve">în vigoare </w:t>
            </w:r>
            <w:r w:rsidR="00DB4196" w:rsidRPr="0071735F">
              <w:rPr>
                <w:rFonts w:ascii="Times New Roman" w:eastAsia="Times New Roman" w:hAnsi="Times New Roman" w:cs="Times New Roman"/>
                <w:bCs/>
                <w:sz w:val="24"/>
                <w:szCs w:val="24"/>
                <w:lang w:val="ro-MD" w:eastAsia="ru-RU"/>
              </w:rPr>
              <w:t>de pe dimensiunea „Dezvoltare Durabilă”</w:t>
            </w:r>
            <w:r w:rsidR="002F0346" w:rsidRPr="0071735F">
              <w:rPr>
                <w:rFonts w:ascii="Times New Roman" w:eastAsia="Times New Roman" w:hAnsi="Times New Roman" w:cs="Times New Roman"/>
                <w:bCs/>
                <w:sz w:val="24"/>
                <w:szCs w:val="24"/>
                <w:lang w:val="ro-MD" w:eastAsia="ru-RU"/>
              </w:rPr>
              <w:t xml:space="preserve"> a pachetului legislativ UE menționat</w:t>
            </w:r>
            <w:r w:rsidR="00681E39" w:rsidRPr="0071735F">
              <w:rPr>
                <w:rFonts w:ascii="Times New Roman" w:eastAsia="Times New Roman" w:hAnsi="Times New Roman" w:cs="Times New Roman"/>
                <w:bCs/>
                <w:sz w:val="24"/>
                <w:szCs w:val="24"/>
                <w:lang w:val="ro-MD" w:eastAsia="ru-RU"/>
              </w:rPr>
              <w:t xml:space="preserve">, inclusiv cele care urmează a fi adoptate de </w:t>
            </w:r>
            <w:r w:rsidR="00580EDF" w:rsidRPr="0071735F">
              <w:rPr>
                <w:rFonts w:ascii="Times New Roman" w:eastAsia="Times New Roman" w:hAnsi="Times New Roman" w:cs="Times New Roman"/>
                <w:bCs/>
                <w:sz w:val="24"/>
                <w:szCs w:val="24"/>
                <w:lang w:val="ro-MD" w:eastAsia="ru-RU"/>
              </w:rPr>
              <w:t>MC la sfârșitul anului 2022, este prezentată în Figura 1.</w:t>
            </w:r>
          </w:p>
          <w:p w14:paraId="3E93C617" w14:textId="2C94DAA5" w:rsidR="00580EDF" w:rsidRPr="0071735F" w:rsidRDefault="005A74E3" w:rsidP="002F0346">
            <w:pPr>
              <w:spacing w:before="60" w:after="0"/>
              <w:jc w:val="center"/>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noProof/>
                <w:sz w:val="24"/>
                <w:szCs w:val="24"/>
                <w:lang w:val="en-GB" w:eastAsia="en-GB"/>
              </w:rPr>
              <mc:AlternateContent>
                <mc:Choice Requires="wps">
                  <w:drawing>
                    <wp:anchor distT="45720" distB="45720" distL="114300" distR="114300" simplePos="0" relativeHeight="251660288" behindDoc="0" locked="0" layoutInCell="1" allowOverlap="1" wp14:anchorId="0384568C" wp14:editId="31B9E1C3">
                      <wp:simplePos x="0" y="0"/>
                      <wp:positionH relativeFrom="column">
                        <wp:posOffset>446253</wp:posOffset>
                      </wp:positionH>
                      <wp:positionV relativeFrom="paragraph">
                        <wp:posOffset>2782392</wp:posOffset>
                      </wp:positionV>
                      <wp:extent cx="4967021" cy="7095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021" cy="709575"/>
                              </a:xfrm>
                              <a:prstGeom prst="rect">
                                <a:avLst/>
                              </a:prstGeom>
                              <a:noFill/>
                              <a:ln w="9525">
                                <a:noFill/>
                                <a:miter lim="800000"/>
                                <a:headEnd/>
                                <a:tailEnd/>
                              </a:ln>
                            </wps:spPr>
                            <wps:txbx>
                              <w:txbxContent>
                                <w:p w14:paraId="3EF22BDB" w14:textId="4316CBA2" w:rsidR="005A74E3" w:rsidRDefault="005A74E3" w:rsidP="00305DC4">
                                  <w:pPr>
                                    <w:spacing w:after="0"/>
                                    <w:jc w:val="center"/>
                                    <w:rPr>
                                      <w:rFonts w:ascii="Times New Roman" w:hAnsi="Times New Roman" w:cs="Times New Roman"/>
                                      <w:lang w:val="ro-MD"/>
                                    </w:rPr>
                                  </w:pPr>
                                  <w:r w:rsidRPr="002F0346">
                                    <w:rPr>
                                      <w:rFonts w:ascii="Times New Roman" w:hAnsi="Times New Roman" w:cs="Times New Roman"/>
                                      <w:b/>
                                      <w:bCs/>
                                      <w:lang w:val="ro-MD"/>
                                    </w:rPr>
                                    <w:t>Figura 1.</w:t>
                                  </w:r>
                                  <w:r w:rsidRPr="002F0346">
                                    <w:rPr>
                                      <w:rFonts w:ascii="Times New Roman" w:hAnsi="Times New Roman" w:cs="Times New Roman"/>
                                      <w:lang w:val="ro-MD"/>
                                    </w:rPr>
                                    <w:t xml:space="preserve"> </w:t>
                                  </w:r>
                                  <w:r w:rsidR="00B56FF9" w:rsidRPr="002F0346">
                                    <w:rPr>
                                      <w:rFonts w:ascii="Times New Roman" w:hAnsi="Times New Roman" w:cs="Times New Roman"/>
                                      <w:lang w:val="ro-MD"/>
                                    </w:rPr>
                                    <w:t xml:space="preserve">Reprezentarea grafică a </w:t>
                                  </w:r>
                                  <w:r w:rsidR="002F0346" w:rsidRPr="002F0346">
                                    <w:rPr>
                                      <w:rFonts w:ascii="Times New Roman" w:hAnsi="Times New Roman" w:cs="Times New Roman"/>
                                      <w:lang w:val="ro-MD"/>
                                    </w:rPr>
                                    <w:t>dimensiunii de dezvoltare durabilă a pachetului ”Energie Curată pentru toți Europenii”</w:t>
                                  </w:r>
                                </w:p>
                                <w:p w14:paraId="5C8EDEDD" w14:textId="4874D6F0" w:rsidR="00305DC4" w:rsidRPr="00305DC4" w:rsidRDefault="00305DC4" w:rsidP="00305DC4">
                                  <w:pPr>
                                    <w:spacing w:after="0"/>
                                    <w:rPr>
                                      <w:rFonts w:ascii="Times New Roman" w:hAnsi="Times New Roman" w:cs="Times New Roman"/>
                                      <w:i/>
                                      <w:iCs/>
                                      <w:sz w:val="18"/>
                                      <w:szCs w:val="18"/>
                                      <w:lang w:val="ro-MD"/>
                                    </w:rPr>
                                  </w:pPr>
                                  <w:r w:rsidRPr="00305DC4">
                                    <w:rPr>
                                      <w:rFonts w:ascii="Times New Roman" w:hAnsi="Times New Roman" w:cs="Times New Roman"/>
                                      <w:i/>
                                      <w:iCs/>
                                      <w:sz w:val="18"/>
                                      <w:szCs w:val="18"/>
                                      <w:lang w:val="ro-MD"/>
                                    </w:rPr>
                                    <w:t xml:space="preserve">Sursa: </w:t>
                                  </w:r>
                                  <w:r w:rsidRPr="00305DC4">
                                    <w:rPr>
                                      <w:rFonts w:ascii="Times New Roman" w:hAnsi="Times New Roman" w:cs="Times New Roman"/>
                                      <w:sz w:val="18"/>
                                      <w:szCs w:val="18"/>
                                      <w:lang w:val="ro-MD"/>
                                    </w:rPr>
                                    <w:t>Secretariatul Comunității Energetice</w:t>
                                  </w:r>
                                </w:p>
                                <w:p w14:paraId="77617238" w14:textId="77777777" w:rsidR="00305DC4" w:rsidRPr="002F0346" w:rsidRDefault="00305DC4" w:rsidP="002F0346">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4568C" id="_x0000_t202" coordsize="21600,21600" o:spt="202" path="m,l,21600r21600,l21600,xe">
                      <v:stroke joinstyle="miter"/>
                      <v:path gradientshapeok="t" o:connecttype="rect"/>
                    </v:shapetype>
                    <v:shape id="Text Box 2" o:spid="_x0000_s1026" type="#_x0000_t202" style="position:absolute;left:0;text-align:left;margin-left:35.15pt;margin-top:219.1pt;width:391.1pt;height:5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" filled="f" stroked="f">
                      <v:textbox>
                        <w:txbxContent>
                          <w:p w14:paraId="3EF22BDB" w14:textId="4316CBA2" w:rsidR="005A74E3" w:rsidRDefault="005A74E3" w:rsidP="00305DC4">
                            <w:pPr>
                              <w:spacing w:after="0"/>
                              <w:jc w:val="center"/>
                              <w:rPr>
                                <w:rFonts w:ascii="Times New Roman" w:hAnsi="Times New Roman" w:cs="Times New Roman"/>
                                <w:lang w:val="ro-MD"/>
                              </w:rPr>
                            </w:pPr>
                            <w:r w:rsidRPr="002F0346">
                              <w:rPr>
                                <w:rFonts w:ascii="Times New Roman" w:hAnsi="Times New Roman" w:cs="Times New Roman"/>
                                <w:b/>
                                <w:bCs/>
                                <w:lang w:val="ro-MD"/>
                              </w:rPr>
                              <w:t>Figura 1.</w:t>
                            </w:r>
                            <w:r w:rsidRPr="002F0346">
                              <w:rPr>
                                <w:rFonts w:ascii="Times New Roman" w:hAnsi="Times New Roman" w:cs="Times New Roman"/>
                                <w:lang w:val="ro-MD"/>
                              </w:rPr>
                              <w:t xml:space="preserve"> </w:t>
                            </w:r>
                            <w:r w:rsidR="00B56FF9" w:rsidRPr="002F0346">
                              <w:rPr>
                                <w:rFonts w:ascii="Times New Roman" w:hAnsi="Times New Roman" w:cs="Times New Roman"/>
                                <w:lang w:val="ro-MD"/>
                              </w:rPr>
                              <w:t xml:space="preserve">Reprezentarea grafică a </w:t>
                            </w:r>
                            <w:r w:rsidR="002F0346" w:rsidRPr="002F0346">
                              <w:rPr>
                                <w:rFonts w:ascii="Times New Roman" w:hAnsi="Times New Roman" w:cs="Times New Roman"/>
                                <w:lang w:val="ro-MD"/>
                              </w:rPr>
                              <w:t>dimensiunii de dezvoltare durabilă a pachetului ”Energie Curată pentru toți Europenii”</w:t>
                            </w:r>
                          </w:p>
                          <w:p w14:paraId="5C8EDEDD" w14:textId="4874D6F0" w:rsidR="00305DC4" w:rsidRPr="00305DC4" w:rsidRDefault="00305DC4" w:rsidP="00305DC4">
                            <w:pPr>
                              <w:spacing w:after="0"/>
                              <w:rPr>
                                <w:rFonts w:ascii="Times New Roman" w:hAnsi="Times New Roman" w:cs="Times New Roman"/>
                                <w:i/>
                                <w:iCs/>
                                <w:sz w:val="18"/>
                                <w:szCs w:val="18"/>
                                <w:lang w:val="ro-MD"/>
                              </w:rPr>
                            </w:pPr>
                            <w:r w:rsidRPr="00305DC4">
                              <w:rPr>
                                <w:rFonts w:ascii="Times New Roman" w:hAnsi="Times New Roman" w:cs="Times New Roman"/>
                                <w:i/>
                                <w:iCs/>
                                <w:sz w:val="18"/>
                                <w:szCs w:val="18"/>
                                <w:lang w:val="ro-MD"/>
                              </w:rPr>
                              <w:t xml:space="preserve">Sursa: </w:t>
                            </w:r>
                            <w:r w:rsidRPr="00305DC4">
                              <w:rPr>
                                <w:rFonts w:ascii="Times New Roman" w:hAnsi="Times New Roman" w:cs="Times New Roman"/>
                                <w:sz w:val="18"/>
                                <w:szCs w:val="18"/>
                                <w:lang w:val="ro-MD"/>
                              </w:rPr>
                              <w:t>Secretariatul Comunității Energetice</w:t>
                            </w:r>
                          </w:p>
                          <w:p w14:paraId="77617238" w14:textId="77777777" w:rsidR="00305DC4" w:rsidRPr="002F0346" w:rsidRDefault="00305DC4" w:rsidP="002F0346">
                            <w:pPr>
                              <w:jc w:val="center"/>
                              <w:rPr>
                                <w:rFonts w:ascii="Times New Roman" w:hAnsi="Times New Roman" w:cs="Times New Roman"/>
                              </w:rPr>
                            </w:pPr>
                          </w:p>
                        </w:txbxContent>
                      </v:textbox>
                    </v:shape>
                  </w:pict>
                </mc:Fallback>
              </mc:AlternateContent>
            </w:r>
            <w:r w:rsidR="00580EDF" w:rsidRPr="0071735F">
              <w:rPr>
                <w:rFonts w:ascii="Times New Roman" w:eastAsia="Times New Roman" w:hAnsi="Times New Roman" w:cs="Times New Roman"/>
                <w:bCs/>
                <w:noProof/>
                <w:sz w:val="24"/>
                <w:szCs w:val="24"/>
                <w:lang w:val="en-GB" w:eastAsia="en-GB"/>
              </w:rPr>
              <w:drawing>
                <wp:inline distT="0" distB="0" distL="0" distR="0" wp14:anchorId="1B9B66FA" wp14:editId="45E7C7F0">
                  <wp:extent cx="4916396" cy="2545690"/>
                  <wp:effectExtent l="152400" t="152400" r="360680" b="36957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932594" cy="2554077"/>
                          </a:xfrm>
                          <a:prstGeom prst="rect">
                            <a:avLst/>
                          </a:prstGeom>
                          <a:ln>
                            <a:noFill/>
                          </a:ln>
                          <a:effectLst>
                            <a:outerShdw blurRad="292100" dist="139700" dir="2700000" algn="tl" rotWithShape="0">
                              <a:srgbClr val="333333">
                                <a:alpha val="65000"/>
                              </a:srgbClr>
                            </a:outerShdw>
                          </a:effectLst>
                        </pic:spPr>
                      </pic:pic>
                    </a:graphicData>
                  </a:graphic>
                </wp:inline>
              </w:drawing>
            </w:r>
          </w:p>
          <w:p w14:paraId="3FBA250C" w14:textId="31759DA2" w:rsidR="00681E39" w:rsidRPr="0071735F" w:rsidRDefault="00681E39" w:rsidP="001705FF">
            <w:pPr>
              <w:spacing w:before="60" w:after="0"/>
              <w:jc w:val="both"/>
              <w:rPr>
                <w:rFonts w:ascii="Times New Roman" w:eastAsia="Times New Roman" w:hAnsi="Times New Roman" w:cs="Times New Roman"/>
                <w:bCs/>
                <w:sz w:val="24"/>
                <w:szCs w:val="24"/>
                <w:lang w:val="ro-MD" w:eastAsia="ru-RU"/>
              </w:rPr>
            </w:pPr>
          </w:p>
          <w:p w14:paraId="5B5278A3" w14:textId="491D0224" w:rsidR="00BE19EA" w:rsidRPr="0071735F" w:rsidRDefault="00BE19EA" w:rsidP="001705FF">
            <w:pPr>
              <w:spacing w:before="60" w:after="0"/>
              <w:jc w:val="both"/>
              <w:rPr>
                <w:rFonts w:ascii="Times New Roman" w:eastAsia="Times New Roman" w:hAnsi="Times New Roman" w:cs="Times New Roman"/>
                <w:bCs/>
                <w:sz w:val="24"/>
                <w:szCs w:val="24"/>
                <w:lang w:val="ro-MD" w:eastAsia="ru-RU"/>
              </w:rPr>
            </w:pPr>
          </w:p>
        </w:tc>
      </w:tr>
      <w:tr w:rsidR="00B468B6" w:rsidRPr="0071735F" w14:paraId="46266EB4" w14:textId="77777777" w:rsidTr="00125D3C">
        <w:trPr>
          <w:jc w:val="center"/>
        </w:trPr>
        <w:tc>
          <w:tcPr>
            <w:tcW w:w="5000" w:type="pct"/>
            <w:gridSpan w:val="2"/>
            <w:shd w:val="clear" w:color="auto" w:fill="auto"/>
            <w:tcMar>
              <w:top w:w="15" w:type="dxa"/>
              <w:left w:w="45" w:type="dxa"/>
              <w:bottom w:w="15" w:type="dxa"/>
              <w:right w:w="45" w:type="dxa"/>
            </w:tcMar>
          </w:tcPr>
          <w:p w14:paraId="20F7312E" w14:textId="66666360" w:rsidR="00D225AE" w:rsidRPr="0071735F" w:rsidRDefault="00D225AE"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b) </w:t>
            </w:r>
            <w:r w:rsidR="005E6A76"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problema, persoanele/</w:t>
            </w:r>
            <w:r w:rsidR="005E6A76" w:rsidRPr="0071735F">
              <w:rPr>
                <w:rFonts w:ascii="Times New Roman" w:eastAsia="Calibri" w:hAnsi="Times New Roman" w:cs="Times New Roman"/>
                <w:b/>
                <w:sz w:val="24"/>
                <w:szCs w:val="24"/>
                <w:lang w:val="ro-MD" w:eastAsia="en-GB"/>
              </w:rPr>
              <w:t>entitățile</w:t>
            </w:r>
            <w:r w:rsidRPr="0071735F">
              <w:rPr>
                <w:rFonts w:ascii="Times New Roman" w:eastAsia="Calibri" w:hAnsi="Times New Roman" w:cs="Times New Roman"/>
                <w:b/>
                <w:sz w:val="24"/>
                <w:szCs w:val="24"/>
                <w:lang w:val="ro-MD" w:eastAsia="en-GB"/>
              </w:rPr>
              <w:t xml:space="preserve"> afectate </w:t>
            </w:r>
            <w:r w:rsidR="005E6A7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cele care contribuie la </w:t>
            </w:r>
            <w:r w:rsidR="005E6A76" w:rsidRPr="0071735F">
              <w:rPr>
                <w:rFonts w:ascii="Times New Roman" w:eastAsia="Calibri" w:hAnsi="Times New Roman" w:cs="Times New Roman"/>
                <w:b/>
                <w:sz w:val="24"/>
                <w:szCs w:val="24"/>
                <w:lang w:val="ro-MD" w:eastAsia="en-GB"/>
              </w:rPr>
              <w:t>apariția</w:t>
            </w:r>
            <w:r w:rsidRPr="0071735F">
              <w:rPr>
                <w:rFonts w:ascii="Times New Roman" w:eastAsia="Calibri" w:hAnsi="Times New Roman" w:cs="Times New Roman"/>
                <w:b/>
                <w:sz w:val="24"/>
                <w:szCs w:val="24"/>
                <w:lang w:val="ro-MD" w:eastAsia="en-GB"/>
              </w:rPr>
              <w:t xml:space="preserve"> problemei, cu justificarea </w:t>
            </w:r>
            <w:r w:rsidR="005E6A76" w:rsidRPr="0071735F">
              <w:rPr>
                <w:rFonts w:ascii="Times New Roman" w:eastAsia="Calibri" w:hAnsi="Times New Roman" w:cs="Times New Roman"/>
                <w:b/>
                <w:sz w:val="24"/>
                <w:szCs w:val="24"/>
                <w:lang w:val="ro-MD" w:eastAsia="en-GB"/>
              </w:rPr>
              <w:t>necesității</w:t>
            </w:r>
            <w:r w:rsidRPr="0071735F">
              <w:rPr>
                <w:rFonts w:ascii="Times New Roman" w:eastAsia="Calibri" w:hAnsi="Times New Roman" w:cs="Times New Roman"/>
                <w:b/>
                <w:sz w:val="24"/>
                <w:szCs w:val="24"/>
                <w:lang w:val="ro-MD" w:eastAsia="en-GB"/>
              </w:rPr>
              <w:t xml:space="preserve"> schimbării </w:t>
            </w:r>
            <w:r w:rsidR="005E6A76" w:rsidRPr="0071735F">
              <w:rPr>
                <w:rFonts w:ascii="Times New Roman" w:eastAsia="Calibri" w:hAnsi="Times New Roman" w:cs="Times New Roman"/>
                <w:b/>
                <w:sz w:val="24"/>
                <w:szCs w:val="24"/>
                <w:lang w:val="ro-MD" w:eastAsia="en-GB"/>
              </w:rPr>
              <w:t>situației</w:t>
            </w:r>
            <w:r w:rsidRPr="0071735F">
              <w:rPr>
                <w:rFonts w:ascii="Times New Roman" w:eastAsia="Calibri" w:hAnsi="Times New Roman" w:cs="Times New Roman"/>
                <w:b/>
                <w:sz w:val="24"/>
                <w:szCs w:val="24"/>
                <w:lang w:val="ro-MD" w:eastAsia="en-GB"/>
              </w:rPr>
              <w:t xml:space="preserve"> curente </w:t>
            </w:r>
            <w:r w:rsidR="005E6A7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viitoare, în baza dovezilor </w:t>
            </w:r>
            <w:r w:rsidR="005E6A7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datelor colectate </w:t>
            </w:r>
            <w:r w:rsidR="005E6A7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examinate</w:t>
            </w:r>
          </w:p>
        </w:tc>
      </w:tr>
      <w:tr w:rsidR="00B468B6" w:rsidRPr="00D22310" w14:paraId="266B3D0D" w14:textId="77777777" w:rsidTr="00125D3C">
        <w:tblPrEx>
          <w:tblCellMar>
            <w:left w:w="108" w:type="dxa"/>
            <w:right w:w="108" w:type="dxa"/>
          </w:tblCellMar>
        </w:tblPrEx>
        <w:trPr>
          <w:jc w:val="center"/>
        </w:trPr>
        <w:tc>
          <w:tcPr>
            <w:tcW w:w="5000" w:type="pct"/>
            <w:gridSpan w:val="2"/>
            <w:shd w:val="clear" w:color="auto" w:fill="auto"/>
          </w:tcPr>
          <w:p w14:paraId="032DA8ED" w14:textId="4279C9EE" w:rsidR="006F764C" w:rsidRPr="0071735F" w:rsidRDefault="009C6AFB" w:rsidP="00283E66">
            <w:pPr>
              <w:spacing w:before="120" w:after="120" w:line="259" w:lineRule="auto"/>
              <w:jc w:val="both"/>
              <w:rPr>
                <w:rFonts w:ascii="Times New Roman" w:eastAsia="Times New Roman" w:hAnsi="Times New Roman" w:cs="Times New Roman"/>
                <w:bCs/>
                <w:i/>
                <w:iCs/>
                <w:sz w:val="24"/>
                <w:szCs w:val="24"/>
                <w:lang w:val="ro-MD" w:eastAsia="ru-RU"/>
              </w:rPr>
            </w:pPr>
            <w:r w:rsidRPr="0071735F">
              <w:rPr>
                <w:rFonts w:ascii="Times New Roman" w:eastAsia="Times New Roman" w:hAnsi="Times New Roman" w:cs="Times New Roman"/>
                <w:bCs/>
                <w:sz w:val="24"/>
                <w:szCs w:val="24"/>
                <w:lang w:val="ro-MD" w:eastAsia="ru-RU"/>
              </w:rPr>
              <w:t xml:space="preserve">Având în vedere angajamentele asumate de Republica Moldova prin aderarea la Tratatul Comunității Energetice, prin efectul Legii 117/2009, </w:t>
            </w:r>
            <w:r w:rsidR="00C519AD" w:rsidRPr="0071735F">
              <w:rPr>
                <w:rFonts w:ascii="Times New Roman" w:eastAsia="Times New Roman" w:hAnsi="Times New Roman" w:cs="Times New Roman"/>
                <w:bCs/>
                <w:sz w:val="24"/>
                <w:szCs w:val="24"/>
                <w:lang w:val="ro-MD" w:eastAsia="ru-RU"/>
              </w:rPr>
              <w:t xml:space="preserve">Guvernul are obligația transpunerii </w:t>
            </w:r>
            <w:r w:rsidR="00C519AD" w:rsidRPr="0071735F">
              <w:rPr>
                <w:rFonts w:ascii="Times New Roman" w:eastAsia="Times New Roman" w:hAnsi="Times New Roman" w:cs="Times New Roman"/>
                <w:bCs/>
                <w:i/>
                <w:iCs/>
                <w:sz w:val="24"/>
                <w:szCs w:val="24"/>
                <w:lang w:val="ro-MD" w:eastAsia="ru-RU"/>
              </w:rPr>
              <w:t>Directiv</w:t>
            </w:r>
            <w:r w:rsidR="00883F17" w:rsidRPr="0071735F">
              <w:rPr>
                <w:rFonts w:ascii="Times New Roman" w:eastAsia="Times New Roman" w:hAnsi="Times New Roman" w:cs="Times New Roman"/>
                <w:bCs/>
                <w:i/>
                <w:iCs/>
                <w:sz w:val="24"/>
                <w:szCs w:val="24"/>
                <w:lang w:val="ro-MD" w:eastAsia="ru-RU"/>
              </w:rPr>
              <w:t>ei</w:t>
            </w:r>
            <w:r w:rsidR="00C519AD" w:rsidRPr="0071735F">
              <w:rPr>
                <w:rFonts w:ascii="Times New Roman" w:eastAsia="Times New Roman" w:hAnsi="Times New Roman" w:cs="Times New Roman"/>
                <w:bCs/>
                <w:i/>
                <w:iCs/>
                <w:sz w:val="24"/>
                <w:szCs w:val="24"/>
                <w:lang w:val="ro-MD" w:eastAsia="ru-RU"/>
              </w:rPr>
              <w:t xml:space="preserve"> (UE) 2018/2002 privind eficiența energetică</w:t>
            </w:r>
            <w:r w:rsidR="006A357C" w:rsidRPr="0071735F">
              <w:rPr>
                <w:rFonts w:ascii="Times New Roman" w:eastAsia="Times New Roman" w:hAnsi="Times New Roman" w:cs="Times New Roman"/>
                <w:bCs/>
                <w:i/>
                <w:iCs/>
                <w:sz w:val="24"/>
                <w:szCs w:val="24"/>
                <w:lang w:val="ro-MD" w:eastAsia="ru-RU"/>
              </w:rPr>
              <w:t xml:space="preserve">. </w:t>
            </w:r>
            <w:r w:rsidR="006A357C" w:rsidRPr="0071735F">
              <w:rPr>
                <w:rFonts w:ascii="Times New Roman" w:eastAsia="Times New Roman" w:hAnsi="Times New Roman" w:cs="Times New Roman"/>
                <w:bCs/>
                <w:sz w:val="24"/>
                <w:szCs w:val="24"/>
                <w:lang w:val="ro-MD" w:eastAsia="ru-RU"/>
              </w:rPr>
              <w:t xml:space="preserve">Obligația de transpunere a survenit în rezultatul </w:t>
            </w:r>
            <w:r w:rsidR="006A357C" w:rsidRPr="0071735F">
              <w:rPr>
                <w:rFonts w:ascii="Times New Roman" w:eastAsia="Times New Roman" w:hAnsi="Times New Roman" w:cs="Times New Roman"/>
                <w:bCs/>
                <w:i/>
                <w:iCs/>
                <w:sz w:val="24"/>
                <w:szCs w:val="24"/>
                <w:lang w:val="ro-MD" w:eastAsia="ru-RU"/>
              </w:rPr>
              <w:t>Decizi</w:t>
            </w:r>
            <w:r w:rsidR="00C214BA" w:rsidRPr="0071735F">
              <w:rPr>
                <w:rFonts w:ascii="Times New Roman" w:eastAsia="Times New Roman" w:hAnsi="Times New Roman" w:cs="Times New Roman"/>
                <w:bCs/>
                <w:i/>
                <w:iCs/>
                <w:sz w:val="24"/>
                <w:szCs w:val="24"/>
                <w:lang w:val="ro-MD" w:eastAsia="ru-RU"/>
              </w:rPr>
              <w:t>ei</w:t>
            </w:r>
            <w:r w:rsidR="006A357C" w:rsidRPr="0071735F">
              <w:rPr>
                <w:rFonts w:ascii="Times New Roman" w:eastAsia="Times New Roman" w:hAnsi="Times New Roman" w:cs="Times New Roman"/>
                <w:bCs/>
                <w:i/>
                <w:iCs/>
                <w:sz w:val="24"/>
                <w:szCs w:val="24"/>
                <w:lang w:val="ro-MD" w:eastAsia="ru-RU"/>
              </w:rPr>
              <w:t xml:space="preserve"> D/2021/14/MC-EnC a Consiliului Ministerial, </w:t>
            </w:r>
            <w:r w:rsidR="006A357C" w:rsidRPr="0071735F">
              <w:rPr>
                <w:rFonts w:ascii="Times New Roman" w:eastAsia="Times New Roman" w:hAnsi="Times New Roman" w:cs="Times New Roman"/>
                <w:bCs/>
                <w:sz w:val="24"/>
                <w:szCs w:val="24"/>
                <w:lang w:val="ro-MD" w:eastAsia="ru-RU"/>
              </w:rPr>
              <w:t xml:space="preserve">conform </w:t>
            </w:r>
            <w:r w:rsidR="00C214BA" w:rsidRPr="0071735F">
              <w:rPr>
                <w:rFonts w:ascii="Times New Roman" w:eastAsia="Times New Roman" w:hAnsi="Times New Roman" w:cs="Times New Roman"/>
                <w:bCs/>
                <w:sz w:val="24"/>
                <w:szCs w:val="24"/>
                <w:lang w:val="ro-MD" w:eastAsia="ru-RU"/>
              </w:rPr>
              <w:t xml:space="preserve">art. 2, alin (1) al căreia, </w:t>
            </w:r>
            <w:r w:rsidR="00954FCA" w:rsidRPr="0071735F">
              <w:rPr>
                <w:rFonts w:ascii="Times New Roman" w:eastAsia="Times New Roman" w:hAnsi="Times New Roman" w:cs="Times New Roman"/>
                <w:bCs/>
                <w:sz w:val="24"/>
                <w:szCs w:val="24"/>
                <w:lang w:val="ro-MD" w:eastAsia="ru-RU"/>
              </w:rPr>
              <w:t xml:space="preserve">transpunerea urmează a fi asigurată până la 31 </w:t>
            </w:r>
            <w:r w:rsidR="00982C05" w:rsidRPr="0071735F">
              <w:rPr>
                <w:rFonts w:ascii="Times New Roman" w:eastAsia="Times New Roman" w:hAnsi="Times New Roman" w:cs="Times New Roman"/>
                <w:bCs/>
                <w:sz w:val="24"/>
                <w:szCs w:val="24"/>
                <w:lang w:val="ro-MD" w:eastAsia="ru-RU"/>
              </w:rPr>
              <w:t>decembrie 2022.</w:t>
            </w:r>
            <w:r w:rsidR="006A357C" w:rsidRPr="0071735F">
              <w:rPr>
                <w:rFonts w:ascii="Times New Roman" w:eastAsia="Times New Roman" w:hAnsi="Times New Roman" w:cs="Times New Roman"/>
                <w:bCs/>
                <w:i/>
                <w:iCs/>
                <w:sz w:val="24"/>
                <w:szCs w:val="24"/>
                <w:lang w:val="ro-MD" w:eastAsia="ru-RU"/>
              </w:rPr>
              <w:t xml:space="preserve"> </w:t>
            </w:r>
          </w:p>
          <w:p w14:paraId="554494D7" w14:textId="22136460" w:rsidR="00295B00" w:rsidRPr="0071735F" w:rsidRDefault="004A4F75" w:rsidP="00283E66">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Versiunea revizuită a Directivei, în formula ajustată și adaptată de Consiliul Ministerial</w:t>
            </w:r>
            <w:r w:rsidR="009C1266" w:rsidRPr="0071735F">
              <w:rPr>
                <w:rFonts w:ascii="Times New Roman" w:eastAsia="Times New Roman" w:hAnsi="Times New Roman" w:cs="Times New Roman"/>
                <w:bCs/>
                <w:sz w:val="24"/>
                <w:szCs w:val="24"/>
                <w:lang w:val="ro-MD" w:eastAsia="ru-RU"/>
              </w:rPr>
              <w:t>, vine cu o serie de modificări și completări, și anume:</w:t>
            </w:r>
          </w:p>
          <w:p w14:paraId="5CFE89AB" w14:textId="11C5DC0D" w:rsidR="009C1266" w:rsidRPr="0071735F" w:rsidRDefault="00C50288" w:rsidP="00E312E2">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Introducerea </w:t>
            </w:r>
            <w:r w:rsidR="00BC7680" w:rsidRPr="0071735F">
              <w:rPr>
                <w:rFonts w:ascii="Times New Roman" w:eastAsia="Times New Roman" w:hAnsi="Times New Roman" w:cs="Times New Roman"/>
                <w:bCs/>
                <w:sz w:val="24"/>
                <w:szCs w:val="24"/>
                <w:lang w:val="ro-MD" w:eastAsia="ru-RU"/>
              </w:rPr>
              <w:t>obligați</w:t>
            </w:r>
            <w:r w:rsidRPr="0071735F">
              <w:rPr>
                <w:rFonts w:ascii="Times New Roman" w:eastAsia="Times New Roman" w:hAnsi="Times New Roman" w:cs="Times New Roman"/>
                <w:bCs/>
                <w:sz w:val="24"/>
                <w:szCs w:val="24"/>
                <w:lang w:val="ro-MD" w:eastAsia="ru-RU"/>
              </w:rPr>
              <w:t>ei</w:t>
            </w:r>
            <w:r w:rsidR="00BC7680" w:rsidRPr="0071735F">
              <w:rPr>
                <w:rFonts w:ascii="Times New Roman" w:eastAsia="Times New Roman" w:hAnsi="Times New Roman" w:cs="Times New Roman"/>
                <w:bCs/>
                <w:sz w:val="24"/>
                <w:szCs w:val="24"/>
                <w:lang w:val="ro-MD" w:eastAsia="ru-RU"/>
              </w:rPr>
              <w:t xml:space="preserve"> de elaborare și aprobare a Planului </w:t>
            </w:r>
            <w:r w:rsidR="004C1171" w:rsidRPr="0071735F">
              <w:rPr>
                <w:rFonts w:ascii="Times New Roman" w:eastAsia="Times New Roman" w:hAnsi="Times New Roman" w:cs="Times New Roman"/>
                <w:bCs/>
                <w:sz w:val="24"/>
                <w:szCs w:val="24"/>
                <w:lang w:val="ro-MD" w:eastAsia="ru-RU"/>
              </w:rPr>
              <w:t>Național</w:t>
            </w:r>
            <w:r w:rsidR="0012463A" w:rsidRPr="0071735F">
              <w:rPr>
                <w:rFonts w:ascii="Times New Roman" w:eastAsia="Times New Roman" w:hAnsi="Times New Roman" w:cs="Times New Roman"/>
                <w:bCs/>
                <w:sz w:val="24"/>
                <w:szCs w:val="24"/>
                <w:lang w:val="ro-MD" w:eastAsia="ru-RU"/>
              </w:rPr>
              <w:t xml:space="preserve"> </w:t>
            </w:r>
            <w:r w:rsidR="00BC7680" w:rsidRPr="0071735F">
              <w:rPr>
                <w:rFonts w:ascii="Times New Roman" w:eastAsia="Times New Roman" w:hAnsi="Times New Roman" w:cs="Times New Roman"/>
                <w:bCs/>
                <w:sz w:val="24"/>
                <w:szCs w:val="24"/>
                <w:lang w:val="ro-MD" w:eastAsia="ru-RU"/>
              </w:rPr>
              <w:t>Integrat pentru Energi</w:t>
            </w:r>
            <w:r w:rsidR="00972FEF" w:rsidRPr="0071735F">
              <w:rPr>
                <w:rFonts w:ascii="Times New Roman" w:eastAsia="Times New Roman" w:hAnsi="Times New Roman" w:cs="Times New Roman"/>
                <w:bCs/>
                <w:sz w:val="24"/>
                <w:szCs w:val="24"/>
                <w:lang w:val="ro-MD" w:eastAsia="ru-RU"/>
              </w:rPr>
              <w:t>e</w:t>
            </w:r>
            <w:r w:rsidR="00BC7680" w:rsidRPr="0071735F">
              <w:rPr>
                <w:rFonts w:ascii="Times New Roman" w:eastAsia="Times New Roman" w:hAnsi="Times New Roman" w:cs="Times New Roman"/>
                <w:bCs/>
                <w:sz w:val="24"/>
                <w:szCs w:val="24"/>
                <w:lang w:val="ro-MD" w:eastAsia="ru-RU"/>
              </w:rPr>
              <w:t xml:space="preserve"> și Climă</w:t>
            </w:r>
            <w:r w:rsidR="00972FEF" w:rsidRPr="0071735F">
              <w:rPr>
                <w:rFonts w:ascii="Times New Roman" w:eastAsia="Times New Roman" w:hAnsi="Times New Roman" w:cs="Times New Roman"/>
                <w:bCs/>
                <w:sz w:val="24"/>
                <w:szCs w:val="24"/>
                <w:lang w:val="ro-MD" w:eastAsia="ru-RU"/>
              </w:rPr>
              <w:t xml:space="preserve"> </w:t>
            </w:r>
            <w:r w:rsidR="007A6E03" w:rsidRPr="0071735F">
              <w:rPr>
                <w:rFonts w:ascii="Times New Roman" w:eastAsia="Times New Roman" w:hAnsi="Times New Roman" w:cs="Times New Roman"/>
                <w:bCs/>
                <w:sz w:val="24"/>
                <w:szCs w:val="24"/>
                <w:lang w:val="ro-MD" w:eastAsia="ru-RU"/>
              </w:rPr>
              <w:t>până în anul 2030</w:t>
            </w:r>
            <w:r w:rsidR="004C1171" w:rsidRPr="0071735F">
              <w:rPr>
                <w:rFonts w:ascii="Times New Roman" w:eastAsia="Times New Roman" w:hAnsi="Times New Roman" w:cs="Times New Roman"/>
                <w:bCs/>
                <w:sz w:val="24"/>
                <w:szCs w:val="24"/>
                <w:lang w:val="ro-MD" w:eastAsia="ru-RU"/>
              </w:rPr>
              <w:t xml:space="preserve"> /PNIEC/</w:t>
            </w:r>
            <w:r w:rsidR="007A6E03" w:rsidRPr="0071735F">
              <w:rPr>
                <w:rFonts w:ascii="Times New Roman" w:eastAsia="Times New Roman" w:hAnsi="Times New Roman" w:cs="Times New Roman"/>
                <w:bCs/>
                <w:sz w:val="24"/>
                <w:szCs w:val="24"/>
                <w:lang w:val="ro-MD" w:eastAsia="ru-RU"/>
              </w:rPr>
              <w:t xml:space="preserve">, </w:t>
            </w:r>
            <w:r w:rsidR="00972FEF" w:rsidRPr="0071735F">
              <w:rPr>
                <w:rFonts w:ascii="Times New Roman" w:eastAsia="Times New Roman" w:hAnsi="Times New Roman" w:cs="Times New Roman"/>
                <w:bCs/>
                <w:sz w:val="24"/>
                <w:szCs w:val="24"/>
                <w:lang w:val="ro-MD" w:eastAsia="ru-RU"/>
              </w:rPr>
              <w:t xml:space="preserve">până </w:t>
            </w:r>
            <w:r w:rsidR="007A6E03" w:rsidRPr="0071735F">
              <w:rPr>
                <w:rFonts w:ascii="Times New Roman" w:eastAsia="Times New Roman" w:hAnsi="Times New Roman" w:cs="Times New Roman"/>
                <w:bCs/>
                <w:sz w:val="24"/>
                <w:szCs w:val="24"/>
                <w:lang w:val="ro-MD" w:eastAsia="ru-RU"/>
              </w:rPr>
              <w:t>la 30 iunie 2024.</w:t>
            </w:r>
          </w:p>
          <w:p w14:paraId="3BA5F2E9" w14:textId="68F2B90A" w:rsidR="007A6E03" w:rsidRPr="0071735F" w:rsidRDefault="007A6E03" w:rsidP="007A6E03">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Obligația de elaborare a P</w:t>
            </w:r>
            <w:r w:rsidR="004C1171" w:rsidRPr="0071735F">
              <w:rPr>
                <w:rFonts w:ascii="Times New Roman" w:eastAsia="Times New Roman" w:hAnsi="Times New Roman" w:cs="Times New Roman"/>
                <w:bCs/>
                <w:sz w:val="24"/>
                <w:szCs w:val="24"/>
                <w:lang w:val="ro-MD" w:eastAsia="ru-RU"/>
              </w:rPr>
              <w:t>N</w:t>
            </w:r>
            <w:r w:rsidRPr="0071735F">
              <w:rPr>
                <w:rFonts w:ascii="Times New Roman" w:eastAsia="Times New Roman" w:hAnsi="Times New Roman" w:cs="Times New Roman"/>
                <w:bCs/>
                <w:sz w:val="24"/>
                <w:szCs w:val="24"/>
                <w:lang w:val="ro-MD" w:eastAsia="ru-RU"/>
              </w:rPr>
              <w:t xml:space="preserve">IEC reiese din </w:t>
            </w:r>
            <w:r w:rsidRPr="0071735F">
              <w:rPr>
                <w:rFonts w:ascii="Times New Roman" w:eastAsia="Times New Roman" w:hAnsi="Times New Roman" w:cs="Times New Roman"/>
                <w:bCs/>
                <w:i/>
                <w:iCs/>
                <w:sz w:val="24"/>
                <w:szCs w:val="24"/>
                <w:lang w:val="ro-MD" w:eastAsia="ru-RU"/>
              </w:rPr>
              <w:t xml:space="preserve">Regulamentul </w:t>
            </w:r>
            <w:r w:rsidR="00A51A8D" w:rsidRPr="0071735F">
              <w:rPr>
                <w:rFonts w:ascii="Times New Roman" w:eastAsia="Times New Roman" w:hAnsi="Times New Roman" w:cs="Times New Roman"/>
                <w:bCs/>
                <w:i/>
                <w:iCs/>
                <w:sz w:val="24"/>
                <w:szCs w:val="24"/>
                <w:lang w:val="ro-MD" w:eastAsia="ru-RU"/>
              </w:rPr>
              <w:t xml:space="preserve">privind guvernanța uniunii energetice și a acțiunilor climatice no. </w:t>
            </w:r>
            <w:r w:rsidR="00C76583" w:rsidRPr="0071735F">
              <w:rPr>
                <w:rFonts w:ascii="Times New Roman" w:eastAsia="Times New Roman" w:hAnsi="Times New Roman" w:cs="Times New Roman"/>
                <w:bCs/>
                <w:i/>
                <w:iCs/>
                <w:sz w:val="24"/>
                <w:szCs w:val="24"/>
                <w:lang w:val="ro-MD" w:eastAsia="ru-RU"/>
              </w:rPr>
              <w:t>2018/1999</w:t>
            </w:r>
            <w:r w:rsidR="00A51A8D" w:rsidRPr="0071735F">
              <w:rPr>
                <w:rFonts w:ascii="Times New Roman" w:eastAsia="Times New Roman" w:hAnsi="Times New Roman" w:cs="Times New Roman"/>
                <w:bCs/>
                <w:i/>
                <w:iCs/>
                <w:sz w:val="24"/>
                <w:szCs w:val="24"/>
                <w:lang w:val="ro-MD" w:eastAsia="ru-RU"/>
              </w:rPr>
              <w:t xml:space="preserve"> </w:t>
            </w:r>
            <w:r w:rsidR="00A51A8D" w:rsidRPr="0071735F">
              <w:rPr>
                <w:rFonts w:ascii="Times New Roman" w:eastAsia="Times New Roman" w:hAnsi="Times New Roman" w:cs="Times New Roman"/>
                <w:bCs/>
                <w:sz w:val="24"/>
                <w:szCs w:val="24"/>
                <w:lang w:val="ro-MD" w:eastAsia="ru-RU"/>
              </w:rPr>
              <w:t>(Regulamentul privind Guvernanța)</w:t>
            </w:r>
            <w:r w:rsidR="00C13AB8" w:rsidRPr="0071735F">
              <w:rPr>
                <w:rFonts w:ascii="Times New Roman" w:eastAsia="Times New Roman" w:hAnsi="Times New Roman" w:cs="Times New Roman"/>
                <w:bCs/>
                <w:sz w:val="24"/>
                <w:szCs w:val="24"/>
                <w:lang w:val="ro-MD" w:eastAsia="ru-RU"/>
              </w:rPr>
              <w:t xml:space="preserve">, care prezintă detalii cu privire la conținutul acestuia, structura, modalitatea de elaborare, etc. </w:t>
            </w:r>
            <w:r w:rsidR="00B46C47" w:rsidRPr="0071735F">
              <w:rPr>
                <w:rFonts w:ascii="Times New Roman" w:eastAsia="Times New Roman" w:hAnsi="Times New Roman" w:cs="Times New Roman"/>
                <w:bCs/>
                <w:sz w:val="24"/>
                <w:szCs w:val="24"/>
                <w:lang w:val="ro-MD" w:eastAsia="ru-RU"/>
              </w:rPr>
              <w:t xml:space="preserve">Transpunerea acestuia în legislația națională va fi sprijinită de PNUD în cadrul proiectului </w:t>
            </w:r>
            <w:r w:rsidR="004E1889" w:rsidRPr="0071735F">
              <w:rPr>
                <w:rFonts w:ascii="Times New Roman" w:eastAsia="Times New Roman" w:hAnsi="Times New Roman" w:cs="Times New Roman"/>
                <w:bCs/>
                <w:sz w:val="24"/>
                <w:szCs w:val="24"/>
                <w:lang w:val="ro-MD" w:eastAsia="ru-RU"/>
              </w:rPr>
              <w:t xml:space="preserve">„Abordarea impactului crizei </w:t>
            </w:r>
            <w:r w:rsidR="004E1889" w:rsidRPr="0071735F">
              <w:rPr>
                <w:rFonts w:ascii="Times New Roman" w:eastAsia="Times New Roman" w:hAnsi="Times New Roman" w:cs="Times New Roman"/>
                <w:bCs/>
                <w:sz w:val="24"/>
                <w:szCs w:val="24"/>
                <w:lang w:val="ro-MD" w:eastAsia="ru-RU"/>
              </w:rPr>
              <w:lastRenderedPageBreak/>
              <w:t>energetice în Republica Moldova”</w:t>
            </w:r>
            <w:r w:rsidR="00CE4A91" w:rsidRPr="0071735F">
              <w:rPr>
                <w:rStyle w:val="FootnoteReference"/>
                <w:rFonts w:ascii="Times New Roman" w:eastAsia="Times New Roman" w:hAnsi="Times New Roman" w:cs="Times New Roman"/>
                <w:bCs/>
                <w:sz w:val="24"/>
                <w:szCs w:val="24"/>
                <w:lang w:val="ro-MD" w:eastAsia="ru-RU"/>
              </w:rPr>
              <w:footnoteReference w:id="4"/>
            </w:r>
            <w:r w:rsidR="004E1889" w:rsidRPr="0071735F">
              <w:rPr>
                <w:rFonts w:ascii="Times New Roman" w:eastAsia="Times New Roman" w:hAnsi="Times New Roman" w:cs="Times New Roman"/>
                <w:bCs/>
                <w:sz w:val="24"/>
                <w:szCs w:val="24"/>
                <w:lang w:val="ro-MD" w:eastAsia="ru-RU"/>
              </w:rPr>
              <w:t xml:space="preserve">, lansat </w:t>
            </w:r>
            <w:r w:rsidR="0012463A" w:rsidRPr="0071735F">
              <w:rPr>
                <w:rFonts w:ascii="Times New Roman" w:eastAsia="Times New Roman" w:hAnsi="Times New Roman" w:cs="Times New Roman"/>
                <w:bCs/>
                <w:sz w:val="24"/>
                <w:szCs w:val="24"/>
                <w:lang w:val="ro-MD" w:eastAsia="ru-RU"/>
              </w:rPr>
              <w:t xml:space="preserve">recent. Deși </w:t>
            </w:r>
            <w:r w:rsidR="00F17F98" w:rsidRPr="0071735F">
              <w:rPr>
                <w:rFonts w:ascii="Times New Roman" w:eastAsia="Times New Roman" w:hAnsi="Times New Roman" w:cs="Times New Roman"/>
                <w:bCs/>
                <w:sz w:val="24"/>
                <w:szCs w:val="24"/>
                <w:lang w:val="ro-MD" w:eastAsia="ru-RU"/>
              </w:rPr>
              <w:t xml:space="preserve">Regulamentul 2018/1999 urmează a fi </w:t>
            </w:r>
            <w:r w:rsidR="004C1171" w:rsidRPr="0071735F">
              <w:rPr>
                <w:rFonts w:ascii="Times New Roman" w:eastAsia="Times New Roman" w:hAnsi="Times New Roman" w:cs="Times New Roman"/>
                <w:bCs/>
                <w:sz w:val="24"/>
                <w:szCs w:val="24"/>
                <w:lang w:val="ro-MD" w:eastAsia="ru-RU"/>
              </w:rPr>
              <w:t xml:space="preserve">elaborat în perioada </w:t>
            </w:r>
            <w:r w:rsidR="00C6085F" w:rsidRPr="0071735F">
              <w:rPr>
                <w:rFonts w:ascii="Times New Roman" w:eastAsia="Times New Roman" w:hAnsi="Times New Roman" w:cs="Times New Roman"/>
                <w:bCs/>
                <w:sz w:val="24"/>
                <w:szCs w:val="24"/>
                <w:lang w:val="ro-MD" w:eastAsia="ru-RU"/>
              </w:rPr>
              <w:t xml:space="preserve">2022-2023, </w:t>
            </w:r>
            <w:r w:rsidR="004B4E12" w:rsidRPr="0071735F">
              <w:rPr>
                <w:rFonts w:ascii="Times New Roman" w:eastAsia="Times New Roman" w:hAnsi="Times New Roman" w:cs="Times New Roman"/>
                <w:bCs/>
                <w:sz w:val="24"/>
                <w:szCs w:val="24"/>
                <w:lang w:val="ro-MD" w:eastAsia="ru-RU"/>
              </w:rPr>
              <w:t>prin lege sau hotărâre de Guvern</w:t>
            </w:r>
            <w:r w:rsidR="004B4E12" w:rsidRPr="0071735F">
              <w:rPr>
                <w:rStyle w:val="FootnoteReference"/>
                <w:rFonts w:ascii="Times New Roman" w:eastAsia="Times New Roman" w:hAnsi="Times New Roman" w:cs="Times New Roman"/>
                <w:bCs/>
                <w:sz w:val="24"/>
                <w:szCs w:val="24"/>
                <w:lang w:val="ro-MD" w:eastAsia="ru-RU"/>
              </w:rPr>
              <w:footnoteReference w:id="5"/>
            </w:r>
            <w:r w:rsidR="004B4E12" w:rsidRPr="0071735F">
              <w:rPr>
                <w:rFonts w:ascii="Times New Roman" w:eastAsia="Times New Roman" w:hAnsi="Times New Roman" w:cs="Times New Roman"/>
                <w:bCs/>
                <w:sz w:val="24"/>
                <w:szCs w:val="24"/>
                <w:lang w:val="ro-MD" w:eastAsia="ru-RU"/>
              </w:rPr>
              <w:t xml:space="preserve"> </w:t>
            </w:r>
            <w:r w:rsidR="00C6085F" w:rsidRPr="0071735F">
              <w:rPr>
                <w:rFonts w:ascii="Times New Roman" w:eastAsia="Times New Roman" w:hAnsi="Times New Roman" w:cs="Times New Roman"/>
                <w:bCs/>
                <w:sz w:val="24"/>
                <w:szCs w:val="24"/>
                <w:lang w:val="ro-MD" w:eastAsia="ru-RU"/>
              </w:rPr>
              <w:t xml:space="preserve">obligația de elaborare a acestuia urmează să reiasă dintr-un </w:t>
            </w:r>
            <w:r w:rsidR="00662760" w:rsidRPr="0071735F">
              <w:rPr>
                <w:rFonts w:ascii="Times New Roman" w:eastAsia="Times New Roman" w:hAnsi="Times New Roman" w:cs="Times New Roman"/>
                <w:bCs/>
                <w:sz w:val="24"/>
                <w:szCs w:val="24"/>
                <w:lang w:val="ro-MD" w:eastAsia="ru-RU"/>
              </w:rPr>
              <w:t xml:space="preserve">act legislativ superior. Mai mult decât atât, având în vedere că </w:t>
            </w:r>
            <w:r w:rsidR="00AF75A5" w:rsidRPr="0071735F">
              <w:rPr>
                <w:rFonts w:ascii="Times New Roman" w:eastAsia="Times New Roman" w:hAnsi="Times New Roman" w:cs="Times New Roman"/>
                <w:bCs/>
                <w:sz w:val="24"/>
                <w:szCs w:val="24"/>
                <w:lang w:val="ro-MD" w:eastAsia="ru-RU"/>
              </w:rPr>
              <w:t>PNIEC va stabili ținte naționale pentru orizontul de timp 2030 în domeniul eficienței energetice, energiei regenerabile și emisiilor de gaze cu efect de seră (GES), stabilirea obligației de elaborare a Planului în Legea cu privire la eficiența energetică este una logică și perfect valabilă.</w:t>
            </w:r>
          </w:p>
          <w:p w14:paraId="42B1A34D" w14:textId="294E1346" w:rsidR="00AF75A5" w:rsidRPr="0071735F" w:rsidRDefault="00FD5235" w:rsidP="00FD5235">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Transferul prevederilor cu privire la elaborarea </w:t>
            </w:r>
            <w:r w:rsidR="00357067" w:rsidRPr="0071735F">
              <w:rPr>
                <w:rFonts w:ascii="Times New Roman" w:eastAsia="Times New Roman" w:hAnsi="Times New Roman" w:cs="Times New Roman"/>
                <w:bCs/>
                <w:i/>
                <w:iCs/>
                <w:sz w:val="24"/>
                <w:szCs w:val="24"/>
                <w:lang w:val="ro-MD" w:eastAsia="ru-RU"/>
              </w:rPr>
              <w:t>Strategiei sectoriale pentru re</w:t>
            </w:r>
            <w:r w:rsidR="00416885" w:rsidRPr="0071735F">
              <w:rPr>
                <w:rFonts w:ascii="Times New Roman" w:eastAsia="Times New Roman" w:hAnsi="Times New Roman" w:cs="Times New Roman"/>
                <w:bCs/>
                <w:i/>
                <w:iCs/>
                <w:sz w:val="24"/>
                <w:szCs w:val="24"/>
                <w:lang w:val="ro-MD" w:eastAsia="ru-RU"/>
              </w:rPr>
              <w:t>novarea fondului imobiliar național pe termen lung</w:t>
            </w:r>
            <w:r w:rsidR="00416885" w:rsidRPr="0071735F">
              <w:rPr>
                <w:rFonts w:ascii="Times New Roman" w:eastAsia="Times New Roman" w:hAnsi="Times New Roman" w:cs="Times New Roman"/>
                <w:bCs/>
                <w:sz w:val="24"/>
                <w:szCs w:val="24"/>
                <w:lang w:val="ro-MD" w:eastAsia="ru-RU"/>
              </w:rPr>
              <w:t xml:space="preserve"> în Legea privind performanța energetică a clădirilor nr. 128/2014</w:t>
            </w:r>
          </w:p>
          <w:p w14:paraId="33461A87" w14:textId="2B78C713" w:rsidR="00416885" w:rsidRPr="0071735F" w:rsidRDefault="00164E6D" w:rsidP="00416885">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Având în vedere că </w:t>
            </w:r>
            <w:r w:rsidR="00233651" w:rsidRPr="0071735F">
              <w:rPr>
                <w:rFonts w:ascii="Times New Roman" w:eastAsia="Times New Roman" w:hAnsi="Times New Roman" w:cs="Times New Roman"/>
                <w:bCs/>
                <w:sz w:val="24"/>
                <w:szCs w:val="24"/>
                <w:lang w:val="ro-MD" w:eastAsia="ru-RU"/>
              </w:rPr>
              <w:t>în domeniul performanței energetice a clădirilo</w:t>
            </w:r>
            <w:r w:rsidR="000E48C1" w:rsidRPr="0071735F">
              <w:rPr>
                <w:rFonts w:ascii="Times New Roman" w:eastAsia="Times New Roman" w:hAnsi="Times New Roman" w:cs="Times New Roman"/>
                <w:bCs/>
                <w:sz w:val="24"/>
                <w:szCs w:val="24"/>
                <w:lang w:val="ro-MD" w:eastAsia="ru-RU"/>
              </w:rPr>
              <w:t xml:space="preserve">r și a legislației conexe, legătura dintre Strategia sectorială pentru renovarea fondului imobiliar pe termen lung </w:t>
            </w:r>
            <w:r w:rsidR="00EE5675" w:rsidRPr="0071735F">
              <w:rPr>
                <w:rFonts w:ascii="Times New Roman" w:eastAsia="Times New Roman" w:hAnsi="Times New Roman" w:cs="Times New Roman"/>
                <w:bCs/>
                <w:sz w:val="24"/>
                <w:szCs w:val="24"/>
                <w:lang w:val="ro-MD" w:eastAsia="ru-RU"/>
              </w:rPr>
              <w:t xml:space="preserve">și planului de acțiuni pentru creșterea numărului clădirilor cu consum de energie aproape egal cu zero este una logică și puternică, Directiva </w:t>
            </w:r>
            <w:r w:rsidR="00B74E9D" w:rsidRPr="0071735F">
              <w:rPr>
                <w:rFonts w:ascii="Times New Roman" w:eastAsia="Times New Roman" w:hAnsi="Times New Roman" w:cs="Times New Roman"/>
                <w:bCs/>
                <w:sz w:val="24"/>
                <w:szCs w:val="24"/>
                <w:lang w:val="ro-MD" w:eastAsia="ru-RU"/>
              </w:rPr>
              <w:t>2018/2002 sugerează transferul prevederilor respective din cadrul primar cu incidență în domeniul EE, către cel cu privire la performanța energetică a clădirilor.</w:t>
            </w:r>
          </w:p>
          <w:p w14:paraId="5379E11E" w14:textId="60616D3C" w:rsidR="002D5918" w:rsidRPr="0071735F" w:rsidRDefault="004971E8" w:rsidP="00C16B4B">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Introducerea</w:t>
            </w:r>
            <w:r w:rsidR="00A97F39" w:rsidRPr="0071735F">
              <w:rPr>
                <w:rFonts w:ascii="Times New Roman" w:eastAsia="Times New Roman" w:hAnsi="Times New Roman" w:cs="Times New Roman"/>
                <w:bCs/>
                <w:sz w:val="24"/>
                <w:szCs w:val="24"/>
                <w:lang w:val="ro-MD" w:eastAsia="ru-RU"/>
              </w:rPr>
              <w:t xml:space="preserve"> </w:t>
            </w:r>
            <w:r w:rsidRPr="0071735F">
              <w:rPr>
                <w:rFonts w:ascii="Times New Roman" w:eastAsia="Times New Roman" w:hAnsi="Times New Roman" w:cs="Times New Roman"/>
                <w:bCs/>
                <w:sz w:val="24"/>
                <w:szCs w:val="24"/>
                <w:lang w:val="ro-MD" w:eastAsia="ru-RU"/>
              </w:rPr>
              <w:t>o</w:t>
            </w:r>
            <w:r w:rsidR="00C16B4B" w:rsidRPr="0071735F">
              <w:rPr>
                <w:rFonts w:ascii="Times New Roman" w:eastAsia="Times New Roman" w:hAnsi="Times New Roman" w:cs="Times New Roman"/>
                <w:bCs/>
                <w:sz w:val="24"/>
                <w:szCs w:val="24"/>
                <w:lang w:val="ro-MD" w:eastAsia="ru-RU"/>
              </w:rPr>
              <w:t>bligați</w:t>
            </w:r>
            <w:r w:rsidR="0087784A" w:rsidRPr="0071735F">
              <w:rPr>
                <w:rFonts w:ascii="Times New Roman" w:eastAsia="Times New Roman" w:hAnsi="Times New Roman" w:cs="Times New Roman"/>
                <w:bCs/>
                <w:sz w:val="24"/>
                <w:szCs w:val="24"/>
                <w:lang w:val="ro-MD" w:eastAsia="ru-RU"/>
              </w:rPr>
              <w:t>il</w:t>
            </w:r>
            <w:r w:rsidRPr="0071735F">
              <w:rPr>
                <w:rFonts w:ascii="Times New Roman" w:eastAsia="Times New Roman" w:hAnsi="Times New Roman" w:cs="Times New Roman"/>
                <w:bCs/>
                <w:sz w:val="24"/>
                <w:szCs w:val="24"/>
                <w:lang w:val="ro-MD" w:eastAsia="ru-RU"/>
              </w:rPr>
              <w:t>or</w:t>
            </w:r>
            <w:r w:rsidR="00C16B4B" w:rsidRPr="0071735F">
              <w:rPr>
                <w:rFonts w:ascii="Times New Roman" w:eastAsia="Times New Roman" w:hAnsi="Times New Roman" w:cs="Times New Roman"/>
                <w:bCs/>
                <w:sz w:val="24"/>
                <w:szCs w:val="24"/>
                <w:lang w:val="ro-MD" w:eastAsia="ru-RU"/>
              </w:rPr>
              <w:t xml:space="preserve"> referitoare la economiile anuale de energie</w:t>
            </w:r>
          </w:p>
          <w:p w14:paraId="2D3D36D9" w14:textId="7828C399" w:rsidR="00DD57C7" w:rsidRPr="0071735F" w:rsidRDefault="0087784A" w:rsidP="00972FEF">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Similar prevederilor Directivei 27/2012, noua Directivă EU </w:t>
            </w:r>
            <w:r w:rsidR="00F60A60" w:rsidRPr="0071735F">
              <w:rPr>
                <w:rFonts w:ascii="Times New Roman" w:eastAsia="Times New Roman" w:hAnsi="Times New Roman" w:cs="Times New Roman"/>
                <w:bCs/>
                <w:sz w:val="24"/>
                <w:szCs w:val="24"/>
                <w:lang w:val="ro-MD" w:eastAsia="ru-RU"/>
              </w:rPr>
              <w:t xml:space="preserve">promovează conceptul unor obligații privind </w:t>
            </w:r>
            <w:r w:rsidR="006F0073" w:rsidRPr="0071735F">
              <w:rPr>
                <w:rFonts w:ascii="Times New Roman" w:eastAsia="Times New Roman" w:hAnsi="Times New Roman" w:cs="Times New Roman"/>
                <w:bCs/>
                <w:sz w:val="24"/>
                <w:szCs w:val="24"/>
                <w:lang w:val="ro-MD" w:eastAsia="ru-RU"/>
              </w:rPr>
              <w:t>economiile anuale noi de energie</w:t>
            </w:r>
            <w:r w:rsidR="00FA238B" w:rsidRPr="0071735F">
              <w:rPr>
                <w:rFonts w:ascii="Times New Roman" w:eastAsia="Times New Roman" w:hAnsi="Times New Roman" w:cs="Times New Roman"/>
                <w:bCs/>
                <w:sz w:val="24"/>
                <w:szCs w:val="24"/>
                <w:lang w:val="ro-MD" w:eastAsia="ru-RU"/>
              </w:rPr>
              <w:t xml:space="preserve">. </w:t>
            </w:r>
            <w:r w:rsidR="00DD57C7" w:rsidRPr="0071735F">
              <w:rPr>
                <w:rFonts w:ascii="Times New Roman" w:eastAsia="Times New Roman" w:hAnsi="Times New Roman" w:cs="Times New Roman"/>
                <w:bCs/>
                <w:sz w:val="24"/>
                <w:szCs w:val="24"/>
                <w:lang w:val="ro-MD" w:eastAsia="ru-RU"/>
              </w:rPr>
              <w:t>Extinderea aplicabilității obligației introduse în anul 2012</w:t>
            </w:r>
            <w:r w:rsidR="00165EAA" w:rsidRPr="0071735F">
              <w:rPr>
                <w:rFonts w:ascii="Times New Roman" w:eastAsia="Times New Roman" w:hAnsi="Times New Roman" w:cs="Times New Roman"/>
                <w:bCs/>
                <w:sz w:val="24"/>
                <w:szCs w:val="24"/>
                <w:lang w:val="ro-MD" w:eastAsia="ru-RU"/>
              </w:rPr>
              <w:t>, în viziunea Comisiei, a</w:t>
            </w:r>
            <w:r w:rsidR="00DD57C7" w:rsidRPr="0071735F">
              <w:rPr>
                <w:rFonts w:ascii="Times New Roman" w:eastAsia="Times New Roman" w:hAnsi="Times New Roman" w:cs="Times New Roman"/>
                <w:bCs/>
                <w:sz w:val="24"/>
                <w:szCs w:val="24"/>
                <w:lang w:val="ro-MD" w:eastAsia="ru-RU"/>
              </w:rPr>
              <w:t xml:space="preserve">r crea o mai mare stabilitate pentru investitori și, prin urmare, ar încuraja investițiile pe termen lung și măsurile vizând eficiența energetică pe termen lung, precum renovarea aprofundată a clădirilor cu obiectivul pe termen lung de a facilita transformarea rentabilă a clădirilor existente în clădiri al căror consum de energie este aproape egal cu zero. </w:t>
            </w:r>
            <w:r w:rsidR="00D355AF" w:rsidRPr="0071735F">
              <w:rPr>
                <w:rFonts w:ascii="Times New Roman" w:eastAsia="Times New Roman" w:hAnsi="Times New Roman" w:cs="Times New Roman"/>
                <w:bCs/>
                <w:sz w:val="24"/>
                <w:szCs w:val="24"/>
                <w:lang w:val="ro-MD" w:eastAsia="ru-RU"/>
              </w:rPr>
              <w:t>Mai mult decât atît, o</w:t>
            </w:r>
            <w:r w:rsidR="00DD57C7" w:rsidRPr="0071735F">
              <w:rPr>
                <w:rFonts w:ascii="Times New Roman" w:eastAsia="Times New Roman" w:hAnsi="Times New Roman" w:cs="Times New Roman"/>
                <w:bCs/>
                <w:sz w:val="24"/>
                <w:szCs w:val="24"/>
                <w:lang w:val="ro-MD" w:eastAsia="ru-RU"/>
              </w:rPr>
              <w:t xml:space="preserve">bligația privind economiile de energie are un rol important în generarea creșterii economice și a locurilor de muncă la nivel local și ar trebui să fie menținută pentru a garanta că </w:t>
            </w:r>
            <w:r w:rsidR="00D355AF" w:rsidRPr="0071735F">
              <w:rPr>
                <w:rFonts w:ascii="Times New Roman" w:eastAsia="Times New Roman" w:hAnsi="Times New Roman" w:cs="Times New Roman"/>
                <w:bCs/>
                <w:sz w:val="24"/>
                <w:szCs w:val="24"/>
                <w:lang w:val="ro-MD" w:eastAsia="ru-RU"/>
              </w:rPr>
              <w:t xml:space="preserve">Republica Moldova </w:t>
            </w:r>
            <w:r w:rsidR="00DD57C7" w:rsidRPr="0071735F">
              <w:rPr>
                <w:rFonts w:ascii="Times New Roman" w:eastAsia="Times New Roman" w:hAnsi="Times New Roman" w:cs="Times New Roman"/>
                <w:bCs/>
                <w:sz w:val="24"/>
                <w:szCs w:val="24"/>
                <w:lang w:val="ro-MD" w:eastAsia="ru-RU"/>
              </w:rPr>
              <w:t xml:space="preserve">își poate atinge obiectivele privind energia și clima prin crearea de oportunități suplimentare și pentru a </w:t>
            </w:r>
            <w:r w:rsidR="009469BA" w:rsidRPr="0071735F">
              <w:rPr>
                <w:rFonts w:ascii="Times New Roman" w:eastAsia="Times New Roman" w:hAnsi="Times New Roman" w:cs="Times New Roman"/>
                <w:bCs/>
                <w:sz w:val="24"/>
                <w:szCs w:val="24"/>
                <w:lang w:val="ro-MD" w:eastAsia="ru-RU"/>
              </w:rPr>
              <w:t xml:space="preserve">decupla </w:t>
            </w:r>
            <w:r w:rsidR="00DD57C7" w:rsidRPr="0071735F">
              <w:rPr>
                <w:rFonts w:ascii="Times New Roman" w:eastAsia="Times New Roman" w:hAnsi="Times New Roman" w:cs="Times New Roman"/>
                <w:bCs/>
                <w:sz w:val="24"/>
                <w:szCs w:val="24"/>
                <w:lang w:val="ro-MD" w:eastAsia="ru-RU"/>
              </w:rPr>
              <w:t xml:space="preserve">consumul de energie </w:t>
            </w:r>
            <w:r w:rsidR="009469BA" w:rsidRPr="0071735F">
              <w:rPr>
                <w:rFonts w:ascii="Times New Roman" w:eastAsia="Times New Roman" w:hAnsi="Times New Roman" w:cs="Times New Roman"/>
                <w:bCs/>
                <w:sz w:val="24"/>
                <w:szCs w:val="24"/>
                <w:lang w:val="ro-MD" w:eastAsia="ru-RU"/>
              </w:rPr>
              <w:t>de</w:t>
            </w:r>
            <w:r w:rsidR="00DD57C7" w:rsidRPr="0071735F">
              <w:rPr>
                <w:rFonts w:ascii="Times New Roman" w:eastAsia="Times New Roman" w:hAnsi="Times New Roman" w:cs="Times New Roman"/>
                <w:bCs/>
                <w:sz w:val="24"/>
                <w:szCs w:val="24"/>
                <w:lang w:val="ro-MD" w:eastAsia="ru-RU"/>
              </w:rPr>
              <w:t xml:space="preserve"> creștere</w:t>
            </w:r>
            <w:r w:rsidR="009469BA" w:rsidRPr="0071735F">
              <w:rPr>
                <w:rFonts w:ascii="Times New Roman" w:eastAsia="Times New Roman" w:hAnsi="Times New Roman" w:cs="Times New Roman"/>
                <w:bCs/>
                <w:sz w:val="24"/>
                <w:szCs w:val="24"/>
                <w:lang w:val="ro-MD" w:eastAsia="ru-RU"/>
              </w:rPr>
              <w:t>a</w:t>
            </w:r>
            <w:r w:rsidR="00DD57C7" w:rsidRPr="0071735F">
              <w:rPr>
                <w:rFonts w:ascii="Times New Roman" w:eastAsia="Times New Roman" w:hAnsi="Times New Roman" w:cs="Times New Roman"/>
                <w:bCs/>
                <w:sz w:val="24"/>
                <w:szCs w:val="24"/>
                <w:lang w:val="ro-MD" w:eastAsia="ru-RU"/>
              </w:rPr>
              <w:t xml:space="preserve"> economică.</w:t>
            </w:r>
          </w:p>
          <w:p w14:paraId="4EE4B952" w14:textId="21C6ACF2" w:rsidR="00EC56B0" w:rsidRPr="0071735F" w:rsidRDefault="00EC56B0" w:rsidP="00972FEF">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Directiva </w:t>
            </w:r>
            <w:r w:rsidR="004F34AC" w:rsidRPr="0071735F">
              <w:rPr>
                <w:rFonts w:ascii="Times New Roman" w:eastAsia="Times New Roman" w:hAnsi="Times New Roman" w:cs="Times New Roman"/>
                <w:bCs/>
                <w:sz w:val="24"/>
                <w:szCs w:val="24"/>
                <w:lang w:val="ro-MD" w:eastAsia="ru-RU"/>
              </w:rPr>
              <w:t>lasă la discreția Guvernelor naționale să stabilească modalitatea preferată de atingere a o</w:t>
            </w:r>
            <w:r w:rsidR="00426D05" w:rsidRPr="0071735F">
              <w:rPr>
                <w:rFonts w:ascii="Times New Roman" w:eastAsia="Times New Roman" w:hAnsi="Times New Roman" w:cs="Times New Roman"/>
                <w:bCs/>
                <w:sz w:val="24"/>
                <w:szCs w:val="24"/>
                <w:lang w:val="ro-MD" w:eastAsia="ru-RU"/>
              </w:rPr>
              <w:t xml:space="preserve">bligației de economii, instrumentarul de politicii incluzând i) </w:t>
            </w:r>
            <w:r w:rsidR="00850418" w:rsidRPr="0071735F">
              <w:rPr>
                <w:rFonts w:ascii="Times New Roman" w:eastAsia="Times New Roman" w:hAnsi="Times New Roman" w:cs="Times New Roman"/>
                <w:bCs/>
                <w:sz w:val="24"/>
                <w:szCs w:val="24"/>
                <w:lang w:val="ro-MD" w:eastAsia="ru-RU"/>
              </w:rPr>
              <w:t xml:space="preserve">schema de obligații de eficiență energetică, ii) măsurile de politică alternative, cât și iii) </w:t>
            </w:r>
            <w:r w:rsidR="00D81C3D" w:rsidRPr="0071735F">
              <w:rPr>
                <w:rFonts w:ascii="Times New Roman" w:eastAsia="Times New Roman" w:hAnsi="Times New Roman" w:cs="Times New Roman"/>
                <w:bCs/>
                <w:sz w:val="24"/>
                <w:szCs w:val="24"/>
                <w:lang w:val="ro-MD" w:eastAsia="ru-RU"/>
              </w:rPr>
              <w:t>o combinație dintre primele două.</w:t>
            </w:r>
            <w:r w:rsidRPr="0071735F">
              <w:rPr>
                <w:rFonts w:ascii="Times New Roman" w:eastAsia="Times New Roman" w:hAnsi="Times New Roman" w:cs="Times New Roman"/>
                <w:bCs/>
                <w:sz w:val="24"/>
                <w:szCs w:val="24"/>
                <w:lang w:val="ro-MD" w:eastAsia="ru-RU"/>
              </w:rPr>
              <w:t xml:space="preserve"> </w:t>
            </w:r>
          </w:p>
          <w:p w14:paraId="30D9CEC2" w14:textId="3776FA69" w:rsidR="006F764C" w:rsidRPr="0071735F" w:rsidRDefault="00A97F39" w:rsidP="008463DF">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Introducerea o</w:t>
            </w:r>
            <w:r w:rsidR="008463DF" w:rsidRPr="0071735F">
              <w:rPr>
                <w:rFonts w:ascii="Times New Roman" w:eastAsia="Times New Roman" w:hAnsi="Times New Roman" w:cs="Times New Roman"/>
                <w:bCs/>
                <w:sz w:val="24"/>
                <w:szCs w:val="24"/>
                <w:lang w:val="ro-MD" w:eastAsia="ru-RU"/>
              </w:rPr>
              <w:t>bligați</w:t>
            </w:r>
            <w:r w:rsidRPr="0071735F">
              <w:rPr>
                <w:rFonts w:ascii="Times New Roman" w:eastAsia="Times New Roman" w:hAnsi="Times New Roman" w:cs="Times New Roman"/>
                <w:bCs/>
                <w:sz w:val="24"/>
                <w:szCs w:val="24"/>
                <w:lang w:val="ro-MD" w:eastAsia="ru-RU"/>
              </w:rPr>
              <w:t>ei</w:t>
            </w:r>
            <w:r w:rsidR="008463DF" w:rsidRPr="0071735F">
              <w:rPr>
                <w:rFonts w:ascii="Times New Roman" w:eastAsia="Times New Roman" w:hAnsi="Times New Roman" w:cs="Times New Roman"/>
                <w:bCs/>
                <w:sz w:val="24"/>
                <w:szCs w:val="24"/>
                <w:lang w:val="ro-MD" w:eastAsia="ru-RU"/>
              </w:rPr>
              <w:t xml:space="preserve"> privind renovarea clădirilor autorităților administrației publice centrale de specialitate</w:t>
            </w:r>
          </w:p>
          <w:p w14:paraId="62BDD428" w14:textId="77777777" w:rsidR="00E03D73" w:rsidRPr="0071735F" w:rsidRDefault="008463DF" w:rsidP="00283E66">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Întru </w:t>
            </w:r>
            <w:r w:rsidR="00FB79CE" w:rsidRPr="0071735F">
              <w:rPr>
                <w:rFonts w:ascii="Times New Roman" w:eastAsia="Times New Roman" w:hAnsi="Times New Roman" w:cs="Times New Roman"/>
                <w:bCs/>
                <w:sz w:val="24"/>
                <w:szCs w:val="24"/>
                <w:lang w:val="ro-MD" w:eastAsia="ru-RU"/>
              </w:rPr>
              <w:t xml:space="preserve">sporirea rolului exemplar al clădirilor publice, Directiva </w:t>
            </w:r>
            <w:r w:rsidR="006535A0" w:rsidRPr="0071735F">
              <w:rPr>
                <w:rFonts w:ascii="Times New Roman" w:eastAsia="Times New Roman" w:hAnsi="Times New Roman" w:cs="Times New Roman"/>
                <w:bCs/>
                <w:sz w:val="24"/>
                <w:szCs w:val="24"/>
                <w:lang w:val="ro-MD" w:eastAsia="ru-RU"/>
              </w:rPr>
              <w:t xml:space="preserve">stabilește că începând cu </w:t>
            </w:r>
            <w:r w:rsidR="00811E39" w:rsidRPr="0071735F">
              <w:rPr>
                <w:rFonts w:ascii="Times New Roman" w:eastAsia="Times New Roman" w:hAnsi="Times New Roman" w:cs="Times New Roman"/>
                <w:bCs/>
                <w:sz w:val="24"/>
                <w:szCs w:val="24"/>
                <w:lang w:val="ro-MD" w:eastAsia="ru-RU"/>
              </w:rPr>
              <w:t xml:space="preserve">1 ianuarie 2024, </w:t>
            </w:r>
            <w:r w:rsidR="006535A0" w:rsidRPr="0071735F">
              <w:rPr>
                <w:rFonts w:ascii="Times New Roman" w:eastAsia="Times New Roman" w:hAnsi="Times New Roman" w:cs="Times New Roman"/>
                <w:bCs/>
                <w:sz w:val="24"/>
                <w:szCs w:val="24"/>
                <w:lang w:val="ro-MD" w:eastAsia="ru-RU"/>
              </w:rPr>
              <w:t>rata anuală de renovare a clădirilor</w:t>
            </w:r>
            <w:r w:rsidR="00811E39" w:rsidRPr="0071735F">
              <w:rPr>
                <w:rFonts w:ascii="Times New Roman" w:eastAsia="Times New Roman" w:hAnsi="Times New Roman" w:cs="Times New Roman"/>
                <w:bCs/>
                <w:sz w:val="24"/>
                <w:szCs w:val="24"/>
                <w:lang w:val="ro-MD" w:eastAsia="ru-RU"/>
              </w:rPr>
              <w:t xml:space="preserve"> administrației publice centrale de specialitate</w:t>
            </w:r>
            <w:r w:rsidR="00E03D73" w:rsidRPr="0071735F">
              <w:rPr>
                <w:rFonts w:ascii="Times New Roman" w:eastAsia="Times New Roman" w:hAnsi="Times New Roman" w:cs="Times New Roman"/>
                <w:bCs/>
                <w:sz w:val="24"/>
                <w:szCs w:val="24"/>
                <w:lang w:val="ro-MD" w:eastAsia="ru-RU"/>
              </w:rPr>
              <w:t>, va fi de 3%, în comparație cu valoarea actuală de 1%.</w:t>
            </w:r>
          </w:p>
          <w:p w14:paraId="668F0EC6" w14:textId="299C172A" w:rsidR="0071019F" w:rsidRPr="0071735F" w:rsidRDefault="00B75D27" w:rsidP="00E34816">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Contorizarea </w:t>
            </w:r>
            <w:r w:rsidR="0071019F" w:rsidRPr="0071735F">
              <w:rPr>
                <w:rFonts w:ascii="Times New Roman" w:eastAsia="Times New Roman" w:hAnsi="Times New Roman" w:cs="Times New Roman"/>
                <w:bCs/>
                <w:sz w:val="24"/>
                <w:szCs w:val="24"/>
                <w:lang w:val="ro-MD" w:eastAsia="ru-RU"/>
              </w:rPr>
              <w:t>gazelor naturale, energiei electrice, încălzirii și răcirii, a apei calde menajere</w:t>
            </w:r>
          </w:p>
          <w:p w14:paraId="09B6B2AF" w14:textId="2802C261" w:rsidR="006F764C" w:rsidRPr="0071735F" w:rsidRDefault="006431D6" w:rsidP="0071019F">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Directiva </w:t>
            </w:r>
            <w:r w:rsidR="00AE341C" w:rsidRPr="0071735F">
              <w:rPr>
                <w:rFonts w:ascii="Times New Roman" w:eastAsia="Times New Roman" w:hAnsi="Times New Roman" w:cs="Times New Roman"/>
                <w:bCs/>
                <w:sz w:val="24"/>
                <w:szCs w:val="24"/>
                <w:lang w:val="ro-MD" w:eastAsia="ru-RU"/>
              </w:rPr>
              <w:t xml:space="preserve">reconfirmă </w:t>
            </w:r>
            <w:r w:rsidR="008E5175" w:rsidRPr="0071735F">
              <w:rPr>
                <w:rFonts w:ascii="Times New Roman" w:eastAsia="Times New Roman" w:hAnsi="Times New Roman" w:cs="Times New Roman"/>
                <w:bCs/>
                <w:sz w:val="24"/>
                <w:szCs w:val="24"/>
                <w:lang w:val="ro-MD" w:eastAsia="ru-RU"/>
              </w:rPr>
              <w:t>că în măsura în care este posibil din punct de vedere tehnic, rezonabil din punct de vedere financiar și proporțional în raport cu economiile de energie potențiale, clienții finali de energie electrică și gaze naturale sunt dotați cu contoare individuale la prețuri competitive, care reflectă cu acuratețe consumul real de energie al acestora și care furnizează informații despre timpul efectiv de utilizare</w:t>
            </w:r>
            <w:r w:rsidR="00291EB8" w:rsidRPr="0071735F">
              <w:rPr>
                <w:rFonts w:ascii="Times New Roman" w:eastAsia="Times New Roman" w:hAnsi="Times New Roman" w:cs="Times New Roman"/>
                <w:bCs/>
                <w:sz w:val="24"/>
                <w:szCs w:val="24"/>
                <w:lang w:val="ro-MD" w:eastAsia="ru-RU"/>
              </w:rPr>
              <w:t>.</w:t>
            </w:r>
          </w:p>
          <w:p w14:paraId="4165124B" w14:textId="3136D389" w:rsidR="00FD30C2" w:rsidRPr="0071735F" w:rsidRDefault="008827EE" w:rsidP="00FD30C2">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lastRenderedPageBreak/>
              <w:t xml:space="preserve">Cât privește contoarele pentru încălzire și alimentarea cu apă caldă menajeră, </w:t>
            </w:r>
            <w:r w:rsidR="00FD30C2" w:rsidRPr="0071735F">
              <w:rPr>
                <w:rFonts w:ascii="Times New Roman" w:eastAsia="Times New Roman" w:hAnsi="Times New Roman" w:cs="Times New Roman"/>
                <w:bCs/>
                <w:sz w:val="24"/>
                <w:szCs w:val="24"/>
                <w:lang w:val="ro-MD" w:eastAsia="ru-RU"/>
              </w:rPr>
              <w:t xml:space="preserve">consumatorii urmează să fie dotați cu contoare la prețuri competitive, care ar reflecta cu acuratețe consumul lor real de energie. În cazul </w:t>
            </w:r>
            <w:r w:rsidR="00CD6C8C" w:rsidRPr="0071735F">
              <w:rPr>
                <w:rFonts w:ascii="Times New Roman" w:eastAsia="Times New Roman" w:hAnsi="Times New Roman" w:cs="Times New Roman"/>
                <w:bCs/>
                <w:sz w:val="24"/>
                <w:szCs w:val="24"/>
                <w:lang w:val="ro-MD" w:eastAsia="ru-RU"/>
              </w:rPr>
              <w:t>furnizării energiei termice</w:t>
            </w:r>
            <w:r w:rsidR="00FD30C2" w:rsidRPr="0071735F">
              <w:rPr>
                <w:rFonts w:ascii="Times New Roman" w:eastAsia="Times New Roman" w:hAnsi="Times New Roman" w:cs="Times New Roman"/>
                <w:bCs/>
                <w:sz w:val="24"/>
                <w:szCs w:val="24"/>
                <w:lang w:val="ro-MD" w:eastAsia="ru-RU"/>
              </w:rPr>
              <w:t xml:space="preserve"> de la o sursă centrală care deservește mai multe clădiri sau de la un sistem de încălzire</w:t>
            </w:r>
            <w:r w:rsidR="00CD6C8C" w:rsidRPr="0071735F">
              <w:rPr>
                <w:rFonts w:ascii="Times New Roman" w:eastAsia="Times New Roman" w:hAnsi="Times New Roman" w:cs="Times New Roman"/>
                <w:bCs/>
                <w:sz w:val="24"/>
                <w:szCs w:val="24"/>
                <w:lang w:val="ro-MD" w:eastAsia="ru-RU"/>
              </w:rPr>
              <w:t>/ răcire</w:t>
            </w:r>
            <w:r w:rsidR="00FD30C2" w:rsidRPr="0071735F">
              <w:rPr>
                <w:rFonts w:ascii="Times New Roman" w:eastAsia="Times New Roman" w:hAnsi="Times New Roman" w:cs="Times New Roman"/>
                <w:bCs/>
                <w:sz w:val="24"/>
                <w:szCs w:val="24"/>
                <w:lang w:val="ro-MD" w:eastAsia="ru-RU"/>
              </w:rPr>
              <w:t xml:space="preserve"> centralizată</w:t>
            </w:r>
            <w:r w:rsidR="00CD6C8C" w:rsidRPr="0071735F">
              <w:rPr>
                <w:rFonts w:ascii="Times New Roman" w:eastAsia="Times New Roman" w:hAnsi="Times New Roman" w:cs="Times New Roman"/>
                <w:bCs/>
                <w:sz w:val="24"/>
                <w:szCs w:val="24"/>
                <w:lang w:val="ro-MD" w:eastAsia="ru-RU"/>
              </w:rPr>
              <w:t xml:space="preserve">, </w:t>
            </w:r>
            <w:r w:rsidR="00FD30C2" w:rsidRPr="0071735F">
              <w:rPr>
                <w:rFonts w:ascii="Times New Roman" w:eastAsia="Times New Roman" w:hAnsi="Times New Roman" w:cs="Times New Roman"/>
                <w:bCs/>
                <w:sz w:val="24"/>
                <w:szCs w:val="24"/>
                <w:lang w:val="ro-MD" w:eastAsia="ru-RU"/>
              </w:rPr>
              <w:t>se instalează un contor la schimbătorul de căldură sau la punctul de livrare</w:t>
            </w:r>
            <w:r w:rsidR="005E024A" w:rsidRPr="0071735F">
              <w:rPr>
                <w:rFonts w:ascii="Times New Roman" w:eastAsia="Times New Roman" w:hAnsi="Times New Roman" w:cs="Times New Roman"/>
                <w:bCs/>
                <w:sz w:val="24"/>
                <w:szCs w:val="24"/>
                <w:lang w:val="ro-MD" w:eastAsia="ru-RU"/>
              </w:rPr>
              <w:t>.</w:t>
            </w:r>
          </w:p>
          <w:p w14:paraId="1F5E070A" w14:textId="412F0986" w:rsidR="00B23497" w:rsidRPr="0071735F" w:rsidRDefault="00B23497" w:rsidP="00B23497">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Sub-contorizarea și repartizarea costurilor pentru încălzire, pentru răcire și pentru apa caldă menajeră</w:t>
            </w:r>
          </w:p>
          <w:p w14:paraId="448D285B" w14:textId="4AE9F171" w:rsidR="00DE2922" w:rsidRPr="0071735F" w:rsidRDefault="00DE2922" w:rsidP="00DE2922">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Respectivul set de prevederi </w:t>
            </w:r>
            <w:r w:rsidR="009B77E8" w:rsidRPr="0071735F">
              <w:rPr>
                <w:rFonts w:ascii="Times New Roman" w:eastAsia="Times New Roman" w:hAnsi="Times New Roman" w:cs="Times New Roman"/>
                <w:bCs/>
                <w:sz w:val="24"/>
                <w:szCs w:val="24"/>
                <w:lang w:val="ro-MD" w:eastAsia="ru-RU"/>
              </w:rPr>
              <w:t xml:space="preserve">stabilesc ca și regulă de bază </w:t>
            </w:r>
            <w:r w:rsidR="009E05EA" w:rsidRPr="0071735F">
              <w:rPr>
                <w:rFonts w:ascii="Times New Roman" w:eastAsia="Times New Roman" w:hAnsi="Times New Roman" w:cs="Times New Roman"/>
                <w:bCs/>
                <w:sz w:val="24"/>
                <w:szCs w:val="24"/>
                <w:lang w:val="ro-MD" w:eastAsia="ru-RU"/>
              </w:rPr>
              <w:t xml:space="preserve">instalarea contoarelor individuale. </w:t>
            </w:r>
            <w:r w:rsidR="00F12E1B" w:rsidRPr="0071735F">
              <w:rPr>
                <w:rFonts w:ascii="Times New Roman" w:eastAsia="Times New Roman" w:hAnsi="Times New Roman" w:cs="Times New Roman"/>
                <w:bCs/>
                <w:sz w:val="24"/>
                <w:szCs w:val="24"/>
                <w:lang w:val="ro-MD" w:eastAsia="ru-RU"/>
              </w:rPr>
              <w:t xml:space="preserve">În condițiile în care utilizarea acestor soluții individuale de contorizare nu este fezabilă din punct de vedere al costurilor și economiilor de energie obținute, </w:t>
            </w:r>
            <w:r w:rsidR="00574038" w:rsidRPr="0071735F">
              <w:rPr>
                <w:rFonts w:ascii="Times New Roman" w:eastAsia="Times New Roman" w:hAnsi="Times New Roman" w:cs="Times New Roman"/>
                <w:bCs/>
                <w:sz w:val="24"/>
                <w:szCs w:val="24"/>
                <w:lang w:val="ro-MD" w:eastAsia="ru-RU"/>
              </w:rPr>
              <w:t>se vor utiliza repartitoarele individuale de costuri</w:t>
            </w:r>
            <w:r w:rsidR="00D023E0" w:rsidRPr="0071735F">
              <w:rPr>
                <w:rFonts w:ascii="Times New Roman" w:eastAsia="Times New Roman" w:hAnsi="Times New Roman" w:cs="Times New Roman"/>
                <w:bCs/>
                <w:sz w:val="24"/>
                <w:szCs w:val="24"/>
                <w:lang w:val="ro-MD" w:eastAsia="ru-RU"/>
              </w:rPr>
              <w:t>.</w:t>
            </w:r>
          </w:p>
          <w:p w14:paraId="1896B64E" w14:textId="67789FD0" w:rsidR="00A61A1F" w:rsidRPr="0071735F" w:rsidRDefault="00A61A1F" w:rsidP="00A61A1F">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Citirea la distanță a contoarelor și repartitoarelor de costuri</w:t>
            </w:r>
          </w:p>
          <w:p w14:paraId="0BE06481" w14:textId="34135BBC" w:rsidR="00A61A1F" w:rsidRPr="0071735F" w:rsidRDefault="00A61A1F" w:rsidP="00A61A1F">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Ca și regulă generală pentru </w:t>
            </w:r>
            <w:r w:rsidR="006B67E7" w:rsidRPr="0071735F">
              <w:rPr>
                <w:rFonts w:ascii="Times New Roman" w:eastAsia="Times New Roman" w:hAnsi="Times New Roman" w:cs="Times New Roman"/>
                <w:bCs/>
                <w:sz w:val="24"/>
                <w:szCs w:val="24"/>
                <w:lang w:val="ro-MD" w:eastAsia="ru-RU"/>
              </w:rPr>
              <w:t xml:space="preserve">contoare și repartitoarele de costuri, </w:t>
            </w:r>
            <w:r w:rsidR="00E735CE" w:rsidRPr="0071735F">
              <w:rPr>
                <w:rFonts w:ascii="Times New Roman" w:eastAsia="Times New Roman" w:hAnsi="Times New Roman" w:cs="Times New Roman"/>
                <w:bCs/>
                <w:sz w:val="24"/>
                <w:szCs w:val="24"/>
                <w:lang w:val="ro-MD" w:eastAsia="ru-RU"/>
              </w:rPr>
              <w:t>unitățile instalate după data de 30 octombrie 2023 trebuie să poată fi citite de la distanță</w:t>
            </w:r>
            <w:r w:rsidR="00634B1F" w:rsidRPr="0071735F">
              <w:rPr>
                <w:rFonts w:ascii="Times New Roman" w:eastAsia="Times New Roman" w:hAnsi="Times New Roman" w:cs="Times New Roman"/>
                <w:bCs/>
                <w:sz w:val="24"/>
                <w:szCs w:val="24"/>
                <w:lang w:val="ro-MD" w:eastAsia="ru-RU"/>
              </w:rPr>
              <w:t>, iar cele existente care nu pot fi citire, trebuie adaptate sau schimbate pe unități mai moderne către 1 ianuarie 2030.</w:t>
            </w:r>
          </w:p>
          <w:p w14:paraId="65B30B2B" w14:textId="4BDE5B4E" w:rsidR="001D2EB3" w:rsidRPr="0071735F" w:rsidRDefault="001D2EB3" w:rsidP="001D2EB3">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Informații privind facturarea și consumul pentru încălzire, răcire și pentru apa caldă menajeră</w:t>
            </w:r>
          </w:p>
          <w:p w14:paraId="2C6191C2" w14:textId="49D5424C" w:rsidR="00E2537E" w:rsidRPr="0071735F" w:rsidRDefault="001E4344" w:rsidP="00E2537E">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Principiu general prin care furnizorul este obligat să reflecte în factura pentru serviciul oferit de </w:t>
            </w:r>
            <w:r w:rsidR="003D7E5A" w:rsidRPr="0071735F">
              <w:rPr>
                <w:rFonts w:ascii="Times New Roman" w:eastAsia="Times New Roman" w:hAnsi="Times New Roman" w:cs="Times New Roman"/>
                <w:bCs/>
                <w:sz w:val="24"/>
                <w:szCs w:val="24"/>
                <w:lang w:val="ro-MD" w:eastAsia="ru-RU"/>
              </w:rPr>
              <w:t xml:space="preserve">încălzire, răcire sau alimentare cu </w:t>
            </w:r>
            <w:r w:rsidR="00C00D2B" w:rsidRPr="0071735F">
              <w:rPr>
                <w:rFonts w:ascii="Times New Roman" w:eastAsia="Times New Roman" w:hAnsi="Times New Roman" w:cs="Times New Roman"/>
                <w:bCs/>
                <w:sz w:val="24"/>
                <w:szCs w:val="24"/>
                <w:lang w:val="ro-MD" w:eastAsia="ru-RU"/>
              </w:rPr>
              <w:t>ACM</w:t>
            </w:r>
            <w:r w:rsidR="00347957" w:rsidRPr="0071735F">
              <w:rPr>
                <w:rFonts w:ascii="Times New Roman" w:eastAsia="Times New Roman" w:hAnsi="Times New Roman" w:cs="Times New Roman"/>
                <w:bCs/>
                <w:sz w:val="24"/>
                <w:szCs w:val="24"/>
                <w:lang w:val="ro-MD" w:eastAsia="ru-RU"/>
              </w:rPr>
              <w:t xml:space="preserve">, </w:t>
            </w:r>
            <w:r w:rsidR="00546E2B" w:rsidRPr="0071735F">
              <w:rPr>
                <w:rFonts w:ascii="Times New Roman" w:eastAsia="Times New Roman" w:hAnsi="Times New Roman" w:cs="Times New Roman"/>
                <w:bCs/>
                <w:sz w:val="24"/>
                <w:szCs w:val="24"/>
                <w:lang w:val="ro-MD" w:eastAsia="ru-RU"/>
              </w:rPr>
              <w:t>date cu privire la consumul real înregistrat de contoare sau repartitoarele de costuri.</w:t>
            </w:r>
          </w:p>
          <w:p w14:paraId="760AEE02" w14:textId="785DF25A" w:rsidR="00FF35A3" w:rsidRPr="0071735F" w:rsidRDefault="00FF35A3" w:rsidP="00FF35A3">
            <w:pPr>
              <w:pStyle w:val="ListParagraph"/>
              <w:numPr>
                <w:ilvl w:val="0"/>
                <w:numId w:val="31"/>
              </w:num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Costurile de acces la informațiile privind contorizarea, facturarea și consumul pentru energie termică, răcire și apa caldă menajeră</w:t>
            </w:r>
          </w:p>
          <w:p w14:paraId="0DB720EC" w14:textId="13234FB5" w:rsidR="006F764C" w:rsidRPr="0071735F" w:rsidRDefault="000A6071" w:rsidP="00283E66">
            <w:pPr>
              <w:spacing w:before="120" w:after="120" w:line="259"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Norme cu caracter general care stipulează că utilizatorii finali primesc, în mod gratuit, toate facturile și toate informațiile privind facturarea pentru consumul de energie, precum și că aceștia au acces în mod adecvat și gratuit la datele privind propriul consum</w:t>
            </w:r>
            <w:r w:rsidR="008D5EC5" w:rsidRPr="0071735F">
              <w:rPr>
                <w:rFonts w:ascii="Times New Roman" w:eastAsia="Times New Roman" w:hAnsi="Times New Roman" w:cs="Times New Roman"/>
                <w:bCs/>
                <w:sz w:val="24"/>
                <w:szCs w:val="24"/>
                <w:lang w:val="ro-MD" w:eastAsia="ru-RU"/>
              </w:rPr>
              <w:t>.</w:t>
            </w:r>
            <w:r w:rsidR="000114D6" w:rsidRPr="0071735F">
              <w:rPr>
                <w:rFonts w:ascii="Times New Roman" w:eastAsia="Times New Roman" w:hAnsi="Times New Roman" w:cs="Times New Roman"/>
                <w:bCs/>
                <w:sz w:val="24"/>
                <w:szCs w:val="24"/>
                <w:lang w:val="ro-MD" w:eastAsia="ru-RU"/>
              </w:rPr>
              <w:t xml:space="preserve"> Costurile </w:t>
            </w:r>
            <w:r w:rsidR="00C00D2B" w:rsidRPr="0071735F">
              <w:rPr>
                <w:rFonts w:ascii="Times New Roman" w:eastAsia="Times New Roman" w:hAnsi="Times New Roman" w:cs="Times New Roman"/>
                <w:bCs/>
                <w:sz w:val="24"/>
                <w:szCs w:val="24"/>
                <w:lang w:val="ro-MD" w:eastAsia="ru-RU"/>
              </w:rPr>
              <w:t>„</w:t>
            </w:r>
            <w:r w:rsidR="000114D6" w:rsidRPr="0071735F">
              <w:rPr>
                <w:rFonts w:ascii="Times New Roman" w:eastAsia="Times New Roman" w:hAnsi="Times New Roman" w:cs="Times New Roman"/>
                <w:bCs/>
                <w:sz w:val="24"/>
                <w:szCs w:val="24"/>
                <w:lang w:val="ro-MD" w:eastAsia="ru-RU"/>
              </w:rPr>
              <w:t>naturale</w:t>
            </w:r>
            <w:r w:rsidR="00C00D2B" w:rsidRPr="0071735F">
              <w:rPr>
                <w:rFonts w:ascii="Times New Roman" w:eastAsia="Times New Roman" w:hAnsi="Times New Roman" w:cs="Times New Roman"/>
                <w:bCs/>
                <w:sz w:val="24"/>
                <w:szCs w:val="24"/>
                <w:lang w:val="ro-MD" w:eastAsia="ru-RU"/>
              </w:rPr>
              <w:t>”</w:t>
            </w:r>
            <w:r w:rsidR="000114D6" w:rsidRPr="0071735F">
              <w:rPr>
                <w:rFonts w:ascii="Times New Roman" w:eastAsia="Times New Roman" w:hAnsi="Times New Roman" w:cs="Times New Roman"/>
                <w:bCs/>
                <w:sz w:val="24"/>
                <w:szCs w:val="24"/>
                <w:lang w:val="ro-MD" w:eastAsia="ru-RU"/>
              </w:rPr>
              <w:t xml:space="preserve"> cu </w:t>
            </w:r>
            <w:r w:rsidR="00837569" w:rsidRPr="0071735F">
              <w:rPr>
                <w:rFonts w:ascii="Times New Roman" w:eastAsia="Times New Roman" w:hAnsi="Times New Roman" w:cs="Times New Roman"/>
                <w:bCs/>
                <w:sz w:val="24"/>
                <w:szCs w:val="24"/>
                <w:lang w:val="ro-MD" w:eastAsia="ru-RU"/>
              </w:rPr>
              <w:t>contorizarea, alocarea și contabilizarea consumului în clădirile multietajate, trebuie să fie rezonabile.</w:t>
            </w:r>
          </w:p>
          <w:p w14:paraId="34C937B7" w14:textId="7957AD91" w:rsidR="00DA57E4" w:rsidRPr="0071735F" w:rsidRDefault="00DA57E4" w:rsidP="009D2162">
            <w:pPr>
              <w:spacing w:before="120" w:after="0" w:line="240" w:lineRule="auto"/>
              <w:jc w:val="both"/>
              <w:rPr>
                <w:rFonts w:ascii="Times New Roman" w:eastAsia="Times New Roman" w:hAnsi="Times New Roman" w:cs="Times New Roman"/>
                <w:bCs/>
                <w:sz w:val="24"/>
                <w:szCs w:val="24"/>
                <w:lang w:val="ro-MD" w:eastAsia="ja-JP"/>
              </w:rPr>
            </w:pPr>
          </w:p>
        </w:tc>
      </w:tr>
      <w:tr w:rsidR="00B468B6" w:rsidRPr="0071735F" w14:paraId="77C4CC7C" w14:textId="77777777" w:rsidTr="00125D3C">
        <w:trPr>
          <w:jc w:val="center"/>
        </w:trPr>
        <w:tc>
          <w:tcPr>
            <w:tcW w:w="5000" w:type="pct"/>
            <w:gridSpan w:val="2"/>
            <w:shd w:val="clear" w:color="auto" w:fill="auto"/>
            <w:tcMar>
              <w:top w:w="15" w:type="dxa"/>
              <w:left w:w="45" w:type="dxa"/>
              <w:bottom w:w="15" w:type="dxa"/>
              <w:right w:w="45" w:type="dxa"/>
            </w:tcMar>
          </w:tcPr>
          <w:p w14:paraId="7B11DFD4" w14:textId="413DBB3E" w:rsidR="00D225AE" w:rsidRPr="0071735F" w:rsidRDefault="00D225AE"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c) </w:t>
            </w:r>
            <w:r w:rsidR="0079066D"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clar </w:t>
            </w:r>
            <w:r w:rsidR="00B2525E" w:rsidRPr="0071735F">
              <w:rPr>
                <w:rFonts w:ascii="Times New Roman" w:eastAsia="Calibri" w:hAnsi="Times New Roman" w:cs="Times New Roman"/>
                <w:b/>
                <w:sz w:val="24"/>
                <w:szCs w:val="24"/>
                <w:lang w:val="ro-MD" w:eastAsia="en-GB"/>
              </w:rPr>
              <w:t>c</w:t>
            </w:r>
            <w:r w:rsidRPr="0071735F">
              <w:rPr>
                <w:rFonts w:ascii="Times New Roman" w:eastAsia="Calibri" w:hAnsi="Times New Roman" w:cs="Times New Roman"/>
                <w:b/>
                <w:sz w:val="24"/>
                <w:szCs w:val="24"/>
                <w:lang w:val="ro-MD" w:eastAsia="en-GB"/>
              </w:rPr>
              <w:t xml:space="preserve">auzele care au dus la </w:t>
            </w:r>
            <w:r w:rsidR="0079066D" w:rsidRPr="0071735F">
              <w:rPr>
                <w:rFonts w:ascii="Times New Roman" w:eastAsia="Calibri" w:hAnsi="Times New Roman" w:cs="Times New Roman"/>
                <w:b/>
                <w:sz w:val="24"/>
                <w:szCs w:val="24"/>
                <w:lang w:val="ro-MD" w:eastAsia="en-GB"/>
              </w:rPr>
              <w:t>apariția</w:t>
            </w:r>
            <w:r w:rsidRPr="0071735F">
              <w:rPr>
                <w:rFonts w:ascii="Times New Roman" w:eastAsia="Calibri" w:hAnsi="Times New Roman" w:cs="Times New Roman"/>
                <w:b/>
                <w:sz w:val="24"/>
                <w:szCs w:val="24"/>
                <w:lang w:val="ro-MD" w:eastAsia="en-GB"/>
              </w:rPr>
              <w:t xml:space="preserve"> problemei</w:t>
            </w:r>
          </w:p>
        </w:tc>
      </w:tr>
      <w:tr w:rsidR="00B468B6" w:rsidRPr="00D22310" w14:paraId="2E9CACB0" w14:textId="77777777" w:rsidTr="00125D3C">
        <w:trPr>
          <w:jc w:val="center"/>
        </w:trPr>
        <w:tc>
          <w:tcPr>
            <w:tcW w:w="5000" w:type="pct"/>
            <w:gridSpan w:val="2"/>
            <w:tcMar>
              <w:top w:w="15" w:type="dxa"/>
              <w:left w:w="45" w:type="dxa"/>
              <w:bottom w:w="15" w:type="dxa"/>
              <w:right w:w="45" w:type="dxa"/>
            </w:tcMar>
          </w:tcPr>
          <w:p w14:paraId="13A97B79" w14:textId="64479AF3" w:rsidR="00D0545A" w:rsidRPr="0071735F" w:rsidRDefault="00D0545A" w:rsidP="00CE532A">
            <w:pPr>
              <w:spacing w:before="120" w:after="0"/>
              <w:jc w:val="both"/>
              <w:rPr>
                <w:rFonts w:ascii="Times New Roman" w:eastAsia="Times New Roman" w:hAnsi="Times New Roman" w:cs="Times New Roman"/>
                <w:bCs/>
                <w:i/>
                <w:iCs/>
                <w:sz w:val="24"/>
                <w:szCs w:val="24"/>
                <w:lang w:val="ro-MD" w:eastAsia="ru-RU"/>
              </w:rPr>
            </w:pPr>
            <w:r w:rsidRPr="0071735F">
              <w:rPr>
                <w:rFonts w:ascii="Times New Roman" w:eastAsia="Times New Roman" w:hAnsi="Times New Roman" w:cs="Times New Roman"/>
                <w:bCs/>
                <w:sz w:val="24"/>
                <w:szCs w:val="24"/>
                <w:lang w:val="ro-MD" w:eastAsia="ru-RU"/>
              </w:rPr>
              <w:t xml:space="preserve">Obligația transpunerii </w:t>
            </w:r>
            <w:r w:rsidRPr="0071735F">
              <w:rPr>
                <w:rFonts w:ascii="Times New Roman" w:eastAsia="Times New Roman" w:hAnsi="Times New Roman" w:cs="Times New Roman"/>
                <w:bCs/>
                <w:i/>
                <w:iCs/>
                <w:sz w:val="24"/>
                <w:szCs w:val="24"/>
                <w:lang w:val="ro-MD" w:eastAsia="ru-RU"/>
              </w:rPr>
              <w:t>Directivei (UE) 2018/2002 privind eficiența energetică a</w:t>
            </w:r>
            <w:r w:rsidRPr="0071735F">
              <w:rPr>
                <w:rFonts w:ascii="Times New Roman" w:eastAsia="Times New Roman" w:hAnsi="Times New Roman" w:cs="Times New Roman"/>
                <w:bCs/>
                <w:sz w:val="24"/>
                <w:szCs w:val="24"/>
                <w:lang w:val="ro-MD" w:eastAsia="ru-RU"/>
              </w:rPr>
              <w:t xml:space="preserve"> survenit în rezultatul aprobării </w:t>
            </w:r>
            <w:r w:rsidRPr="0071735F">
              <w:rPr>
                <w:rFonts w:ascii="Times New Roman" w:eastAsia="Times New Roman" w:hAnsi="Times New Roman" w:cs="Times New Roman"/>
                <w:bCs/>
                <w:i/>
                <w:iCs/>
                <w:sz w:val="24"/>
                <w:szCs w:val="24"/>
                <w:lang w:val="ro-MD" w:eastAsia="ru-RU"/>
              </w:rPr>
              <w:t xml:space="preserve">Deciziei D/2021/14/MC-EnC </w:t>
            </w:r>
            <w:r w:rsidR="003408C9" w:rsidRPr="0071735F">
              <w:rPr>
                <w:rFonts w:ascii="Times New Roman" w:eastAsia="Times New Roman" w:hAnsi="Times New Roman" w:cs="Times New Roman"/>
                <w:bCs/>
                <w:i/>
                <w:iCs/>
                <w:sz w:val="24"/>
                <w:szCs w:val="24"/>
                <w:lang w:val="ro-MD" w:eastAsia="ru-RU"/>
              </w:rPr>
              <w:t xml:space="preserve"> </w:t>
            </w:r>
            <w:r w:rsidR="003408C9" w:rsidRPr="0071735F">
              <w:rPr>
                <w:rFonts w:ascii="Times New Roman" w:eastAsia="Times New Roman" w:hAnsi="Times New Roman" w:cs="Times New Roman"/>
                <w:bCs/>
                <w:sz w:val="24"/>
                <w:szCs w:val="24"/>
                <w:lang w:val="ro-MD" w:eastAsia="ru-RU"/>
              </w:rPr>
              <w:t xml:space="preserve">de către </w:t>
            </w:r>
            <w:r w:rsidRPr="0071735F">
              <w:rPr>
                <w:rFonts w:ascii="Times New Roman" w:eastAsia="Times New Roman" w:hAnsi="Times New Roman" w:cs="Times New Roman"/>
                <w:bCs/>
                <w:sz w:val="24"/>
                <w:szCs w:val="24"/>
                <w:lang w:val="ro-MD" w:eastAsia="ru-RU"/>
              </w:rPr>
              <w:t>Consiliul Ministerial.</w:t>
            </w:r>
          </w:p>
          <w:p w14:paraId="7F982FD9" w14:textId="720A19B7" w:rsidR="00196367" w:rsidRPr="0071735F" w:rsidRDefault="00422DBF" w:rsidP="00CE532A">
            <w:pPr>
              <w:spacing w:before="120" w:after="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Printre cauzele care justific</w:t>
            </w:r>
            <w:r w:rsidR="00D93260" w:rsidRPr="0071735F">
              <w:rPr>
                <w:rFonts w:ascii="Times New Roman" w:eastAsia="Times New Roman" w:hAnsi="Times New Roman" w:cs="Times New Roman"/>
                <w:bCs/>
                <w:sz w:val="24"/>
                <w:szCs w:val="24"/>
                <w:lang w:val="ro-MD" w:eastAsia="ru-RU"/>
              </w:rPr>
              <w:t>ă</w:t>
            </w:r>
            <w:r w:rsidRPr="0071735F">
              <w:rPr>
                <w:rFonts w:ascii="Times New Roman" w:eastAsia="Times New Roman" w:hAnsi="Times New Roman" w:cs="Times New Roman"/>
                <w:bCs/>
                <w:sz w:val="24"/>
                <w:szCs w:val="24"/>
                <w:lang w:val="ro-MD" w:eastAsia="ru-RU"/>
              </w:rPr>
              <w:t xml:space="preserve"> aprobarea acestui amendament sunt:</w:t>
            </w:r>
          </w:p>
          <w:p w14:paraId="5E36D2B4" w14:textId="50AB08F7" w:rsidR="00422DBF" w:rsidRPr="0071735F" w:rsidRDefault="00422DBF"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t>Necesitatea creări cadrului juridic pentru aprobarea țintelor naționale pe domeniul eficienței energetice, dar și al energiei regenerabile și GES</w:t>
            </w:r>
            <w:r w:rsidR="00E13C52" w:rsidRPr="0071735F">
              <w:rPr>
                <w:rFonts w:ascii="Times New Roman" w:eastAsia="Times New Roman" w:hAnsi="Times New Roman" w:cs="Times New Roman"/>
                <w:bCs/>
                <w:sz w:val="24"/>
                <w:szCs w:val="24"/>
                <w:lang w:val="ro-MD" w:eastAsia="ru-RU"/>
              </w:rPr>
              <w:t xml:space="preserve"> pentru orizontul de timp 2030</w:t>
            </w:r>
            <w:r w:rsidR="00666438" w:rsidRPr="0071735F">
              <w:rPr>
                <w:rFonts w:ascii="Times New Roman" w:eastAsia="Times New Roman" w:hAnsi="Times New Roman" w:cs="Times New Roman"/>
                <w:bCs/>
                <w:sz w:val="24"/>
                <w:szCs w:val="24"/>
                <w:lang w:val="ro-MD" w:eastAsia="ru-RU"/>
              </w:rPr>
              <w:t>, precum și a elaborării unui plan integrat în domeniul energiei și climei</w:t>
            </w:r>
          </w:p>
          <w:p w14:paraId="03BDE1B2" w14:textId="77777777" w:rsidR="00F430D2" w:rsidRPr="0071735F" w:rsidRDefault="00BD7A60"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t xml:space="preserve">Extinderea perioadei </w:t>
            </w:r>
            <w:r w:rsidR="00A669FB" w:rsidRPr="0071735F">
              <w:rPr>
                <w:rFonts w:ascii="Times New Roman" w:eastAsia="Times New Roman" w:hAnsi="Times New Roman" w:cs="Times New Roman"/>
                <w:bCs/>
                <w:sz w:val="24"/>
                <w:szCs w:val="24"/>
                <w:lang w:val="ro-MD" w:eastAsia="ru-RU"/>
              </w:rPr>
              <w:t xml:space="preserve">pentru care </w:t>
            </w:r>
            <w:r w:rsidR="00F430D2" w:rsidRPr="0071735F">
              <w:rPr>
                <w:rFonts w:ascii="Times New Roman" w:eastAsia="Times New Roman" w:hAnsi="Times New Roman" w:cs="Times New Roman"/>
                <w:bCs/>
                <w:sz w:val="24"/>
                <w:szCs w:val="24"/>
                <w:lang w:val="ro-MD" w:eastAsia="ru-RU"/>
              </w:rPr>
              <w:t>va exista obligația economiilor noi și anuale de energie</w:t>
            </w:r>
          </w:p>
          <w:p w14:paraId="08A45F1D" w14:textId="77777777" w:rsidR="001C671D" w:rsidRPr="0071735F" w:rsidRDefault="008256B3"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t xml:space="preserve">Reconfirmarea posibilității generării unor noi economii de energie în baza </w:t>
            </w:r>
            <w:r w:rsidR="001C671D" w:rsidRPr="0071735F">
              <w:rPr>
                <w:rFonts w:ascii="Times New Roman" w:eastAsia="Times New Roman" w:hAnsi="Times New Roman" w:cs="Times New Roman"/>
                <w:bCs/>
                <w:sz w:val="24"/>
                <w:szCs w:val="24"/>
                <w:lang w:val="ro-MD" w:eastAsia="ru-RU"/>
              </w:rPr>
              <w:t>schemei de obligații de eficiență energetică, a măsurilor alternative sau printr-o combinare a acestora</w:t>
            </w:r>
          </w:p>
          <w:p w14:paraId="4EE88B17" w14:textId="77777777" w:rsidR="000B3A13" w:rsidRPr="0071735F" w:rsidRDefault="000B3A13"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t>Necesitatea consolidării rolului de sector exemplu al sectorului clădirilor publice</w:t>
            </w:r>
          </w:p>
          <w:p w14:paraId="34201C13" w14:textId="3808F355" w:rsidR="00643834" w:rsidRPr="0071735F" w:rsidRDefault="00643834"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t>Clarificarea regulilor privind contorizarea gazelor naturale, energiei electrice, încălzirii, răcirii și alimentării cu a</w:t>
            </w:r>
            <w:r w:rsidR="0045096F" w:rsidRPr="0071735F">
              <w:rPr>
                <w:rFonts w:ascii="Times New Roman" w:eastAsia="Times New Roman" w:hAnsi="Times New Roman" w:cs="Times New Roman"/>
                <w:bCs/>
                <w:sz w:val="24"/>
                <w:szCs w:val="24"/>
                <w:lang w:val="ro-MD" w:eastAsia="ru-RU"/>
              </w:rPr>
              <w:t>pă caldă menajeră</w:t>
            </w:r>
          </w:p>
          <w:p w14:paraId="1AC2AB47" w14:textId="77777777" w:rsidR="00706891" w:rsidRPr="0071735F" w:rsidRDefault="00643834" w:rsidP="00666438">
            <w:pPr>
              <w:pStyle w:val="ListParagraph"/>
              <w:numPr>
                <w:ilvl w:val="0"/>
                <w:numId w:val="33"/>
              </w:numPr>
              <w:spacing w:before="120" w:after="0"/>
              <w:jc w:val="both"/>
              <w:rPr>
                <w:lang w:val="ro-MD"/>
              </w:rPr>
            </w:pPr>
            <w:r w:rsidRPr="0071735F">
              <w:rPr>
                <w:rFonts w:ascii="Times New Roman" w:eastAsia="Times New Roman" w:hAnsi="Times New Roman" w:cs="Times New Roman"/>
                <w:bCs/>
                <w:sz w:val="24"/>
                <w:szCs w:val="24"/>
                <w:lang w:val="ro-MD" w:eastAsia="ru-RU"/>
              </w:rPr>
              <w:lastRenderedPageBreak/>
              <w:t xml:space="preserve">Stabilirea </w:t>
            </w:r>
            <w:r w:rsidR="00C574EA" w:rsidRPr="0071735F">
              <w:rPr>
                <w:rFonts w:ascii="Times New Roman" w:eastAsia="Times New Roman" w:hAnsi="Times New Roman" w:cs="Times New Roman"/>
                <w:bCs/>
                <w:sz w:val="24"/>
                <w:szCs w:val="24"/>
                <w:lang w:val="ro-MD" w:eastAsia="ru-RU"/>
              </w:rPr>
              <w:t>obligațiilor furnizorului de resurse energetice în raport cu consumatorul final, pe marginea contorizării și facturării consumului, precum și a informației prezentate acestuia</w:t>
            </w:r>
            <w:r w:rsidR="00F430D2" w:rsidRPr="0071735F">
              <w:rPr>
                <w:rFonts w:ascii="Times New Roman" w:eastAsia="Times New Roman" w:hAnsi="Times New Roman" w:cs="Times New Roman"/>
                <w:bCs/>
                <w:sz w:val="24"/>
                <w:szCs w:val="24"/>
                <w:lang w:val="ro-MD" w:eastAsia="ru-RU"/>
              </w:rPr>
              <w:t xml:space="preserve"> </w:t>
            </w:r>
          </w:p>
          <w:p w14:paraId="53E5B6A5" w14:textId="1F58EF20" w:rsidR="00E555F7" w:rsidRPr="0071735F" w:rsidRDefault="00E555F7" w:rsidP="00D37F98">
            <w:pPr>
              <w:spacing w:before="120" w:after="0"/>
              <w:jc w:val="both"/>
              <w:rPr>
                <w:lang w:val="ro-MD"/>
              </w:rPr>
            </w:pPr>
          </w:p>
        </w:tc>
      </w:tr>
      <w:tr w:rsidR="00B468B6" w:rsidRPr="00D22310" w14:paraId="5FA0AA57" w14:textId="77777777" w:rsidTr="00125D3C">
        <w:trPr>
          <w:jc w:val="center"/>
        </w:trPr>
        <w:tc>
          <w:tcPr>
            <w:tcW w:w="5000" w:type="pct"/>
            <w:gridSpan w:val="2"/>
            <w:shd w:val="clear" w:color="auto" w:fill="auto"/>
            <w:tcMar>
              <w:top w:w="15" w:type="dxa"/>
              <w:left w:w="45" w:type="dxa"/>
              <w:bottom w:w="15" w:type="dxa"/>
              <w:right w:w="45" w:type="dxa"/>
            </w:tcMar>
          </w:tcPr>
          <w:p w14:paraId="4B99A01F" w14:textId="0067F41D" w:rsidR="00D225AE" w:rsidRPr="0071735F" w:rsidRDefault="00F11344"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d) </w:t>
            </w:r>
            <w:r w:rsidR="00CE0E52"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cum a evoluat problema </w:t>
            </w:r>
            <w:r w:rsidR="00CE0E5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cum va evolua fără o </w:t>
            </w:r>
            <w:r w:rsidR="00CE0E52" w:rsidRPr="0071735F">
              <w:rPr>
                <w:rFonts w:ascii="Times New Roman" w:eastAsia="Calibri" w:hAnsi="Times New Roman" w:cs="Times New Roman"/>
                <w:b/>
                <w:sz w:val="24"/>
                <w:szCs w:val="24"/>
                <w:lang w:val="ro-MD" w:eastAsia="en-GB"/>
              </w:rPr>
              <w:t>intervenție</w:t>
            </w:r>
          </w:p>
        </w:tc>
      </w:tr>
      <w:tr w:rsidR="00B468B6" w:rsidRPr="00D22310" w14:paraId="540FB5E3" w14:textId="77777777" w:rsidTr="00125D3C">
        <w:tblPrEx>
          <w:tblCellMar>
            <w:left w:w="108" w:type="dxa"/>
            <w:right w:w="108" w:type="dxa"/>
          </w:tblCellMar>
        </w:tblPrEx>
        <w:trPr>
          <w:trHeight w:val="2668"/>
          <w:jc w:val="center"/>
        </w:trPr>
        <w:tc>
          <w:tcPr>
            <w:tcW w:w="5000" w:type="pct"/>
            <w:gridSpan w:val="2"/>
          </w:tcPr>
          <w:p w14:paraId="7717520A" w14:textId="26439870" w:rsidR="004877BE" w:rsidRPr="0071735F" w:rsidRDefault="004877BE" w:rsidP="00E555F7">
            <w:pPr>
              <w:spacing w:before="120" w:after="0"/>
              <w:jc w:val="both"/>
              <w:rPr>
                <w:rFonts w:ascii="Times New Roman" w:eastAsia="Times New Roman" w:hAnsi="Times New Roman" w:cs="Times New Roman"/>
                <w:bCs/>
                <w:sz w:val="24"/>
                <w:szCs w:val="24"/>
                <w:lang w:val="ro-MD" w:eastAsia="ja-JP"/>
              </w:rPr>
            </w:pPr>
            <w:r w:rsidRPr="0071735F">
              <w:rPr>
                <w:rFonts w:ascii="Times New Roman" w:eastAsia="Times New Roman" w:hAnsi="Times New Roman" w:cs="Times New Roman"/>
                <w:bCs/>
                <w:sz w:val="24"/>
                <w:szCs w:val="24"/>
                <w:lang w:val="ro-MD" w:eastAsia="ja-JP"/>
              </w:rPr>
              <w:t xml:space="preserve">Odată cu revizuirea unor prevederi ale Directivei 27/2012/UE, </w:t>
            </w:r>
            <w:r w:rsidR="00750899" w:rsidRPr="0071735F">
              <w:rPr>
                <w:rFonts w:ascii="Times New Roman" w:eastAsia="Times New Roman" w:hAnsi="Times New Roman" w:cs="Times New Roman"/>
                <w:bCs/>
                <w:sz w:val="24"/>
                <w:szCs w:val="24"/>
                <w:lang w:val="ro-MD" w:eastAsia="ja-JP"/>
              </w:rPr>
              <w:t xml:space="preserve">și aprobarea amendamentului la aceasta, Republica Moldova are obligația transpunerii setului de prevederi ce se aplică Părților Contractante în legislația națională. Prin urmare, </w:t>
            </w:r>
            <w:r w:rsidR="009510B0" w:rsidRPr="0071735F">
              <w:rPr>
                <w:rFonts w:ascii="Times New Roman" w:eastAsia="Times New Roman" w:hAnsi="Times New Roman" w:cs="Times New Roman"/>
                <w:bCs/>
                <w:sz w:val="24"/>
                <w:szCs w:val="24"/>
                <w:lang w:val="ro-MD" w:eastAsia="ja-JP"/>
              </w:rPr>
              <w:t>modificarea Legii 139/2018 urmărește alinierea politicilor naționale pe segmentul respectiv la practicile UE</w:t>
            </w:r>
            <w:r w:rsidRPr="0071735F">
              <w:rPr>
                <w:rFonts w:ascii="Times New Roman" w:eastAsia="Times New Roman" w:hAnsi="Times New Roman" w:cs="Times New Roman"/>
                <w:bCs/>
                <w:sz w:val="24"/>
                <w:szCs w:val="24"/>
                <w:lang w:val="ro-MD" w:eastAsia="ja-JP"/>
              </w:rPr>
              <w:t xml:space="preserve"> </w:t>
            </w:r>
          </w:p>
          <w:p w14:paraId="42EF8CF5" w14:textId="6493C279" w:rsidR="002D09CB" w:rsidRPr="0071735F" w:rsidRDefault="00CC0C1B" w:rsidP="00E555F7">
            <w:pPr>
              <w:spacing w:before="120" w:after="0"/>
              <w:jc w:val="both"/>
              <w:rPr>
                <w:rFonts w:ascii="Times New Roman" w:eastAsia="Times New Roman" w:hAnsi="Times New Roman" w:cs="Times New Roman"/>
                <w:bCs/>
                <w:sz w:val="24"/>
                <w:szCs w:val="24"/>
                <w:lang w:val="ro-MD" w:eastAsia="ja-JP"/>
              </w:rPr>
            </w:pPr>
            <w:r w:rsidRPr="0071735F">
              <w:rPr>
                <w:rFonts w:ascii="Times New Roman" w:eastAsia="Times New Roman" w:hAnsi="Times New Roman" w:cs="Times New Roman"/>
                <w:bCs/>
                <w:sz w:val="24"/>
                <w:szCs w:val="24"/>
                <w:lang w:val="ro-MD" w:eastAsia="ja-JP"/>
              </w:rPr>
              <w:t>Păstrarea situației curente</w:t>
            </w:r>
            <w:r w:rsidR="009510B0" w:rsidRPr="0071735F">
              <w:rPr>
                <w:rFonts w:ascii="Times New Roman" w:eastAsia="Times New Roman" w:hAnsi="Times New Roman" w:cs="Times New Roman"/>
                <w:bCs/>
                <w:sz w:val="24"/>
                <w:szCs w:val="24"/>
                <w:lang w:val="ro-MD" w:eastAsia="ja-JP"/>
              </w:rPr>
              <w:t>, fără o intervenție, ar</w:t>
            </w:r>
            <w:r w:rsidR="002D09CB" w:rsidRPr="0071735F">
              <w:rPr>
                <w:rFonts w:ascii="Times New Roman" w:eastAsia="Times New Roman" w:hAnsi="Times New Roman" w:cs="Times New Roman"/>
                <w:bCs/>
                <w:sz w:val="24"/>
                <w:szCs w:val="24"/>
                <w:lang w:val="ro-MD" w:eastAsia="ja-JP"/>
              </w:rPr>
              <w:t xml:space="preserve"> conduce la un șir de </w:t>
            </w:r>
            <w:r w:rsidR="003B39E2" w:rsidRPr="0071735F">
              <w:rPr>
                <w:rFonts w:ascii="Times New Roman" w:eastAsia="Times New Roman" w:hAnsi="Times New Roman" w:cs="Times New Roman"/>
                <w:bCs/>
                <w:sz w:val="24"/>
                <w:szCs w:val="24"/>
                <w:lang w:val="ro-MD" w:eastAsia="ja-JP"/>
              </w:rPr>
              <w:t>efecte negative</w:t>
            </w:r>
            <w:r w:rsidR="002D09CB" w:rsidRPr="0071735F">
              <w:rPr>
                <w:rFonts w:ascii="Times New Roman" w:eastAsia="Times New Roman" w:hAnsi="Times New Roman" w:cs="Times New Roman"/>
                <w:bCs/>
                <w:sz w:val="24"/>
                <w:szCs w:val="24"/>
                <w:lang w:val="ro-MD" w:eastAsia="ja-JP"/>
              </w:rPr>
              <w:t>, cum ar fi:</w:t>
            </w:r>
          </w:p>
          <w:p w14:paraId="19B2EE58" w14:textId="50E44E96" w:rsidR="005E0873" w:rsidRPr="0071735F" w:rsidRDefault="00A51AE6" w:rsidP="00E555F7">
            <w:pPr>
              <w:spacing w:before="120" w:after="0"/>
              <w:jc w:val="both"/>
              <w:rPr>
                <w:rFonts w:ascii="Times New Roman" w:eastAsia="Times New Roman" w:hAnsi="Times New Roman" w:cs="Times New Roman"/>
                <w:i/>
                <w:iCs/>
                <w:sz w:val="24"/>
                <w:szCs w:val="24"/>
                <w:lang w:val="ro-MD" w:eastAsia="ja-JP"/>
              </w:rPr>
            </w:pPr>
            <w:r w:rsidRPr="0071735F">
              <w:rPr>
                <w:rFonts w:ascii="Times New Roman" w:eastAsia="Times New Roman" w:hAnsi="Times New Roman" w:cs="Times New Roman"/>
                <w:i/>
                <w:iCs/>
                <w:sz w:val="24"/>
                <w:szCs w:val="24"/>
                <w:lang w:val="ro-MD" w:eastAsia="ja-JP"/>
              </w:rPr>
              <w:t xml:space="preserve">1. </w:t>
            </w:r>
            <w:r w:rsidR="000C4774" w:rsidRPr="0071735F">
              <w:rPr>
                <w:rFonts w:ascii="Times New Roman" w:eastAsia="Times New Roman" w:hAnsi="Times New Roman" w:cs="Times New Roman"/>
                <w:i/>
                <w:iCs/>
                <w:sz w:val="24"/>
                <w:szCs w:val="24"/>
                <w:lang w:val="ro-MD" w:eastAsia="ja-JP"/>
              </w:rPr>
              <w:t xml:space="preserve">Lipsa unei viziuni de țară </w:t>
            </w:r>
            <w:r w:rsidRPr="0071735F">
              <w:rPr>
                <w:rFonts w:ascii="Times New Roman" w:eastAsia="Times New Roman" w:hAnsi="Times New Roman" w:cs="Times New Roman"/>
                <w:i/>
                <w:iCs/>
                <w:sz w:val="24"/>
                <w:szCs w:val="24"/>
                <w:lang w:val="ro-MD" w:eastAsia="ja-JP"/>
              </w:rPr>
              <w:t>pentru sectorul energetic, inclusiv componenta eficiență energetică, pentru orizontul de timp 2030</w:t>
            </w:r>
          </w:p>
          <w:p w14:paraId="46F013A6" w14:textId="7F61E23E" w:rsidR="003A0F24" w:rsidRPr="0071735F" w:rsidRDefault="005E0873"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În mod practic, prin neaprobarea </w:t>
            </w:r>
            <w:r w:rsidR="009464C5" w:rsidRPr="0071735F">
              <w:rPr>
                <w:rFonts w:ascii="Times New Roman" w:eastAsia="Times New Roman" w:hAnsi="Times New Roman" w:cs="Times New Roman"/>
                <w:sz w:val="24"/>
                <w:szCs w:val="24"/>
                <w:lang w:val="ro-MD" w:eastAsia="ja-JP"/>
              </w:rPr>
              <w:t xml:space="preserve">PNIEC </w:t>
            </w:r>
            <w:r w:rsidR="00F96820" w:rsidRPr="0071735F">
              <w:rPr>
                <w:rFonts w:ascii="Times New Roman" w:eastAsia="Times New Roman" w:hAnsi="Times New Roman" w:cs="Times New Roman"/>
                <w:sz w:val="24"/>
                <w:szCs w:val="24"/>
                <w:lang w:val="ro-MD" w:eastAsia="ja-JP"/>
              </w:rPr>
              <w:t>până</w:t>
            </w:r>
            <w:r w:rsidR="009464C5" w:rsidRPr="0071735F">
              <w:rPr>
                <w:rFonts w:ascii="Times New Roman" w:eastAsia="Times New Roman" w:hAnsi="Times New Roman" w:cs="Times New Roman"/>
                <w:sz w:val="24"/>
                <w:szCs w:val="24"/>
                <w:lang w:val="ro-MD" w:eastAsia="ja-JP"/>
              </w:rPr>
              <w:t xml:space="preserve"> în anul 2030</w:t>
            </w:r>
            <w:r w:rsidRPr="0071735F">
              <w:rPr>
                <w:rFonts w:ascii="Times New Roman" w:eastAsia="Times New Roman" w:hAnsi="Times New Roman" w:cs="Times New Roman"/>
                <w:sz w:val="24"/>
                <w:szCs w:val="24"/>
                <w:lang w:val="ro-MD" w:eastAsia="ja-JP"/>
              </w:rPr>
              <w:t xml:space="preserve">, Republica Moldova </w:t>
            </w:r>
            <w:r w:rsidR="00E31491" w:rsidRPr="0071735F">
              <w:rPr>
                <w:rFonts w:ascii="Times New Roman" w:eastAsia="Times New Roman" w:hAnsi="Times New Roman" w:cs="Times New Roman"/>
                <w:sz w:val="24"/>
                <w:szCs w:val="24"/>
                <w:lang w:val="ro-MD" w:eastAsia="ja-JP"/>
              </w:rPr>
              <w:t xml:space="preserve">nu ar deține </w:t>
            </w:r>
            <w:r w:rsidR="00F96820" w:rsidRPr="0071735F">
              <w:rPr>
                <w:rFonts w:ascii="Times New Roman" w:eastAsia="Times New Roman" w:hAnsi="Times New Roman" w:cs="Times New Roman"/>
                <w:sz w:val="24"/>
                <w:szCs w:val="24"/>
                <w:lang w:val="ro-MD" w:eastAsia="ja-JP"/>
              </w:rPr>
              <w:t>ținte naționale pentru domeni</w:t>
            </w:r>
            <w:r w:rsidR="00BD0631" w:rsidRPr="0071735F">
              <w:rPr>
                <w:rFonts w:ascii="Times New Roman" w:eastAsia="Times New Roman" w:hAnsi="Times New Roman" w:cs="Times New Roman"/>
                <w:sz w:val="24"/>
                <w:szCs w:val="24"/>
                <w:lang w:val="ro-MD" w:eastAsia="ja-JP"/>
              </w:rPr>
              <w:t>ile EE, SER și GES</w:t>
            </w:r>
            <w:r w:rsidR="00943FBF" w:rsidRPr="0071735F">
              <w:rPr>
                <w:rFonts w:ascii="Times New Roman" w:eastAsia="Times New Roman" w:hAnsi="Times New Roman" w:cs="Times New Roman"/>
                <w:sz w:val="24"/>
                <w:szCs w:val="24"/>
                <w:lang w:val="ro-MD" w:eastAsia="ja-JP"/>
              </w:rPr>
              <w:t xml:space="preserve">, lucru care în mediul și conjunctura actuală </w:t>
            </w:r>
            <w:r w:rsidR="00AD6FBD" w:rsidRPr="0071735F">
              <w:rPr>
                <w:rFonts w:ascii="Times New Roman" w:eastAsia="Times New Roman" w:hAnsi="Times New Roman" w:cs="Times New Roman"/>
                <w:sz w:val="24"/>
                <w:szCs w:val="24"/>
                <w:lang w:val="ro-MD" w:eastAsia="ja-JP"/>
              </w:rPr>
              <w:t>nu poate fi admisă.</w:t>
            </w:r>
          </w:p>
          <w:p w14:paraId="3609535E" w14:textId="23EA34A7" w:rsidR="00647747" w:rsidRPr="0071735F" w:rsidRDefault="00647747"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Stabilirea de ținte pentru domenii importante și pe orizonturi îndepărtate de timp este o practică </w:t>
            </w:r>
            <w:r w:rsidR="00A66CB0" w:rsidRPr="0071735F">
              <w:rPr>
                <w:rFonts w:ascii="Times New Roman" w:eastAsia="Times New Roman" w:hAnsi="Times New Roman" w:cs="Times New Roman"/>
                <w:sz w:val="24"/>
                <w:szCs w:val="24"/>
                <w:lang w:val="ro-MD" w:eastAsia="ja-JP"/>
              </w:rPr>
              <w:t>comună pentru economiile moderne, aceste obiective avâ</w:t>
            </w:r>
            <w:r w:rsidR="00B72BE9" w:rsidRPr="0071735F">
              <w:rPr>
                <w:rFonts w:ascii="Times New Roman" w:eastAsia="Times New Roman" w:hAnsi="Times New Roman" w:cs="Times New Roman"/>
                <w:sz w:val="24"/>
                <w:szCs w:val="24"/>
                <w:lang w:val="ro-MD" w:eastAsia="ja-JP"/>
              </w:rPr>
              <w:t xml:space="preserve">nd un rol deosebit de important în </w:t>
            </w:r>
            <w:r w:rsidR="00CB008A" w:rsidRPr="0071735F">
              <w:rPr>
                <w:rFonts w:ascii="Times New Roman" w:eastAsia="Times New Roman" w:hAnsi="Times New Roman" w:cs="Times New Roman"/>
                <w:sz w:val="24"/>
                <w:szCs w:val="24"/>
                <w:lang w:val="ro-MD" w:eastAsia="ja-JP"/>
              </w:rPr>
              <w:t xml:space="preserve">încurajarea Guvernelor să depună eforturi </w:t>
            </w:r>
            <w:r w:rsidR="008F4101" w:rsidRPr="0071735F">
              <w:rPr>
                <w:rFonts w:ascii="Times New Roman" w:eastAsia="Times New Roman" w:hAnsi="Times New Roman" w:cs="Times New Roman"/>
                <w:sz w:val="24"/>
                <w:szCs w:val="24"/>
                <w:lang w:val="ro-MD" w:eastAsia="ja-JP"/>
              </w:rPr>
              <w:t xml:space="preserve">considerabile </w:t>
            </w:r>
            <w:r w:rsidR="00CB008A" w:rsidRPr="0071735F">
              <w:rPr>
                <w:rFonts w:ascii="Times New Roman" w:eastAsia="Times New Roman" w:hAnsi="Times New Roman" w:cs="Times New Roman"/>
                <w:sz w:val="24"/>
                <w:szCs w:val="24"/>
                <w:lang w:val="ro-MD" w:eastAsia="ja-JP"/>
              </w:rPr>
              <w:t>întru atingerea lor</w:t>
            </w:r>
            <w:r w:rsidR="008F4101" w:rsidRPr="0071735F">
              <w:rPr>
                <w:rFonts w:ascii="Times New Roman" w:eastAsia="Times New Roman" w:hAnsi="Times New Roman" w:cs="Times New Roman"/>
                <w:sz w:val="24"/>
                <w:szCs w:val="24"/>
                <w:lang w:val="ro-MD" w:eastAsia="ja-JP"/>
              </w:rPr>
              <w:t>. În cele din urmă, obiectivele de dezvoltare sunt cele care propulsează economiile și asigură dezvoltarea societăților de azi.</w:t>
            </w:r>
          </w:p>
          <w:p w14:paraId="60E3B613" w14:textId="50ADCE02" w:rsidR="004171C3" w:rsidRPr="0071735F" w:rsidRDefault="00AD6FBD" w:rsidP="00E555F7">
            <w:pPr>
              <w:spacing w:before="120" w:after="0"/>
              <w:jc w:val="both"/>
              <w:rPr>
                <w:rFonts w:ascii="Times New Roman" w:eastAsia="Times New Roman" w:hAnsi="Times New Roman" w:cs="Times New Roman"/>
                <w:i/>
                <w:iCs/>
                <w:sz w:val="24"/>
                <w:szCs w:val="24"/>
                <w:lang w:val="ro-MD" w:eastAsia="ja-JP"/>
              </w:rPr>
            </w:pPr>
            <w:r w:rsidRPr="0071735F">
              <w:rPr>
                <w:rFonts w:ascii="Times New Roman" w:eastAsia="Times New Roman" w:hAnsi="Times New Roman" w:cs="Times New Roman"/>
                <w:i/>
                <w:iCs/>
                <w:sz w:val="24"/>
                <w:szCs w:val="24"/>
                <w:lang w:val="ro-MD" w:eastAsia="ja-JP"/>
              </w:rPr>
              <w:t xml:space="preserve">2. Lipsa obligației cu privire la economiile </w:t>
            </w:r>
            <w:r w:rsidR="002C5D64" w:rsidRPr="0071735F">
              <w:rPr>
                <w:rFonts w:ascii="Times New Roman" w:eastAsia="Times New Roman" w:hAnsi="Times New Roman" w:cs="Times New Roman"/>
                <w:i/>
                <w:iCs/>
                <w:sz w:val="24"/>
                <w:szCs w:val="24"/>
                <w:lang w:val="ro-MD" w:eastAsia="ja-JP"/>
              </w:rPr>
              <w:t xml:space="preserve">obligatorii </w:t>
            </w:r>
            <w:r w:rsidR="0057239F" w:rsidRPr="0071735F">
              <w:rPr>
                <w:rFonts w:ascii="Times New Roman" w:eastAsia="Times New Roman" w:hAnsi="Times New Roman" w:cs="Times New Roman"/>
                <w:i/>
                <w:iCs/>
                <w:sz w:val="24"/>
                <w:szCs w:val="24"/>
                <w:lang w:val="ro-MD" w:eastAsia="ja-JP"/>
              </w:rPr>
              <w:t>de energie</w:t>
            </w:r>
            <w:r w:rsidR="00C639C0" w:rsidRPr="0071735F">
              <w:rPr>
                <w:rFonts w:ascii="Times New Roman" w:eastAsia="Times New Roman" w:hAnsi="Times New Roman" w:cs="Times New Roman"/>
                <w:i/>
                <w:iCs/>
                <w:sz w:val="24"/>
                <w:szCs w:val="24"/>
                <w:lang w:val="ro-MD" w:eastAsia="ja-JP"/>
              </w:rPr>
              <w:t xml:space="preserve"> și a „schemei de obligații de eficiență energetică”</w:t>
            </w:r>
          </w:p>
          <w:p w14:paraId="721B61F3" w14:textId="6B619FC6" w:rsidR="00BA5B3D" w:rsidRPr="0071735F" w:rsidRDefault="004171C3"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În</w:t>
            </w:r>
            <w:r w:rsidR="003B2FBA">
              <w:rPr>
                <w:rFonts w:ascii="Times New Roman" w:eastAsia="Times New Roman" w:hAnsi="Times New Roman" w:cs="Times New Roman"/>
                <w:sz w:val="24"/>
                <w:szCs w:val="24"/>
                <w:lang w:val="ro-MD" w:eastAsia="ja-JP"/>
              </w:rPr>
              <w:t xml:space="preserve"> aceasta situa</w:t>
            </w:r>
            <w:r w:rsidR="003B2FBA" w:rsidRPr="0071735F">
              <w:rPr>
                <w:rFonts w:ascii="Times New Roman" w:eastAsia="Times New Roman" w:hAnsi="Times New Roman" w:cs="Times New Roman"/>
                <w:sz w:val="24"/>
                <w:szCs w:val="24"/>
                <w:lang w:val="ro-MD" w:eastAsia="ja-JP"/>
              </w:rPr>
              <w:t>ț</w:t>
            </w:r>
            <w:r w:rsidR="003B2FBA">
              <w:rPr>
                <w:rFonts w:ascii="Times New Roman" w:eastAsia="Times New Roman" w:hAnsi="Times New Roman" w:cs="Times New Roman"/>
                <w:sz w:val="24"/>
                <w:szCs w:val="24"/>
                <w:lang w:val="ro-MD" w:eastAsia="ja-JP"/>
              </w:rPr>
              <w:t xml:space="preserve">ie </w:t>
            </w:r>
            <w:r w:rsidRPr="0071735F">
              <w:rPr>
                <w:rFonts w:ascii="Times New Roman" w:eastAsia="Times New Roman" w:hAnsi="Times New Roman" w:cs="Times New Roman"/>
                <w:sz w:val="24"/>
                <w:szCs w:val="24"/>
                <w:lang w:val="ro-MD" w:eastAsia="ja-JP"/>
              </w:rPr>
              <w:t>, s-</w:t>
            </w:r>
            <w:r w:rsidR="0057239F" w:rsidRPr="0071735F">
              <w:rPr>
                <w:rFonts w:ascii="Times New Roman" w:eastAsia="Times New Roman" w:hAnsi="Times New Roman" w:cs="Times New Roman"/>
                <w:sz w:val="24"/>
                <w:szCs w:val="24"/>
                <w:lang w:val="ro-MD" w:eastAsia="ja-JP"/>
              </w:rPr>
              <w:t xml:space="preserve">ar periclita </w:t>
            </w:r>
            <w:r w:rsidR="00113F89">
              <w:rPr>
                <w:rFonts w:ascii="Times New Roman" w:eastAsia="Times New Roman" w:hAnsi="Times New Roman" w:cs="Times New Roman"/>
                <w:sz w:val="24"/>
                <w:szCs w:val="24"/>
                <w:lang w:val="ro-MD" w:eastAsia="ja-JP"/>
              </w:rPr>
              <w:t>a</w:t>
            </w:r>
            <w:r w:rsidR="00255A9C" w:rsidRPr="0071735F">
              <w:rPr>
                <w:rFonts w:ascii="Times New Roman" w:eastAsia="Times New Roman" w:hAnsi="Times New Roman" w:cs="Times New Roman"/>
                <w:sz w:val="24"/>
                <w:szCs w:val="24"/>
                <w:lang w:val="ro-MD" w:eastAsia="ja-JP"/>
              </w:rPr>
              <w:t>ctivitatea industriei și a sectorului</w:t>
            </w:r>
            <w:r w:rsidR="00766749" w:rsidRPr="0071735F">
              <w:rPr>
                <w:rFonts w:ascii="Times New Roman" w:eastAsia="Times New Roman" w:hAnsi="Times New Roman" w:cs="Times New Roman"/>
                <w:sz w:val="24"/>
                <w:szCs w:val="24"/>
                <w:lang w:val="ro-MD" w:eastAsia="ja-JP"/>
              </w:rPr>
              <w:t xml:space="preserve"> </w:t>
            </w:r>
            <w:r w:rsidR="00255A9C" w:rsidRPr="0071735F">
              <w:rPr>
                <w:rFonts w:ascii="Times New Roman" w:eastAsia="Times New Roman" w:hAnsi="Times New Roman" w:cs="Times New Roman"/>
                <w:sz w:val="24"/>
                <w:szCs w:val="24"/>
                <w:lang w:val="ro-MD" w:eastAsia="ja-JP"/>
              </w:rPr>
              <w:t xml:space="preserve">construcții, care este </w:t>
            </w:r>
            <w:r w:rsidR="00130A9C" w:rsidRPr="0071735F">
              <w:rPr>
                <w:rFonts w:ascii="Times New Roman" w:eastAsia="Times New Roman" w:hAnsi="Times New Roman" w:cs="Times New Roman"/>
                <w:sz w:val="24"/>
                <w:szCs w:val="24"/>
                <w:lang w:val="ro-MD" w:eastAsia="ja-JP"/>
              </w:rPr>
              <w:t xml:space="preserve">direct și </w:t>
            </w:r>
            <w:r w:rsidR="00255A9C" w:rsidRPr="0071735F">
              <w:rPr>
                <w:rFonts w:ascii="Times New Roman" w:eastAsia="Times New Roman" w:hAnsi="Times New Roman" w:cs="Times New Roman"/>
                <w:sz w:val="24"/>
                <w:szCs w:val="24"/>
                <w:lang w:val="ro-MD" w:eastAsia="ja-JP"/>
              </w:rPr>
              <w:t xml:space="preserve">puternic implicat în implementarea măsurilor de eficiență în </w:t>
            </w:r>
            <w:r w:rsidR="00EA122E" w:rsidRPr="0071735F">
              <w:rPr>
                <w:rFonts w:ascii="Times New Roman" w:eastAsia="Times New Roman" w:hAnsi="Times New Roman" w:cs="Times New Roman"/>
                <w:sz w:val="24"/>
                <w:szCs w:val="24"/>
                <w:lang w:val="ro-MD" w:eastAsia="ja-JP"/>
              </w:rPr>
              <w:t>Republica Moldova.</w:t>
            </w:r>
            <w:r w:rsidR="00766749" w:rsidRPr="0071735F">
              <w:rPr>
                <w:rFonts w:ascii="Times New Roman" w:eastAsia="Times New Roman" w:hAnsi="Times New Roman" w:cs="Times New Roman"/>
                <w:sz w:val="24"/>
                <w:szCs w:val="24"/>
                <w:lang w:val="ro-MD" w:eastAsia="ja-JP"/>
              </w:rPr>
              <w:t xml:space="preserve"> </w:t>
            </w:r>
            <w:r w:rsidR="007B39BA" w:rsidRPr="0071735F">
              <w:rPr>
                <w:rFonts w:ascii="Times New Roman" w:eastAsia="Times New Roman" w:hAnsi="Times New Roman" w:cs="Times New Roman"/>
                <w:sz w:val="24"/>
                <w:szCs w:val="24"/>
                <w:lang w:val="ro-MD" w:eastAsia="ja-JP"/>
              </w:rPr>
              <w:t>Fără obligații de economii de energie, Guvernul nu ar depune eforturi întru crearea instrumentelor și programelor de finanțare necesare pentru sprijinirea investițiilor în măsuri de eficiență energetică, iar ca urmare</w:t>
            </w:r>
            <w:r w:rsidR="00083FD5" w:rsidRPr="0071735F">
              <w:rPr>
                <w:rFonts w:ascii="Times New Roman" w:eastAsia="Times New Roman" w:hAnsi="Times New Roman" w:cs="Times New Roman"/>
                <w:sz w:val="24"/>
                <w:szCs w:val="24"/>
                <w:lang w:val="ro-MD" w:eastAsia="ja-JP"/>
              </w:rPr>
              <w:t xml:space="preserve">, creșterea economică ar fi una moderată, un număr considerabil de locuri de </w:t>
            </w:r>
            <w:r w:rsidR="00670F65" w:rsidRPr="0071735F">
              <w:rPr>
                <w:rFonts w:ascii="Times New Roman" w:eastAsia="Times New Roman" w:hAnsi="Times New Roman" w:cs="Times New Roman"/>
                <w:sz w:val="24"/>
                <w:szCs w:val="24"/>
                <w:lang w:val="ro-MD" w:eastAsia="ja-JP"/>
              </w:rPr>
              <w:t>muncă nu ar fi create, iar bugetele instituțiilor publice, ale gospodăriilor</w:t>
            </w:r>
            <w:r w:rsidR="0073503D" w:rsidRPr="0071735F">
              <w:rPr>
                <w:rFonts w:ascii="Times New Roman" w:eastAsia="Times New Roman" w:hAnsi="Times New Roman" w:cs="Times New Roman"/>
                <w:sz w:val="24"/>
                <w:szCs w:val="24"/>
                <w:lang w:val="ro-MD" w:eastAsia="ja-JP"/>
              </w:rPr>
              <w:t xml:space="preserve"> casnice</w:t>
            </w:r>
            <w:r w:rsidR="00670F65" w:rsidRPr="0071735F">
              <w:rPr>
                <w:rFonts w:ascii="Times New Roman" w:eastAsia="Times New Roman" w:hAnsi="Times New Roman" w:cs="Times New Roman"/>
                <w:sz w:val="24"/>
                <w:szCs w:val="24"/>
                <w:lang w:val="ro-MD" w:eastAsia="ja-JP"/>
              </w:rPr>
              <w:t xml:space="preserve">, etc., ar rămâne la fel de mari. </w:t>
            </w:r>
            <w:r w:rsidR="0073503D" w:rsidRPr="0071735F">
              <w:rPr>
                <w:rFonts w:ascii="Times New Roman" w:eastAsia="Times New Roman" w:hAnsi="Times New Roman" w:cs="Times New Roman"/>
                <w:sz w:val="24"/>
                <w:szCs w:val="24"/>
                <w:lang w:val="ro-MD" w:eastAsia="ja-JP"/>
              </w:rPr>
              <w:t xml:space="preserve">Ultima </w:t>
            </w:r>
            <w:r w:rsidR="00670F65" w:rsidRPr="0071735F">
              <w:rPr>
                <w:rFonts w:ascii="Times New Roman" w:eastAsia="Times New Roman" w:hAnsi="Times New Roman" w:cs="Times New Roman"/>
                <w:sz w:val="24"/>
                <w:szCs w:val="24"/>
                <w:lang w:val="ro-MD" w:eastAsia="ja-JP"/>
              </w:rPr>
              <w:t>problem</w:t>
            </w:r>
            <w:r w:rsidR="0073503D" w:rsidRPr="0071735F">
              <w:rPr>
                <w:rFonts w:ascii="Times New Roman" w:eastAsia="Times New Roman" w:hAnsi="Times New Roman" w:cs="Times New Roman"/>
                <w:sz w:val="24"/>
                <w:szCs w:val="24"/>
                <w:lang w:val="ro-MD" w:eastAsia="ja-JP"/>
              </w:rPr>
              <w:t>atic</w:t>
            </w:r>
            <w:r w:rsidR="00670F65" w:rsidRPr="0071735F">
              <w:rPr>
                <w:rFonts w:ascii="Times New Roman" w:eastAsia="Times New Roman" w:hAnsi="Times New Roman" w:cs="Times New Roman"/>
                <w:sz w:val="24"/>
                <w:szCs w:val="24"/>
                <w:lang w:val="ro-MD" w:eastAsia="ja-JP"/>
              </w:rPr>
              <w:t xml:space="preserve">ă în Republica Moldova este deosebit de sensibilă, întrucât </w:t>
            </w:r>
            <w:r w:rsidR="00CF6EE3" w:rsidRPr="0071735F">
              <w:rPr>
                <w:rFonts w:ascii="Times New Roman" w:eastAsia="Times New Roman" w:hAnsi="Times New Roman" w:cs="Times New Roman"/>
                <w:sz w:val="24"/>
                <w:szCs w:val="24"/>
                <w:lang w:val="ro-MD" w:eastAsia="ja-JP"/>
              </w:rPr>
              <w:t xml:space="preserve">dependența de importul </w:t>
            </w:r>
            <w:r w:rsidR="00892326" w:rsidRPr="0071735F">
              <w:rPr>
                <w:rFonts w:ascii="Times New Roman" w:eastAsia="Times New Roman" w:hAnsi="Times New Roman" w:cs="Times New Roman"/>
                <w:sz w:val="24"/>
                <w:szCs w:val="24"/>
                <w:lang w:val="ro-MD" w:eastAsia="ja-JP"/>
              </w:rPr>
              <w:t>de combustibili este mare, iar odată cu el are lor exportul de valută</w:t>
            </w:r>
            <w:r w:rsidR="00BA5B3D" w:rsidRPr="0071735F">
              <w:rPr>
                <w:rFonts w:ascii="Times New Roman" w:eastAsia="Times New Roman" w:hAnsi="Times New Roman" w:cs="Times New Roman"/>
                <w:sz w:val="24"/>
                <w:szCs w:val="24"/>
                <w:lang w:val="ro-MD" w:eastAsia="ja-JP"/>
              </w:rPr>
              <w:t xml:space="preserve"> cu expunerea monedei naționale la </w:t>
            </w:r>
            <w:r w:rsidR="00113F89">
              <w:rPr>
                <w:rFonts w:ascii="Times New Roman" w:eastAsia="Times New Roman" w:hAnsi="Times New Roman" w:cs="Times New Roman"/>
                <w:sz w:val="24"/>
                <w:szCs w:val="24"/>
                <w:lang w:val="ro-MD" w:eastAsia="ja-JP"/>
              </w:rPr>
              <w:t>a</w:t>
            </w:r>
            <w:r w:rsidR="00BA5B3D" w:rsidRPr="0071735F">
              <w:rPr>
                <w:rFonts w:ascii="Times New Roman" w:eastAsia="Times New Roman" w:hAnsi="Times New Roman" w:cs="Times New Roman"/>
                <w:sz w:val="24"/>
                <w:szCs w:val="24"/>
                <w:lang w:val="ro-MD" w:eastAsia="ja-JP"/>
              </w:rPr>
              <w:t>șocuri sezoniere mari.</w:t>
            </w:r>
          </w:p>
          <w:p w14:paraId="100D1571" w14:textId="2D8A781E" w:rsidR="0057239F" w:rsidRPr="0071735F" w:rsidRDefault="00C639C0"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Cât privește s</w:t>
            </w:r>
            <w:r w:rsidR="008C22FC" w:rsidRPr="0071735F">
              <w:rPr>
                <w:rFonts w:ascii="Times New Roman" w:eastAsia="Times New Roman" w:hAnsi="Times New Roman" w:cs="Times New Roman"/>
                <w:sz w:val="24"/>
                <w:szCs w:val="24"/>
                <w:lang w:val="ro-MD" w:eastAsia="ja-JP"/>
              </w:rPr>
              <w:t xml:space="preserve">chema de obligații de </w:t>
            </w:r>
            <w:r w:rsidR="00EF3281" w:rsidRPr="0071735F">
              <w:rPr>
                <w:rFonts w:ascii="Times New Roman" w:eastAsia="Times New Roman" w:hAnsi="Times New Roman" w:cs="Times New Roman"/>
                <w:sz w:val="24"/>
                <w:szCs w:val="24"/>
                <w:lang w:val="ro-MD" w:eastAsia="ja-JP"/>
              </w:rPr>
              <w:t>eficiență energetică</w:t>
            </w:r>
            <w:r w:rsidR="00121278" w:rsidRPr="0071735F">
              <w:rPr>
                <w:rFonts w:ascii="Times New Roman" w:eastAsia="Times New Roman" w:hAnsi="Times New Roman" w:cs="Times New Roman"/>
                <w:sz w:val="24"/>
                <w:szCs w:val="24"/>
                <w:lang w:val="ro-MD" w:eastAsia="ja-JP"/>
              </w:rPr>
              <w:t xml:space="preserve"> /SOEE/</w:t>
            </w:r>
            <w:r w:rsidR="00EF3281" w:rsidRPr="0071735F">
              <w:rPr>
                <w:rFonts w:ascii="Times New Roman" w:eastAsia="Times New Roman" w:hAnsi="Times New Roman" w:cs="Times New Roman"/>
                <w:sz w:val="24"/>
                <w:szCs w:val="24"/>
                <w:lang w:val="ro-MD" w:eastAsia="ja-JP"/>
              </w:rPr>
              <w:t>, în versiunea ajustată în cazul Republicii Moldova</w:t>
            </w:r>
            <w:r w:rsidR="00E416D6" w:rsidRPr="0071735F">
              <w:rPr>
                <w:rFonts w:ascii="Times New Roman" w:eastAsia="Times New Roman" w:hAnsi="Times New Roman" w:cs="Times New Roman"/>
                <w:sz w:val="24"/>
                <w:szCs w:val="24"/>
                <w:lang w:val="ro-MD" w:eastAsia="ja-JP"/>
              </w:rPr>
              <w:t xml:space="preserve"> prin intermediul Legii 139/2018</w:t>
            </w:r>
            <w:r w:rsidR="00EF3281" w:rsidRPr="0071735F">
              <w:rPr>
                <w:rFonts w:ascii="Times New Roman" w:eastAsia="Times New Roman" w:hAnsi="Times New Roman" w:cs="Times New Roman"/>
                <w:sz w:val="24"/>
                <w:szCs w:val="24"/>
                <w:lang w:val="ro-MD" w:eastAsia="ja-JP"/>
              </w:rPr>
              <w:t xml:space="preserve">, </w:t>
            </w:r>
            <w:r w:rsidRPr="0071735F">
              <w:rPr>
                <w:rFonts w:ascii="Times New Roman" w:eastAsia="Times New Roman" w:hAnsi="Times New Roman" w:cs="Times New Roman"/>
                <w:sz w:val="24"/>
                <w:szCs w:val="24"/>
                <w:lang w:val="ro-MD" w:eastAsia="ja-JP"/>
              </w:rPr>
              <w:t xml:space="preserve">aceasta </w:t>
            </w:r>
            <w:r w:rsidR="00EF3281" w:rsidRPr="0071735F">
              <w:rPr>
                <w:rFonts w:ascii="Times New Roman" w:eastAsia="Times New Roman" w:hAnsi="Times New Roman" w:cs="Times New Roman"/>
                <w:sz w:val="24"/>
                <w:szCs w:val="24"/>
                <w:lang w:val="ro-MD" w:eastAsia="ja-JP"/>
              </w:rPr>
              <w:t xml:space="preserve">este un instrument eficient de </w:t>
            </w:r>
            <w:r w:rsidR="00E416D6" w:rsidRPr="0071735F">
              <w:rPr>
                <w:rFonts w:ascii="Times New Roman" w:eastAsia="Times New Roman" w:hAnsi="Times New Roman" w:cs="Times New Roman"/>
                <w:sz w:val="24"/>
                <w:szCs w:val="24"/>
                <w:lang w:val="ro-MD" w:eastAsia="ja-JP"/>
              </w:rPr>
              <w:t xml:space="preserve">mobilizare a </w:t>
            </w:r>
            <w:r w:rsidR="00140EC6" w:rsidRPr="0071735F">
              <w:rPr>
                <w:rFonts w:ascii="Times New Roman" w:eastAsia="Times New Roman" w:hAnsi="Times New Roman" w:cs="Times New Roman"/>
                <w:sz w:val="24"/>
                <w:szCs w:val="24"/>
                <w:lang w:val="ro-MD" w:eastAsia="ja-JP"/>
              </w:rPr>
              <w:t>resurselor financiare</w:t>
            </w:r>
            <w:r w:rsidR="00212E6B" w:rsidRPr="0071735F">
              <w:rPr>
                <w:rFonts w:ascii="Times New Roman" w:eastAsia="Times New Roman" w:hAnsi="Times New Roman" w:cs="Times New Roman"/>
                <w:sz w:val="24"/>
                <w:szCs w:val="24"/>
                <w:lang w:val="ro-MD" w:eastAsia="ja-JP"/>
              </w:rPr>
              <w:t xml:space="preserve"> de la operatorii din piaț</w:t>
            </w:r>
            <w:r w:rsidR="00121278" w:rsidRPr="0071735F">
              <w:rPr>
                <w:rFonts w:ascii="Times New Roman" w:eastAsia="Times New Roman" w:hAnsi="Times New Roman" w:cs="Times New Roman"/>
                <w:sz w:val="24"/>
                <w:szCs w:val="24"/>
                <w:lang w:val="ro-MD" w:eastAsia="ja-JP"/>
              </w:rPr>
              <w:t xml:space="preserve">ă în vederea finanțării ulterioare a măsurilor de eficiență în diferite sectoare ale economiei naționale. Lipsa ori imposibilitatea aplicării SOEE ar pune presiune pe </w:t>
            </w:r>
            <w:r w:rsidR="003022B2" w:rsidRPr="0071735F">
              <w:rPr>
                <w:rFonts w:ascii="Times New Roman" w:eastAsia="Times New Roman" w:hAnsi="Times New Roman" w:cs="Times New Roman"/>
                <w:sz w:val="24"/>
                <w:szCs w:val="24"/>
                <w:lang w:val="ro-MD" w:eastAsia="ja-JP"/>
              </w:rPr>
              <w:t xml:space="preserve">Guvern/ autorități, să identifice </w:t>
            </w:r>
            <w:r w:rsidR="004B27BF" w:rsidRPr="0071735F">
              <w:rPr>
                <w:rFonts w:ascii="Times New Roman" w:eastAsia="Times New Roman" w:hAnsi="Times New Roman" w:cs="Times New Roman"/>
                <w:sz w:val="24"/>
                <w:szCs w:val="24"/>
                <w:lang w:val="ro-MD" w:eastAsia="ja-JP"/>
              </w:rPr>
              <w:t xml:space="preserve">alte surse pentru mijloacele bănești necesare. </w:t>
            </w:r>
            <w:r w:rsidR="003022B2" w:rsidRPr="0071735F">
              <w:rPr>
                <w:rFonts w:ascii="Times New Roman" w:eastAsia="Times New Roman" w:hAnsi="Times New Roman" w:cs="Times New Roman"/>
                <w:sz w:val="24"/>
                <w:szCs w:val="24"/>
                <w:lang w:val="ro-MD" w:eastAsia="ja-JP"/>
              </w:rPr>
              <w:t xml:space="preserve"> </w:t>
            </w:r>
            <w:r w:rsidR="00FC2B5D" w:rsidRPr="0071735F">
              <w:rPr>
                <w:rFonts w:ascii="Times New Roman" w:eastAsia="Times New Roman" w:hAnsi="Times New Roman" w:cs="Times New Roman"/>
                <w:sz w:val="24"/>
                <w:szCs w:val="24"/>
                <w:lang w:val="ro-MD" w:eastAsia="ja-JP"/>
              </w:rPr>
              <w:t xml:space="preserve"> </w:t>
            </w:r>
          </w:p>
          <w:p w14:paraId="2278FF1C" w14:textId="4AF7FCA9" w:rsidR="00A51AE6" w:rsidRPr="0071735F" w:rsidRDefault="00635489" w:rsidP="00E555F7">
            <w:pPr>
              <w:spacing w:before="120" w:after="0"/>
              <w:jc w:val="both"/>
              <w:rPr>
                <w:rFonts w:ascii="Times New Roman" w:eastAsia="Times New Roman" w:hAnsi="Times New Roman" w:cs="Times New Roman"/>
                <w:i/>
                <w:iCs/>
                <w:sz w:val="24"/>
                <w:szCs w:val="24"/>
                <w:lang w:val="ro-MD" w:eastAsia="ja-JP"/>
              </w:rPr>
            </w:pPr>
            <w:r w:rsidRPr="0071735F">
              <w:rPr>
                <w:rFonts w:ascii="Times New Roman" w:eastAsia="Times New Roman" w:hAnsi="Times New Roman" w:cs="Times New Roman"/>
                <w:i/>
                <w:iCs/>
                <w:sz w:val="24"/>
                <w:szCs w:val="24"/>
                <w:lang w:val="ro-MD" w:eastAsia="ja-JP"/>
              </w:rPr>
              <w:t xml:space="preserve">3. </w:t>
            </w:r>
            <w:r w:rsidR="00B0778B" w:rsidRPr="0071735F">
              <w:rPr>
                <w:rFonts w:ascii="Times New Roman" w:eastAsia="Times New Roman" w:hAnsi="Times New Roman" w:cs="Times New Roman"/>
                <w:i/>
                <w:iCs/>
                <w:sz w:val="24"/>
                <w:szCs w:val="24"/>
                <w:lang w:val="ro-MD" w:eastAsia="ja-JP"/>
              </w:rPr>
              <w:t xml:space="preserve">Rolul exemplar al sectorului public și clădirilor publice nu este suficient de </w:t>
            </w:r>
            <w:r w:rsidR="00735A46" w:rsidRPr="0071735F">
              <w:rPr>
                <w:rFonts w:ascii="Times New Roman" w:eastAsia="Times New Roman" w:hAnsi="Times New Roman" w:cs="Times New Roman"/>
                <w:i/>
                <w:iCs/>
                <w:sz w:val="24"/>
                <w:szCs w:val="24"/>
                <w:lang w:val="ro-MD" w:eastAsia="ja-JP"/>
              </w:rPr>
              <w:t>evident</w:t>
            </w:r>
          </w:p>
          <w:p w14:paraId="44C2C228" w14:textId="77777777" w:rsidR="002D77A1" w:rsidRPr="0071735F" w:rsidRDefault="00735A46"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Versiunea revizuită și adaptată a Directivei 2018/2002 propune ca începând cu 1 </w:t>
            </w:r>
            <w:r w:rsidR="007434CE" w:rsidRPr="0071735F">
              <w:rPr>
                <w:rFonts w:ascii="Times New Roman" w:eastAsia="Times New Roman" w:hAnsi="Times New Roman" w:cs="Times New Roman"/>
                <w:sz w:val="24"/>
                <w:szCs w:val="24"/>
                <w:lang w:val="ro-MD" w:eastAsia="ja-JP"/>
              </w:rPr>
              <w:t xml:space="preserve">ianuarie 2024, rata anuală de renovare a clădirilor </w:t>
            </w:r>
            <w:r w:rsidR="005F2C72" w:rsidRPr="0071735F">
              <w:rPr>
                <w:rFonts w:ascii="Times New Roman" w:eastAsia="Times New Roman" w:hAnsi="Times New Roman" w:cs="Times New Roman"/>
                <w:sz w:val="24"/>
                <w:szCs w:val="24"/>
                <w:lang w:val="ro-MD" w:eastAsia="ja-JP"/>
              </w:rPr>
              <w:t xml:space="preserve">din domeniul public al statului, cu o suprafață totală utilă de peste 250 m2, în care își desfășoară activitatea autoritățile administrației publice centrale de </w:t>
            </w:r>
            <w:r w:rsidR="005F2C72" w:rsidRPr="0071735F">
              <w:rPr>
                <w:rFonts w:ascii="Times New Roman" w:eastAsia="Times New Roman" w:hAnsi="Times New Roman" w:cs="Times New Roman"/>
                <w:sz w:val="24"/>
                <w:szCs w:val="24"/>
                <w:lang w:val="ro-MD" w:eastAsia="ja-JP"/>
              </w:rPr>
              <w:lastRenderedPageBreak/>
              <w:t>specialitate și care nu îndeplinesc, la data de 1 ianuarie a fiecărui an, cerințele minime de performanță energetică</w:t>
            </w:r>
            <w:r w:rsidR="00126617" w:rsidRPr="0071735F">
              <w:rPr>
                <w:rFonts w:ascii="Times New Roman" w:eastAsia="Times New Roman" w:hAnsi="Times New Roman" w:cs="Times New Roman"/>
                <w:sz w:val="24"/>
                <w:szCs w:val="24"/>
                <w:lang w:val="ro-MD" w:eastAsia="ja-JP"/>
              </w:rPr>
              <w:t xml:space="preserve">, să fie crescută de la 1% la 3%. </w:t>
            </w:r>
          </w:p>
          <w:p w14:paraId="40DA3BAD" w14:textId="1F06B90F" w:rsidR="002D77A1" w:rsidRPr="0071735F" w:rsidRDefault="002D77A1"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În lipsa unei astfel de prevederi, suprafața renovată anual s-ar limita la 4.000 m</w:t>
            </w:r>
            <w:r w:rsidRPr="0071735F">
              <w:rPr>
                <w:rFonts w:ascii="Times New Roman" w:eastAsia="Times New Roman" w:hAnsi="Times New Roman" w:cs="Times New Roman"/>
                <w:sz w:val="24"/>
                <w:szCs w:val="24"/>
                <w:vertAlign w:val="superscript"/>
                <w:lang w:val="ro-MD" w:eastAsia="ja-JP"/>
              </w:rPr>
              <w:t>2</w:t>
            </w:r>
            <w:r w:rsidR="0008120E" w:rsidRPr="0071735F">
              <w:rPr>
                <w:rFonts w:ascii="Times New Roman" w:eastAsia="Times New Roman" w:hAnsi="Times New Roman" w:cs="Times New Roman"/>
                <w:sz w:val="24"/>
                <w:szCs w:val="24"/>
                <w:vertAlign w:val="superscript"/>
                <w:lang w:val="ro-MD" w:eastAsia="ja-JP"/>
              </w:rPr>
              <w:t xml:space="preserve"> </w:t>
            </w:r>
            <w:r w:rsidR="0008120E" w:rsidRPr="0071735F">
              <w:rPr>
                <w:rFonts w:ascii="Times New Roman" w:eastAsia="Times New Roman" w:hAnsi="Times New Roman" w:cs="Times New Roman"/>
                <w:sz w:val="24"/>
                <w:szCs w:val="24"/>
                <w:lang w:val="ro-MD" w:eastAsia="ja-JP"/>
              </w:rPr>
              <w:t>(în comparație cu 12.000 m</w:t>
            </w:r>
            <w:r w:rsidR="0008120E" w:rsidRPr="0071735F">
              <w:rPr>
                <w:rFonts w:ascii="Times New Roman" w:eastAsia="Times New Roman" w:hAnsi="Times New Roman" w:cs="Times New Roman"/>
                <w:sz w:val="24"/>
                <w:szCs w:val="24"/>
                <w:vertAlign w:val="superscript"/>
                <w:lang w:val="ro-MD" w:eastAsia="ja-JP"/>
              </w:rPr>
              <w:t>2</w:t>
            </w:r>
            <w:r w:rsidR="0008120E" w:rsidRPr="0071735F">
              <w:rPr>
                <w:rFonts w:ascii="Times New Roman" w:eastAsia="Times New Roman" w:hAnsi="Times New Roman" w:cs="Times New Roman"/>
                <w:sz w:val="24"/>
                <w:szCs w:val="24"/>
                <w:lang w:val="ro-MD" w:eastAsia="ja-JP"/>
              </w:rPr>
              <w:t xml:space="preserve"> pentru</w:t>
            </w:r>
            <w:r w:rsidR="00981780" w:rsidRPr="0071735F">
              <w:rPr>
                <w:rFonts w:ascii="Times New Roman" w:eastAsia="Times New Roman" w:hAnsi="Times New Roman" w:cs="Times New Roman"/>
                <w:sz w:val="24"/>
                <w:szCs w:val="24"/>
                <w:lang w:val="ro-MD" w:eastAsia="ja-JP"/>
              </w:rPr>
              <w:t xml:space="preserve"> scenariul cu 3%/an</w:t>
            </w:r>
            <w:r w:rsidR="0008120E" w:rsidRPr="0071735F">
              <w:rPr>
                <w:rFonts w:ascii="Times New Roman" w:eastAsia="Times New Roman" w:hAnsi="Times New Roman" w:cs="Times New Roman"/>
                <w:sz w:val="24"/>
                <w:szCs w:val="24"/>
                <w:lang w:val="ro-MD" w:eastAsia="ja-JP"/>
              </w:rPr>
              <w:t xml:space="preserve"> )</w:t>
            </w:r>
            <w:r w:rsidRPr="0071735F">
              <w:rPr>
                <w:rFonts w:ascii="Times New Roman" w:eastAsia="Times New Roman" w:hAnsi="Times New Roman" w:cs="Times New Roman"/>
                <w:sz w:val="24"/>
                <w:szCs w:val="24"/>
                <w:lang w:val="ro-MD" w:eastAsia="ja-JP"/>
              </w:rPr>
              <w:t>, sau la cca. 1-2 edificii</w:t>
            </w:r>
            <w:r w:rsidR="0008120E" w:rsidRPr="0071735F">
              <w:rPr>
                <w:rFonts w:ascii="Times New Roman" w:eastAsia="Times New Roman" w:hAnsi="Times New Roman" w:cs="Times New Roman"/>
                <w:sz w:val="24"/>
                <w:szCs w:val="24"/>
                <w:lang w:val="ro-MD" w:eastAsia="ja-JP"/>
              </w:rPr>
              <w:t>, care în mod evident nu ar fi suficiente pentru a propaga în publicul larg un mesaj convingător cu privire la importanța consumului rațional de energie în clădiri.</w:t>
            </w:r>
          </w:p>
          <w:p w14:paraId="5FF64572" w14:textId="201D4FBE" w:rsidR="009A1F94" w:rsidRPr="0071735F" w:rsidRDefault="005D2B5E"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Mai mult, e</w:t>
            </w:r>
            <w:r w:rsidR="009A1F94" w:rsidRPr="0071735F">
              <w:rPr>
                <w:rFonts w:ascii="Times New Roman" w:eastAsia="Times New Roman" w:hAnsi="Times New Roman" w:cs="Times New Roman"/>
                <w:sz w:val="24"/>
                <w:szCs w:val="24"/>
                <w:lang w:val="ro-MD" w:eastAsia="ja-JP"/>
              </w:rPr>
              <w:t>xp</w:t>
            </w:r>
            <w:r w:rsidR="006C4BBA" w:rsidRPr="0071735F">
              <w:rPr>
                <w:rFonts w:ascii="Times New Roman" w:eastAsia="Times New Roman" w:hAnsi="Times New Roman" w:cs="Times New Roman"/>
                <w:sz w:val="24"/>
                <w:szCs w:val="24"/>
                <w:lang w:val="ro-MD" w:eastAsia="ja-JP"/>
              </w:rPr>
              <w:t>e</w:t>
            </w:r>
            <w:r w:rsidR="009A1F94" w:rsidRPr="0071735F">
              <w:rPr>
                <w:rFonts w:ascii="Times New Roman" w:eastAsia="Times New Roman" w:hAnsi="Times New Roman" w:cs="Times New Roman"/>
                <w:sz w:val="24"/>
                <w:szCs w:val="24"/>
                <w:lang w:val="ro-MD" w:eastAsia="ja-JP"/>
              </w:rPr>
              <w:t xml:space="preserve">riența implementării </w:t>
            </w:r>
            <w:r w:rsidR="006C4BBA" w:rsidRPr="0071735F">
              <w:rPr>
                <w:rFonts w:ascii="Times New Roman" w:eastAsia="Times New Roman" w:hAnsi="Times New Roman" w:cs="Times New Roman"/>
                <w:sz w:val="24"/>
                <w:szCs w:val="24"/>
                <w:lang w:val="ro-MD" w:eastAsia="ja-JP"/>
              </w:rPr>
              <w:t xml:space="preserve">primului </w:t>
            </w:r>
            <w:r w:rsidR="006C4BBA" w:rsidRPr="0071735F">
              <w:rPr>
                <w:rFonts w:ascii="Times New Roman" w:eastAsia="Times New Roman" w:hAnsi="Times New Roman" w:cs="Times New Roman"/>
                <w:i/>
                <w:iCs/>
                <w:sz w:val="24"/>
                <w:szCs w:val="24"/>
                <w:lang w:val="ro-MD" w:eastAsia="ja-JP"/>
              </w:rPr>
              <w:t xml:space="preserve">Program </w:t>
            </w:r>
            <w:r w:rsidR="00001C15" w:rsidRPr="0071735F">
              <w:rPr>
                <w:rFonts w:ascii="Times New Roman" w:eastAsia="Times New Roman" w:hAnsi="Times New Roman" w:cs="Times New Roman"/>
                <w:i/>
                <w:iCs/>
                <w:sz w:val="24"/>
                <w:szCs w:val="24"/>
                <w:lang w:val="ro-MD" w:eastAsia="ja-JP"/>
              </w:rPr>
              <w:t>cu privire la implementarea obligației privind renovarea clădirilor autorităților administrației publice centrale de specialitate pentru anii 2020-2022</w:t>
            </w:r>
            <w:r w:rsidR="007D40BA" w:rsidRPr="0071735F">
              <w:rPr>
                <w:rStyle w:val="FootnoteReference"/>
                <w:rFonts w:ascii="Times New Roman" w:eastAsia="Times New Roman" w:hAnsi="Times New Roman" w:cs="Times New Roman"/>
                <w:sz w:val="24"/>
                <w:szCs w:val="24"/>
                <w:lang w:val="ro-MD" w:eastAsia="ja-JP"/>
              </w:rPr>
              <w:footnoteReference w:id="6"/>
            </w:r>
            <w:r w:rsidR="00966B70" w:rsidRPr="0071735F">
              <w:rPr>
                <w:rFonts w:ascii="Times New Roman" w:eastAsia="Times New Roman" w:hAnsi="Times New Roman" w:cs="Times New Roman"/>
                <w:sz w:val="24"/>
                <w:szCs w:val="24"/>
                <w:lang w:val="ro-MD" w:eastAsia="ja-JP"/>
              </w:rPr>
              <w:t xml:space="preserve"> a demonstrat că </w:t>
            </w:r>
            <w:r w:rsidR="00765903" w:rsidRPr="0071735F">
              <w:rPr>
                <w:rFonts w:ascii="Times New Roman" w:eastAsia="Times New Roman" w:hAnsi="Times New Roman" w:cs="Times New Roman"/>
                <w:sz w:val="24"/>
                <w:szCs w:val="24"/>
                <w:lang w:val="ro-MD" w:eastAsia="ja-JP"/>
              </w:rPr>
              <w:t>atingerea obiectivului propus solicită eforturi de coordonare considerabile</w:t>
            </w:r>
            <w:r w:rsidRPr="0071735F">
              <w:rPr>
                <w:rFonts w:ascii="Times New Roman" w:eastAsia="Times New Roman" w:hAnsi="Times New Roman" w:cs="Times New Roman"/>
                <w:sz w:val="24"/>
                <w:szCs w:val="24"/>
                <w:lang w:val="ro-MD" w:eastAsia="ja-JP"/>
              </w:rPr>
              <w:t xml:space="preserve"> din partea Guvernului central</w:t>
            </w:r>
            <w:r w:rsidR="006D6E4A" w:rsidRPr="0071735F">
              <w:rPr>
                <w:rFonts w:ascii="Times New Roman" w:eastAsia="Times New Roman" w:hAnsi="Times New Roman" w:cs="Times New Roman"/>
                <w:sz w:val="24"/>
                <w:szCs w:val="24"/>
                <w:lang w:val="ro-MD" w:eastAsia="ja-JP"/>
              </w:rPr>
              <w:t>, iar</w:t>
            </w:r>
            <w:r w:rsidRPr="0071735F">
              <w:rPr>
                <w:rFonts w:ascii="Times New Roman" w:eastAsia="Times New Roman" w:hAnsi="Times New Roman" w:cs="Times New Roman"/>
                <w:sz w:val="24"/>
                <w:szCs w:val="24"/>
                <w:lang w:val="ro-MD" w:eastAsia="ja-JP"/>
              </w:rPr>
              <w:t xml:space="preserve"> </w:t>
            </w:r>
            <w:r w:rsidR="00D92AE4" w:rsidRPr="0071735F">
              <w:rPr>
                <w:rFonts w:ascii="Times New Roman" w:eastAsia="Times New Roman" w:hAnsi="Times New Roman" w:cs="Times New Roman"/>
                <w:sz w:val="24"/>
                <w:szCs w:val="24"/>
                <w:lang w:val="ro-MD" w:eastAsia="ja-JP"/>
              </w:rPr>
              <w:t xml:space="preserve">natura și multitudinea de provocări la implementare  sunt în stare să zădărnicească </w:t>
            </w:r>
            <w:r w:rsidR="001E6E56" w:rsidRPr="0071735F">
              <w:rPr>
                <w:rFonts w:ascii="Times New Roman" w:eastAsia="Times New Roman" w:hAnsi="Times New Roman" w:cs="Times New Roman"/>
                <w:sz w:val="24"/>
                <w:szCs w:val="24"/>
                <w:lang w:val="ro-MD" w:eastAsia="ja-JP"/>
              </w:rPr>
              <w:t>intenția din spatele acestei inițiative.</w:t>
            </w:r>
            <w:r w:rsidR="00D92AE4" w:rsidRPr="0071735F">
              <w:rPr>
                <w:rFonts w:ascii="Times New Roman" w:eastAsia="Times New Roman" w:hAnsi="Times New Roman" w:cs="Times New Roman"/>
                <w:sz w:val="24"/>
                <w:szCs w:val="24"/>
                <w:lang w:val="ro-MD" w:eastAsia="ja-JP"/>
              </w:rPr>
              <w:t xml:space="preserve"> </w:t>
            </w:r>
            <w:r w:rsidR="006D6E4A" w:rsidRPr="0071735F">
              <w:rPr>
                <w:rFonts w:ascii="Times New Roman" w:eastAsia="Times New Roman" w:hAnsi="Times New Roman" w:cs="Times New Roman"/>
                <w:sz w:val="24"/>
                <w:szCs w:val="24"/>
                <w:lang w:val="ro-MD" w:eastAsia="ja-JP"/>
              </w:rPr>
              <w:t xml:space="preserve"> </w:t>
            </w:r>
          </w:p>
          <w:p w14:paraId="1CA06AE8" w14:textId="57B4AEF7" w:rsidR="00A51AE6" w:rsidRPr="0071735F" w:rsidRDefault="00EC6322" w:rsidP="00E555F7">
            <w:pPr>
              <w:spacing w:before="120" w:after="0"/>
              <w:jc w:val="both"/>
              <w:rPr>
                <w:rFonts w:ascii="Times New Roman" w:eastAsia="Times New Roman" w:hAnsi="Times New Roman" w:cs="Times New Roman"/>
                <w:i/>
                <w:iCs/>
                <w:sz w:val="24"/>
                <w:szCs w:val="24"/>
                <w:lang w:val="ro-MD" w:eastAsia="ja-JP"/>
              </w:rPr>
            </w:pPr>
            <w:r w:rsidRPr="0071735F">
              <w:rPr>
                <w:rFonts w:ascii="Times New Roman" w:eastAsia="Times New Roman" w:hAnsi="Times New Roman" w:cs="Times New Roman"/>
                <w:i/>
                <w:iCs/>
                <w:sz w:val="24"/>
                <w:szCs w:val="24"/>
                <w:lang w:val="ro-MD" w:eastAsia="ja-JP"/>
              </w:rPr>
              <w:t xml:space="preserve">4. </w:t>
            </w:r>
            <w:r w:rsidR="00B2279E" w:rsidRPr="0071735F">
              <w:rPr>
                <w:rFonts w:ascii="Times New Roman" w:eastAsia="Times New Roman" w:hAnsi="Times New Roman" w:cs="Times New Roman"/>
                <w:i/>
                <w:iCs/>
                <w:sz w:val="24"/>
                <w:szCs w:val="24"/>
                <w:lang w:val="ro-MD" w:eastAsia="ja-JP"/>
              </w:rPr>
              <w:t xml:space="preserve">Deficiențe la </w:t>
            </w:r>
            <w:r w:rsidR="006413C7" w:rsidRPr="0071735F">
              <w:rPr>
                <w:rFonts w:ascii="Times New Roman" w:eastAsia="Times New Roman" w:hAnsi="Times New Roman" w:cs="Times New Roman"/>
                <w:i/>
                <w:iCs/>
                <w:sz w:val="24"/>
                <w:szCs w:val="24"/>
                <w:lang w:val="ro-MD" w:eastAsia="ja-JP"/>
              </w:rPr>
              <w:t>contorizarea consumului de gaze naturale, energie electrică, încălzire/ răcire și alimentare cu apă caldă menajeră</w:t>
            </w:r>
            <w:r w:rsidR="00F36BCD" w:rsidRPr="0071735F">
              <w:rPr>
                <w:rFonts w:ascii="Times New Roman" w:eastAsia="Times New Roman" w:hAnsi="Times New Roman" w:cs="Times New Roman"/>
                <w:i/>
                <w:iCs/>
                <w:sz w:val="24"/>
                <w:szCs w:val="24"/>
                <w:lang w:val="ro-MD" w:eastAsia="ja-JP"/>
              </w:rPr>
              <w:t>, la facturarea consumului și la informarea utilizatorului final</w:t>
            </w:r>
          </w:p>
          <w:p w14:paraId="2E5CB488" w14:textId="77777777" w:rsidR="001C223E" w:rsidRPr="0071735F" w:rsidRDefault="006C52FF"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Republica Moldova este caracterizată de un grad relativ sporit de contorizare a consumului </w:t>
            </w:r>
            <w:r w:rsidR="006F1B0E" w:rsidRPr="0071735F">
              <w:rPr>
                <w:rFonts w:ascii="Times New Roman" w:eastAsia="Times New Roman" w:hAnsi="Times New Roman" w:cs="Times New Roman"/>
                <w:sz w:val="24"/>
                <w:szCs w:val="24"/>
                <w:lang w:val="ro-MD" w:eastAsia="ja-JP"/>
              </w:rPr>
              <w:t>de energie electrică</w:t>
            </w:r>
            <w:r w:rsidR="00A97951" w:rsidRPr="0071735F">
              <w:rPr>
                <w:rFonts w:ascii="Times New Roman" w:eastAsia="Times New Roman" w:hAnsi="Times New Roman" w:cs="Times New Roman"/>
                <w:sz w:val="24"/>
                <w:szCs w:val="24"/>
                <w:lang w:val="ro-MD" w:eastAsia="ja-JP"/>
              </w:rPr>
              <w:t xml:space="preserve"> și </w:t>
            </w:r>
            <w:r w:rsidR="006F1B0E" w:rsidRPr="0071735F">
              <w:rPr>
                <w:rFonts w:ascii="Times New Roman" w:eastAsia="Times New Roman" w:hAnsi="Times New Roman" w:cs="Times New Roman"/>
                <w:sz w:val="24"/>
                <w:szCs w:val="24"/>
                <w:lang w:val="ro-MD" w:eastAsia="ja-JP"/>
              </w:rPr>
              <w:t>gaze naturale</w:t>
            </w:r>
            <w:r w:rsidR="00C77726" w:rsidRPr="0071735F">
              <w:rPr>
                <w:rFonts w:ascii="Times New Roman" w:eastAsia="Times New Roman" w:hAnsi="Times New Roman" w:cs="Times New Roman"/>
                <w:sz w:val="24"/>
                <w:szCs w:val="24"/>
                <w:lang w:val="ro-MD" w:eastAsia="ja-JP"/>
              </w:rPr>
              <w:t xml:space="preserve"> (peste 96%)</w:t>
            </w:r>
            <w:r w:rsidR="00A97951" w:rsidRPr="0071735F">
              <w:rPr>
                <w:rFonts w:ascii="Times New Roman" w:eastAsia="Times New Roman" w:hAnsi="Times New Roman" w:cs="Times New Roman"/>
                <w:sz w:val="24"/>
                <w:szCs w:val="24"/>
                <w:lang w:val="ro-MD" w:eastAsia="ja-JP"/>
              </w:rPr>
              <w:t xml:space="preserve">, </w:t>
            </w:r>
            <w:r w:rsidR="00C77726" w:rsidRPr="0071735F">
              <w:rPr>
                <w:rFonts w:ascii="Times New Roman" w:eastAsia="Times New Roman" w:hAnsi="Times New Roman" w:cs="Times New Roman"/>
                <w:sz w:val="24"/>
                <w:szCs w:val="24"/>
                <w:lang w:val="ro-MD" w:eastAsia="ja-JP"/>
              </w:rPr>
              <w:t xml:space="preserve">energie termică (de peste 99%, la nivel ce bloc) </w:t>
            </w:r>
            <w:r w:rsidR="006F1B0E" w:rsidRPr="0071735F">
              <w:rPr>
                <w:rFonts w:ascii="Times New Roman" w:eastAsia="Times New Roman" w:hAnsi="Times New Roman" w:cs="Times New Roman"/>
                <w:sz w:val="24"/>
                <w:szCs w:val="24"/>
                <w:lang w:val="ro-MD" w:eastAsia="ja-JP"/>
              </w:rPr>
              <w:t>instalate la consumatorul final</w:t>
            </w:r>
            <w:r w:rsidR="00C77726" w:rsidRPr="0071735F">
              <w:rPr>
                <w:rFonts w:ascii="Times New Roman" w:eastAsia="Times New Roman" w:hAnsi="Times New Roman" w:cs="Times New Roman"/>
                <w:sz w:val="24"/>
                <w:szCs w:val="24"/>
                <w:lang w:val="ro-MD" w:eastAsia="ja-JP"/>
              </w:rPr>
              <w:t xml:space="preserve">, </w:t>
            </w:r>
            <w:r w:rsidR="00670F90" w:rsidRPr="0071735F">
              <w:rPr>
                <w:rFonts w:ascii="Times New Roman" w:eastAsia="Times New Roman" w:hAnsi="Times New Roman" w:cs="Times New Roman"/>
                <w:sz w:val="24"/>
                <w:szCs w:val="24"/>
                <w:lang w:val="ro-MD" w:eastAsia="ja-JP"/>
              </w:rPr>
              <w:t xml:space="preserve">conform </w:t>
            </w:r>
            <w:r w:rsidR="00344953" w:rsidRPr="0071735F">
              <w:rPr>
                <w:rFonts w:ascii="Times New Roman" w:eastAsia="Times New Roman" w:hAnsi="Times New Roman" w:cs="Times New Roman"/>
                <w:sz w:val="24"/>
                <w:szCs w:val="24"/>
                <w:lang w:val="ro-MD" w:eastAsia="ja-JP"/>
              </w:rPr>
              <w:t>Raportului de activitate al AEE pentru anul 2020</w:t>
            </w:r>
            <w:r w:rsidR="00344953" w:rsidRPr="0071735F">
              <w:rPr>
                <w:rStyle w:val="FootnoteReference"/>
                <w:rFonts w:ascii="Times New Roman" w:eastAsia="Times New Roman" w:hAnsi="Times New Roman" w:cs="Times New Roman"/>
                <w:sz w:val="24"/>
                <w:szCs w:val="24"/>
                <w:lang w:val="ro-MD" w:eastAsia="ja-JP"/>
              </w:rPr>
              <w:footnoteReference w:id="7"/>
            </w:r>
            <w:r w:rsidR="00C77726" w:rsidRPr="0071735F">
              <w:rPr>
                <w:rFonts w:ascii="Times New Roman" w:eastAsia="Times New Roman" w:hAnsi="Times New Roman" w:cs="Times New Roman"/>
                <w:sz w:val="24"/>
                <w:szCs w:val="24"/>
                <w:lang w:val="ro-MD" w:eastAsia="ja-JP"/>
              </w:rPr>
              <w:t xml:space="preserve">. </w:t>
            </w:r>
            <w:r w:rsidR="009D28C5" w:rsidRPr="0071735F">
              <w:rPr>
                <w:rFonts w:ascii="Times New Roman" w:eastAsia="Times New Roman" w:hAnsi="Times New Roman" w:cs="Times New Roman"/>
                <w:sz w:val="24"/>
                <w:szCs w:val="24"/>
                <w:lang w:val="ro-MD" w:eastAsia="ja-JP"/>
              </w:rPr>
              <w:t>În mare parte, soluțiile de contorizare utilizate sunt simple, cu citirea datelor</w:t>
            </w:r>
            <w:r w:rsidR="00822912" w:rsidRPr="0071735F">
              <w:rPr>
                <w:rFonts w:ascii="Times New Roman" w:eastAsia="Times New Roman" w:hAnsi="Times New Roman" w:cs="Times New Roman"/>
                <w:sz w:val="24"/>
                <w:szCs w:val="24"/>
                <w:lang w:val="ro-MD" w:eastAsia="ja-JP"/>
              </w:rPr>
              <w:t xml:space="preserve"> </w:t>
            </w:r>
            <w:r w:rsidR="005D0A6E" w:rsidRPr="0071735F">
              <w:rPr>
                <w:rFonts w:ascii="Times New Roman" w:eastAsia="Times New Roman" w:hAnsi="Times New Roman" w:cs="Times New Roman"/>
                <w:sz w:val="24"/>
                <w:szCs w:val="24"/>
                <w:lang w:val="ro-MD" w:eastAsia="ja-JP"/>
              </w:rPr>
              <w:t>la fața locului</w:t>
            </w:r>
            <w:r w:rsidR="00A97951" w:rsidRPr="0071735F">
              <w:rPr>
                <w:rFonts w:ascii="Times New Roman" w:eastAsia="Times New Roman" w:hAnsi="Times New Roman" w:cs="Times New Roman"/>
                <w:sz w:val="24"/>
                <w:szCs w:val="24"/>
                <w:lang w:val="ro-MD" w:eastAsia="ja-JP"/>
              </w:rPr>
              <w:t xml:space="preserve"> (fără transmiterea datelor la distanță)</w:t>
            </w:r>
            <w:r w:rsidR="00913564" w:rsidRPr="0071735F">
              <w:rPr>
                <w:rFonts w:ascii="Times New Roman" w:eastAsia="Times New Roman" w:hAnsi="Times New Roman" w:cs="Times New Roman"/>
                <w:sz w:val="24"/>
                <w:szCs w:val="24"/>
                <w:lang w:val="ro-MD" w:eastAsia="ja-JP"/>
              </w:rPr>
              <w:t xml:space="preserve">. </w:t>
            </w:r>
          </w:p>
          <w:p w14:paraId="6AF77AF6" w14:textId="56060126" w:rsidR="006C52FF" w:rsidRPr="0071735F" w:rsidRDefault="0046102A"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Astfel, în condițiile ne-transpunerii Directivei 2018/2002, </w:t>
            </w:r>
            <w:r w:rsidR="00F71E30" w:rsidRPr="0071735F">
              <w:rPr>
                <w:rFonts w:ascii="Times New Roman" w:eastAsia="Times New Roman" w:hAnsi="Times New Roman" w:cs="Times New Roman"/>
                <w:sz w:val="24"/>
                <w:szCs w:val="24"/>
                <w:lang w:val="ro-MD" w:eastAsia="ja-JP"/>
              </w:rPr>
              <w:t>nu se vor crea premizele juridice necesare pentru efectuarea unui salt tehnologic la capitolul contorizare</w:t>
            </w:r>
            <w:r w:rsidR="0045093C" w:rsidRPr="0071735F">
              <w:rPr>
                <w:rFonts w:ascii="Times New Roman" w:eastAsia="Times New Roman" w:hAnsi="Times New Roman" w:cs="Times New Roman"/>
                <w:sz w:val="24"/>
                <w:szCs w:val="24"/>
                <w:lang w:val="ro-MD" w:eastAsia="ja-JP"/>
              </w:rPr>
              <w:t xml:space="preserve">, utilizatorii din Republica Moldova fiind privați de multitudinea de beneficii oferite de piețele actuale de energie electrică în special </w:t>
            </w:r>
            <w:r w:rsidR="0007125A" w:rsidRPr="0071735F">
              <w:rPr>
                <w:rFonts w:ascii="Times New Roman" w:eastAsia="Times New Roman" w:hAnsi="Times New Roman" w:cs="Times New Roman"/>
                <w:sz w:val="24"/>
                <w:szCs w:val="24"/>
                <w:lang w:val="ro-MD" w:eastAsia="ja-JP"/>
              </w:rPr>
              <w:t>care sunt oferite de contoarele inteligente</w:t>
            </w:r>
            <w:r w:rsidR="003B2FBA">
              <w:rPr>
                <w:rFonts w:ascii="Times New Roman" w:eastAsia="Times New Roman" w:hAnsi="Times New Roman" w:cs="Times New Roman"/>
                <w:sz w:val="24"/>
                <w:szCs w:val="24"/>
                <w:lang w:val="ro-MD" w:eastAsia="ja-JP"/>
              </w:rPr>
              <w:t xml:space="preserve"> </w:t>
            </w:r>
            <w:r w:rsidR="003B2FBA" w:rsidRPr="0071735F">
              <w:rPr>
                <w:rFonts w:ascii="Times New Roman" w:eastAsia="Times New Roman" w:hAnsi="Times New Roman" w:cs="Times New Roman"/>
                <w:sz w:val="24"/>
                <w:szCs w:val="24"/>
                <w:lang w:val="ro-MD" w:eastAsia="ja-JP"/>
              </w:rPr>
              <w:t>(i.e. tarife dinamice, etc.),</w:t>
            </w:r>
            <w:r w:rsidR="0007125A" w:rsidRPr="0071735F">
              <w:rPr>
                <w:rFonts w:ascii="Times New Roman" w:eastAsia="Times New Roman" w:hAnsi="Times New Roman" w:cs="Times New Roman"/>
                <w:sz w:val="24"/>
                <w:szCs w:val="24"/>
                <w:lang w:val="ro-MD" w:eastAsia="ja-JP"/>
              </w:rPr>
              <w:t xml:space="preserve">, ce pot </w:t>
            </w:r>
            <w:r w:rsidR="001C223E" w:rsidRPr="0071735F">
              <w:rPr>
                <w:rFonts w:ascii="Times New Roman" w:eastAsia="Times New Roman" w:hAnsi="Times New Roman" w:cs="Times New Roman"/>
                <w:sz w:val="24"/>
                <w:szCs w:val="24"/>
                <w:lang w:val="ro-MD" w:eastAsia="ja-JP"/>
              </w:rPr>
              <w:t>oferi informații cu privire la timpul efectiv de consum.</w:t>
            </w:r>
          </w:p>
          <w:p w14:paraId="67671F39" w14:textId="769A8169" w:rsidR="00D93F61" w:rsidRPr="0071735F" w:rsidRDefault="009B683D"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Cât privește contorizarea consumului de energie termică (pentru încălzire și alimentarea cu acm),</w:t>
            </w:r>
            <w:r w:rsidR="00D93F61" w:rsidRPr="0071735F">
              <w:rPr>
                <w:rFonts w:ascii="Times New Roman" w:eastAsia="Times New Roman" w:hAnsi="Times New Roman" w:cs="Times New Roman"/>
                <w:sz w:val="24"/>
                <w:szCs w:val="24"/>
                <w:lang w:val="ro-MD" w:eastAsia="ja-JP"/>
              </w:rPr>
              <w:t xml:space="preserve"> </w:t>
            </w:r>
            <w:r w:rsidR="00B81630" w:rsidRPr="0071735F">
              <w:rPr>
                <w:rFonts w:ascii="Times New Roman" w:eastAsia="Times New Roman" w:hAnsi="Times New Roman" w:cs="Times New Roman"/>
                <w:sz w:val="24"/>
                <w:szCs w:val="24"/>
                <w:lang w:val="ro-MD" w:eastAsia="ja-JP"/>
              </w:rPr>
              <w:t>devine obligatorie instalarea repartitoarelor de costuri, în condițiile în care contorizarea individuală nu este fezabilă</w:t>
            </w:r>
            <w:r w:rsidR="00DB3CA8" w:rsidRPr="0071735F">
              <w:rPr>
                <w:rFonts w:ascii="Times New Roman" w:eastAsia="Times New Roman" w:hAnsi="Times New Roman" w:cs="Times New Roman"/>
                <w:sz w:val="24"/>
                <w:szCs w:val="24"/>
                <w:lang w:val="ro-MD" w:eastAsia="ja-JP"/>
              </w:rPr>
              <w:t xml:space="preserve">. Mai mult decât atât, Directiva solicită ca începând cu </w:t>
            </w:r>
            <w:r w:rsidR="003B24BE" w:rsidRPr="0071735F">
              <w:rPr>
                <w:rFonts w:ascii="Times New Roman" w:eastAsia="Times New Roman" w:hAnsi="Times New Roman" w:cs="Times New Roman"/>
                <w:sz w:val="24"/>
                <w:szCs w:val="24"/>
                <w:lang w:val="ro-MD" w:eastAsia="ja-JP"/>
              </w:rPr>
              <w:t>30 octombrie 2023 toate soluțiile de contorizare</w:t>
            </w:r>
            <w:r w:rsidR="00193889" w:rsidRPr="0071735F">
              <w:rPr>
                <w:rFonts w:ascii="Times New Roman" w:eastAsia="Times New Roman" w:hAnsi="Times New Roman" w:cs="Times New Roman"/>
                <w:sz w:val="24"/>
                <w:szCs w:val="24"/>
                <w:lang w:val="ro-MD" w:eastAsia="ja-JP"/>
              </w:rPr>
              <w:t xml:space="preserve"> (inclusiv repartitoarele) să poată fi citite la distanță, iar din </w:t>
            </w:r>
            <w:r w:rsidR="00642B9E" w:rsidRPr="0071735F">
              <w:rPr>
                <w:rFonts w:ascii="Times New Roman" w:eastAsia="Times New Roman" w:hAnsi="Times New Roman" w:cs="Times New Roman"/>
                <w:sz w:val="24"/>
                <w:szCs w:val="24"/>
                <w:lang w:val="ro-MD" w:eastAsia="ja-JP"/>
              </w:rPr>
              <w:t xml:space="preserve">1 ianuarie 2030 </w:t>
            </w:r>
            <w:r w:rsidR="00E60C0B" w:rsidRPr="0071735F">
              <w:rPr>
                <w:rFonts w:ascii="Times New Roman" w:eastAsia="Times New Roman" w:hAnsi="Times New Roman" w:cs="Times New Roman"/>
                <w:sz w:val="24"/>
                <w:szCs w:val="24"/>
                <w:lang w:val="ro-MD" w:eastAsia="ja-JP"/>
              </w:rPr>
              <w:t>–</w:t>
            </w:r>
            <w:r w:rsidR="00642B9E" w:rsidRPr="0071735F">
              <w:rPr>
                <w:rFonts w:ascii="Times New Roman" w:eastAsia="Times New Roman" w:hAnsi="Times New Roman" w:cs="Times New Roman"/>
                <w:sz w:val="24"/>
                <w:szCs w:val="24"/>
                <w:lang w:val="ro-MD" w:eastAsia="ja-JP"/>
              </w:rPr>
              <w:t xml:space="preserve"> </w:t>
            </w:r>
            <w:r w:rsidR="00E60C0B" w:rsidRPr="0071735F">
              <w:rPr>
                <w:rFonts w:ascii="Times New Roman" w:eastAsia="Times New Roman" w:hAnsi="Times New Roman" w:cs="Times New Roman"/>
                <w:sz w:val="24"/>
                <w:szCs w:val="24"/>
                <w:lang w:val="ro-MD" w:eastAsia="ja-JP"/>
              </w:rPr>
              <w:t>toate</w:t>
            </w:r>
            <w:r w:rsidR="003B2FBA">
              <w:rPr>
                <w:rFonts w:ascii="Times New Roman" w:eastAsia="Times New Roman" w:hAnsi="Times New Roman" w:cs="Times New Roman"/>
                <w:sz w:val="24"/>
                <w:szCs w:val="24"/>
                <w:lang w:val="ro-MD" w:eastAsia="ja-JP"/>
              </w:rPr>
              <w:t xml:space="preserve"> solu</w:t>
            </w:r>
            <w:r w:rsidR="003B2FBA" w:rsidRPr="0071735F">
              <w:rPr>
                <w:rFonts w:ascii="Times New Roman" w:eastAsia="Times New Roman" w:hAnsi="Times New Roman" w:cs="Times New Roman"/>
                <w:sz w:val="24"/>
                <w:szCs w:val="24"/>
                <w:lang w:val="ro-MD" w:eastAsia="ja-JP"/>
              </w:rPr>
              <w:t>ț</w:t>
            </w:r>
            <w:r w:rsidR="003B2FBA">
              <w:rPr>
                <w:rFonts w:ascii="Times New Roman" w:eastAsia="Times New Roman" w:hAnsi="Times New Roman" w:cs="Times New Roman"/>
                <w:sz w:val="24"/>
                <w:szCs w:val="24"/>
                <w:lang w:val="ro-MD" w:eastAsia="ja-JP"/>
              </w:rPr>
              <w:t xml:space="preserve">iile </w:t>
            </w:r>
            <w:r w:rsidR="00E60C0B" w:rsidRPr="0071735F">
              <w:rPr>
                <w:rFonts w:ascii="Times New Roman" w:eastAsia="Times New Roman" w:hAnsi="Times New Roman" w:cs="Times New Roman"/>
                <w:sz w:val="24"/>
                <w:szCs w:val="24"/>
                <w:lang w:val="ro-MD" w:eastAsia="ja-JP"/>
              </w:rPr>
              <w:t xml:space="preserve"> vor corespunde acestui criteriu.</w:t>
            </w:r>
          </w:p>
          <w:p w14:paraId="31B3A6B8" w14:textId="2649B641" w:rsidR="00E151A0" w:rsidRPr="0071735F" w:rsidRDefault="00EA0CAB" w:rsidP="00E555F7">
            <w:pPr>
              <w:spacing w:before="120" w:after="0"/>
              <w:jc w:val="both"/>
              <w:rPr>
                <w:rFonts w:ascii="Times New Roman" w:eastAsia="Times New Roman" w:hAnsi="Times New Roman" w:cs="Times New Roman"/>
                <w:sz w:val="24"/>
                <w:szCs w:val="24"/>
                <w:lang w:val="ro-MD" w:eastAsia="ja-JP"/>
              </w:rPr>
            </w:pPr>
            <w:r w:rsidRPr="0071735F">
              <w:rPr>
                <w:rFonts w:ascii="Times New Roman" w:eastAsia="Times New Roman" w:hAnsi="Times New Roman" w:cs="Times New Roman"/>
                <w:sz w:val="24"/>
                <w:szCs w:val="24"/>
                <w:lang w:val="ro-MD" w:eastAsia="ja-JP"/>
              </w:rPr>
              <w:t xml:space="preserve">Mai mult decât atât, </w:t>
            </w:r>
            <w:r w:rsidR="005B336E" w:rsidRPr="0071735F">
              <w:rPr>
                <w:rFonts w:ascii="Times New Roman" w:eastAsia="Times New Roman" w:hAnsi="Times New Roman" w:cs="Times New Roman"/>
                <w:sz w:val="24"/>
                <w:szCs w:val="24"/>
                <w:lang w:val="ro-MD" w:eastAsia="ja-JP"/>
              </w:rPr>
              <w:t>noua Directivă stabilește obligația facturării consumului real de energie al utilizatorului final, cu prezentarea acestuia a informației cu privire la profilul de consum al acestuia, informații istorice</w:t>
            </w:r>
            <w:r w:rsidR="00A63CA4" w:rsidRPr="0071735F">
              <w:rPr>
                <w:rFonts w:ascii="Times New Roman" w:eastAsia="Times New Roman" w:hAnsi="Times New Roman" w:cs="Times New Roman"/>
                <w:sz w:val="24"/>
                <w:szCs w:val="24"/>
                <w:lang w:val="ro-MD" w:eastAsia="ja-JP"/>
              </w:rPr>
              <w:t>.</w:t>
            </w:r>
          </w:p>
        </w:tc>
      </w:tr>
      <w:tr w:rsidR="00B468B6" w:rsidRPr="00D22310" w14:paraId="14F7DA47" w14:textId="77777777" w:rsidTr="00125D3C">
        <w:trPr>
          <w:jc w:val="center"/>
        </w:trPr>
        <w:tc>
          <w:tcPr>
            <w:tcW w:w="5000" w:type="pct"/>
            <w:gridSpan w:val="2"/>
            <w:shd w:val="clear" w:color="auto" w:fill="auto"/>
            <w:tcMar>
              <w:top w:w="15" w:type="dxa"/>
              <w:left w:w="45" w:type="dxa"/>
              <w:bottom w:w="15" w:type="dxa"/>
              <w:right w:w="45" w:type="dxa"/>
            </w:tcMar>
          </w:tcPr>
          <w:p w14:paraId="79C1A585" w14:textId="58AD796C"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e) </w:t>
            </w:r>
            <w:r w:rsidR="00CE0E52"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cadrul juridic actual aplicabil raporturilor analizate </w:t>
            </w:r>
            <w:r w:rsidR="00CE0E5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w:t>
            </w:r>
            <w:r w:rsidR="00CE0E52"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w:t>
            </w:r>
            <w:r w:rsidR="00CE0E52" w:rsidRPr="0071735F">
              <w:rPr>
                <w:rFonts w:ascii="Times New Roman" w:eastAsia="Calibri" w:hAnsi="Times New Roman" w:cs="Times New Roman"/>
                <w:b/>
                <w:sz w:val="24"/>
                <w:szCs w:val="24"/>
                <w:lang w:val="ro-MD" w:eastAsia="en-GB"/>
              </w:rPr>
              <w:t>carențele</w:t>
            </w:r>
            <w:r w:rsidRPr="0071735F">
              <w:rPr>
                <w:rFonts w:ascii="Times New Roman" w:eastAsia="Calibri" w:hAnsi="Times New Roman" w:cs="Times New Roman"/>
                <w:b/>
                <w:sz w:val="24"/>
                <w:szCs w:val="24"/>
                <w:lang w:val="ro-MD" w:eastAsia="en-GB"/>
              </w:rPr>
              <w:t xml:space="preserve"> prevederilor normative în vigoare, </w:t>
            </w:r>
            <w:r w:rsidR="00CE0E52"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documentele de politici </w:t>
            </w:r>
            <w:r w:rsidR="00CE0E5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reglementările existente care </w:t>
            </w:r>
            <w:r w:rsidR="00CE0E52" w:rsidRPr="0071735F">
              <w:rPr>
                <w:rFonts w:ascii="Times New Roman" w:eastAsia="Calibri" w:hAnsi="Times New Roman" w:cs="Times New Roman"/>
                <w:b/>
                <w:sz w:val="24"/>
                <w:szCs w:val="24"/>
                <w:lang w:val="ro-MD" w:eastAsia="en-GB"/>
              </w:rPr>
              <w:t>condiționează</w:t>
            </w:r>
            <w:r w:rsidRPr="0071735F">
              <w:rPr>
                <w:rFonts w:ascii="Times New Roman" w:eastAsia="Calibri" w:hAnsi="Times New Roman" w:cs="Times New Roman"/>
                <w:b/>
                <w:sz w:val="24"/>
                <w:szCs w:val="24"/>
                <w:lang w:val="ro-MD" w:eastAsia="en-GB"/>
              </w:rPr>
              <w:t xml:space="preserve"> </w:t>
            </w:r>
            <w:r w:rsidR="00CE0E52" w:rsidRPr="0071735F">
              <w:rPr>
                <w:rFonts w:ascii="Times New Roman" w:eastAsia="Calibri" w:hAnsi="Times New Roman" w:cs="Times New Roman"/>
                <w:b/>
                <w:sz w:val="24"/>
                <w:szCs w:val="24"/>
                <w:lang w:val="ro-MD" w:eastAsia="en-GB"/>
              </w:rPr>
              <w:t>intervenția</w:t>
            </w:r>
            <w:r w:rsidRPr="0071735F">
              <w:rPr>
                <w:rFonts w:ascii="Times New Roman" w:eastAsia="Calibri" w:hAnsi="Times New Roman" w:cs="Times New Roman"/>
                <w:b/>
                <w:sz w:val="24"/>
                <w:szCs w:val="24"/>
                <w:lang w:val="ro-MD" w:eastAsia="en-GB"/>
              </w:rPr>
              <w:t xml:space="preserve"> statului</w:t>
            </w:r>
          </w:p>
        </w:tc>
      </w:tr>
      <w:tr w:rsidR="00B468B6" w:rsidRPr="00D22310" w14:paraId="1E67FFC8" w14:textId="77777777" w:rsidTr="00125D3C">
        <w:trPr>
          <w:jc w:val="center"/>
        </w:trPr>
        <w:tc>
          <w:tcPr>
            <w:tcW w:w="5000" w:type="pct"/>
            <w:gridSpan w:val="2"/>
            <w:tcMar>
              <w:top w:w="15" w:type="dxa"/>
              <w:left w:w="45" w:type="dxa"/>
              <w:bottom w:w="15" w:type="dxa"/>
              <w:right w:w="45" w:type="dxa"/>
            </w:tcMar>
          </w:tcPr>
          <w:p w14:paraId="475EA684" w14:textId="3BFF5103" w:rsidR="00DB2410" w:rsidRPr="0071735F" w:rsidRDefault="002C61AA" w:rsidP="005F6643">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În contextul </w:t>
            </w:r>
            <w:r w:rsidR="00E02BFD" w:rsidRPr="0071735F">
              <w:rPr>
                <w:rFonts w:ascii="Times New Roman" w:eastAsia="Times New Roman" w:hAnsi="Times New Roman" w:cs="Times New Roman"/>
                <w:bCs/>
                <w:sz w:val="24"/>
                <w:szCs w:val="24"/>
                <w:lang w:val="ro-MD" w:eastAsia="ru-RU"/>
              </w:rPr>
              <w:t>executării prevederilor Legii nr. 112 din 02.07.2014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71735F">
              <w:rPr>
                <w:rFonts w:ascii="Times New Roman" w:eastAsia="Times New Roman" w:hAnsi="Times New Roman" w:cs="Times New Roman"/>
                <w:bCs/>
                <w:sz w:val="24"/>
                <w:szCs w:val="24"/>
                <w:lang w:val="ro-MD" w:eastAsia="ru-RU"/>
              </w:rPr>
              <w:t xml:space="preserve">, armonizării legislației în domeniul eficienței energetice la acquis-ul Uniunii Europene din sectorul respectiv, precum și a angajamentelor </w:t>
            </w:r>
            <w:r w:rsidRPr="0071735F">
              <w:rPr>
                <w:rFonts w:ascii="Times New Roman" w:eastAsia="Times New Roman" w:hAnsi="Times New Roman" w:cs="Times New Roman"/>
                <w:bCs/>
                <w:sz w:val="24"/>
                <w:szCs w:val="24"/>
                <w:lang w:val="ro-MD" w:eastAsia="ru-RU"/>
              </w:rPr>
              <w:lastRenderedPageBreak/>
              <w:t>asumate de către Republica Moldova în cadrul Tratatului Comunității Energetice</w:t>
            </w:r>
            <w:r w:rsidRPr="0071735F">
              <w:rPr>
                <w:rFonts w:ascii="Times New Roman" w:eastAsia="Times New Roman" w:hAnsi="Times New Roman" w:cs="Times New Roman"/>
                <w:bCs/>
                <w:sz w:val="24"/>
                <w:szCs w:val="24"/>
                <w:vertAlign w:val="superscript"/>
                <w:lang w:val="ro-MD" w:eastAsia="ru-RU"/>
              </w:rPr>
              <w:footnoteReference w:id="8"/>
            </w:r>
            <w:r w:rsidRPr="0071735F">
              <w:rPr>
                <w:rFonts w:ascii="Times New Roman" w:eastAsia="Times New Roman" w:hAnsi="Times New Roman" w:cs="Times New Roman"/>
                <w:bCs/>
                <w:sz w:val="24"/>
                <w:szCs w:val="24"/>
                <w:lang w:val="ro-MD" w:eastAsia="ru-RU"/>
              </w:rPr>
              <w:t xml:space="preserve">, </w:t>
            </w:r>
            <w:r w:rsidR="00BC0489" w:rsidRPr="0071735F">
              <w:rPr>
                <w:rFonts w:ascii="Times New Roman" w:eastAsia="Times New Roman" w:hAnsi="Times New Roman" w:cs="Times New Roman"/>
                <w:bCs/>
                <w:sz w:val="24"/>
                <w:szCs w:val="24"/>
                <w:lang w:val="ro-MD" w:eastAsia="ru-RU"/>
              </w:rPr>
              <w:t xml:space="preserve">Parlamentul a </w:t>
            </w:r>
            <w:r w:rsidR="0053548A" w:rsidRPr="0071735F">
              <w:rPr>
                <w:rFonts w:ascii="Times New Roman" w:eastAsia="Times New Roman" w:hAnsi="Times New Roman" w:cs="Times New Roman"/>
                <w:bCs/>
                <w:sz w:val="24"/>
                <w:szCs w:val="24"/>
                <w:lang w:val="ro-MD" w:eastAsia="ru-RU"/>
              </w:rPr>
              <w:t>adoptat Legea cu privire la eficiența energetică nr. 139 din 19.</w:t>
            </w:r>
            <w:r w:rsidR="00F60F83" w:rsidRPr="0071735F">
              <w:rPr>
                <w:rFonts w:ascii="Times New Roman" w:eastAsia="Times New Roman" w:hAnsi="Times New Roman" w:cs="Times New Roman"/>
                <w:bCs/>
                <w:sz w:val="24"/>
                <w:szCs w:val="24"/>
                <w:lang w:val="ro-MD" w:eastAsia="ru-RU"/>
              </w:rPr>
              <w:t xml:space="preserve">07.2018, care a transpus Directiva </w:t>
            </w:r>
            <w:r w:rsidR="000D0018" w:rsidRPr="0071735F">
              <w:rPr>
                <w:rFonts w:ascii="Times New Roman" w:eastAsia="Times New Roman" w:hAnsi="Times New Roman" w:cs="Times New Roman"/>
                <w:bCs/>
                <w:sz w:val="24"/>
                <w:szCs w:val="24"/>
                <w:lang w:val="ro-MD" w:eastAsia="ru-RU"/>
              </w:rPr>
              <w:t>2012/27/UE.</w:t>
            </w:r>
          </w:p>
          <w:p w14:paraId="59AEFF13" w14:textId="5B0334A3" w:rsidR="002C61AA" w:rsidRPr="0071735F" w:rsidRDefault="00886109" w:rsidP="003C557B">
            <w:pPr>
              <w:spacing w:before="120" w:after="120"/>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Î</w:t>
            </w:r>
            <w:r w:rsidR="003B2FBA">
              <w:rPr>
                <w:rFonts w:ascii="Times New Roman" w:eastAsia="Times New Roman" w:hAnsi="Times New Roman" w:cs="Times New Roman"/>
                <w:bCs/>
                <w:sz w:val="24"/>
                <w:szCs w:val="24"/>
                <w:lang w:val="ro-MD" w:eastAsia="ru-RU"/>
              </w:rPr>
              <w:t>n prezent</w:t>
            </w:r>
            <w:r w:rsidR="004B6197" w:rsidRPr="0071735F">
              <w:rPr>
                <w:rFonts w:ascii="Times New Roman" w:eastAsia="Times New Roman" w:hAnsi="Times New Roman" w:cs="Times New Roman"/>
                <w:bCs/>
                <w:sz w:val="24"/>
                <w:szCs w:val="24"/>
                <w:lang w:val="ro-MD" w:eastAsia="ru-RU"/>
              </w:rPr>
              <w:t xml:space="preserve"> </w:t>
            </w:r>
            <w:r w:rsidR="00E65C2C" w:rsidRPr="0071735F">
              <w:rPr>
                <w:rFonts w:ascii="Times New Roman" w:eastAsia="Times New Roman" w:hAnsi="Times New Roman" w:cs="Times New Roman"/>
                <w:bCs/>
                <w:sz w:val="24"/>
                <w:szCs w:val="24"/>
                <w:lang w:val="ro-MD" w:eastAsia="ru-RU"/>
              </w:rPr>
              <w:t xml:space="preserve">o serie de prevederi ale Legii menționate </w:t>
            </w:r>
            <w:r w:rsidR="00E65C2C" w:rsidRPr="0071735F">
              <w:rPr>
                <w:rFonts w:ascii="Times New Roman" w:eastAsia="Times New Roman" w:hAnsi="Times New Roman" w:cs="Times New Roman"/>
                <w:bCs/>
                <w:i/>
                <w:iCs/>
                <w:sz w:val="24"/>
                <w:szCs w:val="24"/>
                <w:lang w:val="ro-MD" w:eastAsia="ru-RU"/>
              </w:rPr>
              <w:t xml:space="preserve">supra </w:t>
            </w:r>
            <w:r w:rsidR="00E65C2C" w:rsidRPr="0071735F">
              <w:rPr>
                <w:rFonts w:ascii="Times New Roman" w:eastAsia="Times New Roman" w:hAnsi="Times New Roman" w:cs="Times New Roman"/>
                <w:bCs/>
                <w:sz w:val="24"/>
                <w:szCs w:val="24"/>
                <w:lang w:val="ro-MD" w:eastAsia="ru-RU"/>
              </w:rPr>
              <w:t>s-au consumat</w:t>
            </w:r>
            <w:r w:rsidR="00915EFE" w:rsidRPr="0071735F">
              <w:rPr>
                <w:rFonts w:ascii="Times New Roman" w:eastAsia="Times New Roman" w:hAnsi="Times New Roman" w:cs="Times New Roman"/>
                <w:bCs/>
                <w:sz w:val="24"/>
                <w:szCs w:val="24"/>
                <w:lang w:val="ro-MD" w:eastAsia="ru-RU"/>
              </w:rPr>
              <w:t xml:space="preserve">, </w:t>
            </w:r>
            <w:r w:rsidR="005F75A2" w:rsidRPr="0071735F">
              <w:rPr>
                <w:rFonts w:ascii="Times New Roman" w:eastAsia="Times New Roman" w:hAnsi="Times New Roman" w:cs="Times New Roman"/>
                <w:bCs/>
                <w:sz w:val="24"/>
                <w:szCs w:val="24"/>
                <w:lang w:val="ro-MD" w:eastAsia="ru-RU"/>
              </w:rPr>
              <w:t xml:space="preserve">ori nu </w:t>
            </w:r>
            <w:r w:rsidR="003B2FBA">
              <w:rPr>
                <w:rFonts w:ascii="Times New Roman" w:eastAsia="Times New Roman" w:hAnsi="Times New Roman" w:cs="Times New Roman"/>
                <w:bCs/>
                <w:sz w:val="24"/>
                <w:szCs w:val="24"/>
                <w:lang w:val="ro-MD" w:eastAsia="ru-RU"/>
              </w:rPr>
              <w:t>mai</w:t>
            </w:r>
            <w:r w:rsidR="005F75A2" w:rsidRPr="0071735F">
              <w:rPr>
                <w:rFonts w:ascii="Times New Roman" w:eastAsia="Times New Roman" w:hAnsi="Times New Roman" w:cs="Times New Roman"/>
                <w:bCs/>
                <w:sz w:val="24"/>
                <w:szCs w:val="24"/>
                <w:lang w:val="ro-MD" w:eastAsia="ru-RU"/>
              </w:rPr>
              <w:t xml:space="preserve"> sunt relevante în noul context și </w:t>
            </w:r>
            <w:r w:rsidR="00126836" w:rsidRPr="0071735F">
              <w:rPr>
                <w:rFonts w:ascii="Times New Roman" w:eastAsia="Times New Roman" w:hAnsi="Times New Roman" w:cs="Times New Roman"/>
                <w:bCs/>
                <w:sz w:val="24"/>
                <w:szCs w:val="24"/>
                <w:lang w:val="ro-MD" w:eastAsia="ru-RU"/>
              </w:rPr>
              <w:t xml:space="preserve">obligații generate de statutul Republicii Moldova în cadrul Comunității Energetice, </w:t>
            </w:r>
            <w:r w:rsidR="00915EFE" w:rsidRPr="0071735F">
              <w:rPr>
                <w:rFonts w:ascii="Times New Roman" w:eastAsia="Times New Roman" w:hAnsi="Times New Roman" w:cs="Times New Roman"/>
                <w:bCs/>
                <w:sz w:val="24"/>
                <w:szCs w:val="24"/>
                <w:lang w:val="ro-MD" w:eastAsia="ru-RU"/>
              </w:rPr>
              <w:t>fiind necesară o intervenție</w:t>
            </w:r>
            <w:r w:rsidR="001206BA" w:rsidRPr="0071735F">
              <w:rPr>
                <w:rFonts w:ascii="Times New Roman" w:eastAsia="Times New Roman" w:hAnsi="Times New Roman" w:cs="Times New Roman"/>
                <w:bCs/>
                <w:sz w:val="24"/>
                <w:szCs w:val="24"/>
                <w:lang w:val="ro-MD" w:eastAsia="ru-RU"/>
              </w:rPr>
              <w:t xml:space="preserve"> din partea statului. Întru exemplificarea celor notate, </w:t>
            </w:r>
            <w:r w:rsidR="003560E2" w:rsidRPr="0071735F">
              <w:rPr>
                <w:rFonts w:ascii="Times New Roman" w:eastAsia="Times New Roman" w:hAnsi="Times New Roman" w:cs="Times New Roman"/>
                <w:bCs/>
                <w:sz w:val="24"/>
                <w:szCs w:val="24"/>
                <w:lang w:val="ro-MD" w:eastAsia="ru-RU"/>
              </w:rPr>
              <w:t>mai jos sunt prezentate</w:t>
            </w:r>
            <w:r w:rsidR="00E836E9" w:rsidRPr="0071735F">
              <w:rPr>
                <w:rFonts w:ascii="Times New Roman" w:eastAsia="Times New Roman" w:hAnsi="Times New Roman" w:cs="Times New Roman"/>
                <w:bCs/>
                <w:sz w:val="24"/>
                <w:szCs w:val="24"/>
                <w:lang w:val="ro-MD" w:eastAsia="ru-RU"/>
              </w:rPr>
              <w:t xml:space="preserve"> detalii </w:t>
            </w:r>
            <w:r w:rsidR="00A31526" w:rsidRPr="0071735F">
              <w:rPr>
                <w:rFonts w:ascii="Times New Roman" w:eastAsia="Times New Roman" w:hAnsi="Times New Roman" w:cs="Times New Roman"/>
                <w:bCs/>
                <w:sz w:val="24"/>
                <w:szCs w:val="24"/>
                <w:lang w:val="ro-MD" w:eastAsia="ru-RU"/>
              </w:rPr>
              <w:t>care confirmă necesarul intervenției.</w:t>
            </w:r>
          </w:p>
          <w:p w14:paraId="6EDA0EFE" w14:textId="43773CDD" w:rsidR="005152C9" w:rsidRPr="0071735F" w:rsidRDefault="007B09DE" w:rsidP="003C557B">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I. </w:t>
            </w:r>
            <w:r w:rsidR="00126836" w:rsidRPr="0071735F">
              <w:rPr>
                <w:rFonts w:ascii="Times New Roman" w:eastAsia="Times New Roman" w:hAnsi="Times New Roman" w:cs="Times New Roman"/>
                <w:bCs/>
                <w:sz w:val="24"/>
                <w:szCs w:val="24"/>
                <w:lang w:val="ro-MD" w:eastAsia="ru-RU"/>
              </w:rPr>
              <w:t>Articolul 30</w:t>
            </w:r>
            <w:r w:rsidR="000556D6" w:rsidRPr="0071735F">
              <w:rPr>
                <w:rFonts w:ascii="Times New Roman" w:eastAsia="Times New Roman" w:hAnsi="Times New Roman" w:cs="Times New Roman"/>
                <w:bCs/>
                <w:sz w:val="24"/>
                <w:szCs w:val="24"/>
                <w:lang w:val="ro-MD" w:eastAsia="ru-RU"/>
              </w:rPr>
              <w:t xml:space="preserve">, alin. (1) </w:t>
            </w:r>
            <w:r w:rsidR="00126836" w:rsidRPr="0071735F">
              <w:rPr>
                <w:rFonts w:ascii="Times New Roman" w:eastAsia="Times New Roman" w:hAnsi="Times New Roman" w:cs="Times New Roman"/>
                <w:bCs/>
                <w:sz w:val="24"/>
                <w:szCs w:val="24"/>
                <w:lang w:val="ro-MD" w:eastAsia="ru-RU"/>
              </w:rPr>
              <w:t xml:space="preserve">al Legii 139, stabilește </w:t>
            </w:r>
            <w:r w:rsidR="00F84692" w:rsidRPr="0071735F">
              <w:rPr>
                <w:rFonts w:ascii="Times New Roman" w:eastAsia="Times New Roman" w:hAnsi="Times New Roman" w:cs="Times New Roman"/>
                <w:bCs/>
                <w:sz w:val="24"/>
                <w:szCs w:val="24"/>
                <w:lang w:val="ro-MD" w:eastAsia="ru-RU"/>
              </w:rPr>
              <w:t>că „</w:t>
            </w:r>
            <w:r w:rsidR="00F84692" w:rsidRPr="0071735F">
              <w:rPr>
                <w:rFonts w:ascii="Times New Roman" w:eastAsia="Times New Roman" w:hAnsi="Times New Roman" w:cs="Times New Roman"/>
                <w:bCs/>
                <w:i/>
                <w:iCs/>
                <w:sz w:val="24"/>
                <w:szCs w:val="24"/>
                <w:lang w:val="ro-MD" w:eastAsia="ru-RU"/>
              </w:rPr>
              <w:t xml:space="preserve">Obiectivele naționale în domeniul eficienței energetice pentru anul 2020 </w:t>
            </w:r>
            <w:r w:rsidR="005152C9" w:rsidRPr="0071735F">
              <w:rPr>
                <w:rFonts w:ascii="Times New Roman" w:eastAsia="Times New Roman" w:hAnsi="Times New Roman" w:cs="Times New Roman"/>
                <w:bCs/>
                <w:i/>
                <w:iCs/>
                <w:sz w:val="24"/>
                <w:szCs w:val="24"/>
                <w:lang w:val="ro-MD" w:eastAsia="ru-RU"/>
              </w:rPr>
              <w:t xml:space="preserve">[…] </w:t>
            </w:r>
            <w:r w:rsidR="00F84692" w:rsidRPr="0071735F">
              <w:rPr>
                <w:rFonts w:ascii="Times New Roman" w:eastAsia="Times New Roman" w:hAnsi="Times New Roman" w:cs="Times New Roman"/>
                <w:bCs/>
                <w:i/>
                <w:iCs/>
                <w:sz w:val="24"/>
                <w:szCs w:val="24"/>
                <w:lang w:val="ro-MD" w:eastAsia="ru-RU"/>
              </w:rPr>
              <w:t>se stabilesc la nivelul ce nu va depăși consumul de energie finală în valoare de 2796 mii tone echivalent petrol (ktep) sau de energie primară în valoare de 2968 ktep</w:t>
            </w:r>
            <w:r w:rsidR="00F84692" w:rsidRPr="0071735F">
              <w:rPr>
                <w:rFonts w:ascii="Times New Roman" w:eastAsia="Times New Roman" w:hAnsi="Times New Roman" w:cs="Times New Roman"/>
                <w:bCs/>
                <w:sz w:val="24"/>
                <w:szCs w:val="24"/>
                <w:lang w:val="ro-MD" w:eastAsia="ru-RU"/>
              </w:rPr>
              <w:t>”</w:t>
            </w:r>
            <w:r w:rsidR="005152C9" w:rsidRPr="0071735F">
              <w:rPr>
                <w:rFonts w:ascii="Times New Roman" w:eastAsia="Times New Roman" w:hAnsi="Times New Roman" w:cs="Times New Roman"/>
                <w:bCs/>
                <w:sz w:val="24"/>
                <w:szCs w:val="24"/>
                <w:lang w:val="ro-MD" w:eastAsia="ru-RU"/>
              </w:rPr>
              <w:t xml:space="preserve">. Astfel, conchidem că Republica Moldova nu deține un obiectiv pentru </w:t>
            </w:r>
            <w:r w:rsidR="00024467" w:rsidRPr="0071735F">
              <w:rPr>
                <w:rFonts w:ascii="Times New Roman" w:eastAsia="Times New Roman" w:hAnsi="Times New Roman" w:cs="Times New Roman"/>
                <w:bCs/>
                <w:sz w:val="24"/>
                <w:szCs w:val="24"/>
                <w:lang w:val="ro-MD" w:eastAsia="ru-RU"/>
              </w:rPr>
              <w:t xml:space="preserve">segmentul „eficiență energetică” pentru un orizont mai îndepărtat de timp, Guvernul având obligație intervenirii și </w:t>
            </w:r>
            <w:r w:rsidR="001877D9" w:rsidRPr="0071735F">
              <w:rPr>
                <w:rFonts w:ascii="Times New Roman" w:eastAsia="Times New Roman" w:hAnsi="Times New Roman" w:cs="Times New Roman"/>
                <w:bCs/>
                <w:sz w:val="24"/>
                <w:szCs w:val="24"/>
                <w:lang w:val="ro-MD" w:eastAsia="ru-RU"/>
              </w:rPr>
              <w:t xml:space="preserve">soluționării acestei problematici. </w:t>
            </w:r>
          </w:p>
          <w:p w14:paraId="0CF61AC7" w14:textId="4F614A9E" w:rsidR="001877D9" w:rsidRPr="0071735F" w:rsidRDefault="001877D9" w:rsidP="003C557B">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Prin urmare, este de competența Ministerului de resort –</w:t>
            </w:r>
            <w:r w:rsidR="005D02AA" w:rsidRPr="0071735F">
              <w:rPr>
                <w:rFonts w:ascii="Times New Roman" w:eastAsia="Times New Roman" w:hAnsi="Times New Roman" w:cs="Times New Roman"/>
                <w:bCs/>
                <w:sz w:val="24"/>
                <w:szCs w:val="24"/>
                <w:lang w:val="ro-MD" w:eastAsia="ru-RU"/>
              </w:rPr>
              <w:t xml:space="preserve"> autoritatea centrală de specialitate în domeniul i</w:t>
            </w:r>
            <w:r w:rsidRPr="0071735F">
              <w:rPr>
                <w:rFonts w:ascii="Times New Roman" w:eastAsia="Times New Roman" w:hAnsi="Times New Roman" w:cs="Times New Roman"/>
                <w:bCs/>
                <w:sz w:val="24"/>
                <w:szCs w:val="24"/>
                <w:lang w:val="ro-MD" w:eastAsia="ru-RU"/>
              </w:rPr>
              <w:t xml:space="preserve">nfrastructurii și </w:t>
            </w:r>
            <w:r w:rsidR="005D02AA" w:rsidRPr="0071735F">
              <w:rPr>
                <w:rFonts w:ascii="Times New Roman" w:eastAsia="Times New Roman" w:hAnsi="Times New Roman" w:cs="Times New Roman"/>
                <w:bCs/>
                <w:sz w:val="24"/>
                <w:szCs w:val="24"/>
                <w:lang w:val="ro-MD" w:eastAsia="ru-RU"/>
              </w:rPr>
              <w:t>d</w:t>
            </w:r>
            <w:r w:rsidRPr="0071735F">
              <w:rPr>
                <w:rFonts w:ascii="Times New Roman" w:eastAsia="Times New Roman" w:hAnsi="Times New Roman" w:cs="Times New Roman"/>
                <w:bCs/>
                <w:sz w:val="24"/>
                <w:szCs w:val="24"/>
                <w:lang w:val="ro-MD" w:eastAsia="ru-RU"/>
              </w:rPr>
              <w:t xml:space="preserve">ezvoltării </w:t>
            </w:r>
            <w:r w:rsidR="005D02AA" w:rsidRPr="0071735F">
              <w:rPr>
                <w:rFonts w:ascii="Times New Roman" w:eastAsia="Times New Roman" w:hAnsi="Times New Roman" w:cs="Times New Roman"/>
                <w:bCs/>
                <w:sz w:val="24"/>
                <w:szCs w:val="24"/>
                <w:lang w:val="ro-MD" w:eastAsia="ru-RU"/>
              </w:rPr>
              <w:t>r</w:t>
            </w:r>
            <w:r w:rsidRPr="0071735F">
              <w:rPr>
                <w:rFonts w:ascii="Times New Roman" w:eastAsia="Times New Roman" w:hAnsi="Times New Roman" w:cs="Times New Roman"/>
                <w:bCs/>
                <w:sz w:val="24"/>
                <w:szCs w:val="24"/>
                <w:lang w:val="ro-MD" w:eastAsia="ru-RU"/>
              </w:rPr>
              <w:t>egionale</w:t>
            </w:r>
            <w:r w:rsidR="005D02AA" w:rsidRPr="0071735F">
              <w:rPr>
                <w:rFonts w:ascii="Times New Roman" w:eastAsia="Times New Roman" w:hAnsi="Times New Roman" w:cs="Times New Roman"/>
                <w:bCs/>
                <w:sz w:val="24"/>
                <w:szCs w:val="24"/>
                <w:lang w:val="ro-MD" w:eastAsia="ru-RU"/>
              </w:rPr>
              <w:t xml:space="preserve"> </w:t>
            </w:r>
            <w:r w:rsidR="00E63154" w:rsidRPr="0071735F">
              <w:rPr>
                <w:rFonts w:ascii="Times New Roman" w:eastAsia="Times New Roman" w:hAnsi="Times New Roman" w:cs="Times New Roman"/>
                <w:bCs/>
                <w:sz w:val="24"/>
                <w:szCs w:val="24"/>
                <w:lang w:val="ro-MD" w:eastAsia="ru-RU"/>
              </w:rPr>
              <w:t xml:space="preserve">să finalizeze exercițiul </w:t>
            </w:r>
            <w:r w:rsidR="00FB03E4" w:rsidRPr="0071735F">
              <w:rPr>
                <w:rFonts w:ascii="Times New Roman" w:eastAsia="Times New Roman" w:hAnsi="Times New Roman" w:cs="Times New Roman"/>
                <w:bCs/>
                <w:sz w:val="24"/>
                <w:szCs w:val="24"/>
                <w:lang w:val="ro-MD" w:eastAsia="ru-RU"/>
              </w:rPr>
              <w:t xml:space="preserve">în derulare </w:t>
            </w:r>
            <w:r w:rsidR="00E63154" w:rsidRPr="0071735F">
              <w:rPr>
                <w:rFonts w:ascii="Times New Roman" w:eastAsia="Times New Roman" w:hAnsi="Times New Roman" w:cs="Times New Roman"/>
                <w:bCs/>
                <w:sz w:val="24"/>
                <w:szCs w:val="24"/>
                <w:lang w:val="ro-MD" w:eastAsia="ru-RU"/>
              </w:rPr>
              <w:t>de modelare și prognozare a consumurilor de energie p</w:t>
            </w:r>
            <w:r w:rsidR="00DE44BC" w:rsidRPr="0071735F">
              <w:rPr>
                <w:rFonts w:ascii="Times New Roman" w:eastAsia="Times New Roman" w:hAnsi="Times New Roman" w:cs="Times New Roman"/>
                <w:bCs/>
                <w:sz w:val="24"/>
                <w:szCs w:val="24"/>
                <w:lang w:val="ro-MD" w:eastAsia="ru-RU"/>
              </w:rPr>
              <w:t xml:space="preserve">ână în anii 2030 și 2050, iar rezultatele acestor </w:t>
            </w:r>
            <w:r w:rsidR="00FB03E4" w:rsidRPr="0071735F">
              <w:rPr>
                <w:rFonts w:ascii="Times New Roman" w:eastAsia="Times New Roman" w:hAnsi="Times New Roman" w:cs="Times New Roman"/>
                <w:bCs/>
                <w:sz w:val="24"/>
                <w:szCs w:val="24"/>
                <w:lang w:val="ro-MD" w:eastAsia="ru-RU"/>
              </w:rPr>
              <w:t xml:space="preserve">activități să fie introduse drept ținte naționale în documente relevate de politici și de </w:t>
            </w:r>
            <w:r w:rsidR="00053870" w:rsidRPr="0071735F">
              <w:rPr>
                <w:rFonts w:ascii="Times New Roman" w:eastAsia="Times New Roman" w:hAnsi="Times New Roman" w:cs="Times New Roman"/>
                <w:bCs/>
                <w:sz w:val="24"/>
                <w:szCs w:val="24"/>
                <w:lang w:val="ro-MD" w:eastAsia="ru-RU"/>
              </w:rPr>
              <w:t>planificare strategică.</w:t>
            </w:r>
          </w:p>
          <w:p w14:paraId="0BE7E4D6" w14:textId="7DBF488B" w:rsidR="00053870" w:rsidRPr="0071735F" w:rsidRDefault="00053870" w:rsidP="003C557B">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Pe </w:t>
            </w:r>
            <w:r w:rsidR="00653845" w:rsidRPr="0071735F">
              <w:rPr>
                <w:rFonts w:ascii="Times New Roman" w:eastAsia="Times New Roman" w:hAnsi="Times New Roman" w:cs="Times New Roman"/>
                <w:bCs/>
                <w:sz w:val="24"/>
                <w:szCs w:val="24"/>
                <w:lang w:val="ro-MD" w:eastAsia="ru-RU"/>
              </w:rPr>
              <w:t>lângă</w:t>
            </w:r>
            <w:r w:rsidRPr="0071735F">
              <w:rPr>
                <w:rFonts w:ascii="Times New Roman" w:eastAsia="Times New Roman" w:hAnsi="Times New Roman" w:cs="Times New Roman"/>
                <w:bCs/>
                <w:sz w:val="24"/>
                <w:szCs w:val="24"/>
                <w:lang w:val="ro-MD" w:eastAsia="ru-RU"/>
              </w:rPr>
              <w:t xml:space="preserve"> problematica descrisă mai sus, noul proiect de lege urmează să introducă și obligația elaborării unui document de planificare – Planul Național Integrat de Energie și Climă, după cum a fost menționat mai devreme, a</w:t>
            </w:r>
            <w:r w:rsidR="003B2FBA">
              <w:rPr>
                <w:rFonts w:ascii="Times New Roman" w:eastAsia="Times New Roman" w:hAnsi="Times New Roman" w:cs="Times New Roman"/>
                <w:bCs/>
                <w:sz w:val="24"/>
                <w:szCs w:val="24"/>
                <w:lang w:val="ro-MD" w:eastAsia="ru-RU"/>
              </w:rPr>
              <w:t>l</w:t>
            </w:r>
            <w:r w:rsidRPr="0071735F">
              <w:rPr>
                <w:rFonts w:ascii="Times New Roman" w:eastAsia="Times New Roman" w:hAnsi="Times New Roman" w:cs="Times New Roman"/>
                <w:bCs/>
                <w:sz w:val="24"/>
                <w:szCs w:val="24"/>
                <w:lang w:val="ro-MD" w:eastAsia="ru-RU"/>
              </w:rPr>
              <w:t xml:space="preserve"> cărui rol principal constă în </w:t>
            </w:r>
            <w:r w:rsidR="000E1627" w:rsidRPr="0071735F">
              <w:rPr>
                <w:rFonts w:ascii="Times New Roman" w:eastAsia="Times New Roman" w:hAnsi="Times New Roman" w:cs="Times New Roman"/>
                <w:bCs/>
                <w:sz w:val="24"/>
                <w:szCs w:val="24"/>
                <w:lang w:val="ro-MD" w:eastAsia="ru-RU"/>
              </w:rPr>
              <w:t>prezentarea setului de activități și măsuri pe care Guvernul planifică să le întreprindă</w:t>
            </w:r>
            <w:r w:rsidR="0083248B" w:rsidRPr="0071735F">
              <w:rPr>
                <w:rFonts w:ascii="Times New Roman" w:eastAsia="Times New Roman" w:hAnsi="Times New Roman" w:cs="Times New Roman"/>
                <w:bCs/>
                <w:sz w:val="24"/>
                <w:szCs w:val="24"/>
                <w:lang w:val="ro-MD" w:eastAsia="ru-RU"/>
              </w:rPr>
              <w:t xml:space="preserve"> și/sau faciliteze, astfel încât ținta de eficiență energetică, precum și cea cu privire la utilizarea energiei regenerabile dar și </w:t>
            </w:r>
            <w:r w:rsidR="00B86EBE" w:rsidRPr="0071735F">
              <w:rPr>
                <w:rFonts w:ascii="Times New Roman" w:eastAsia="Times New Roman" w:hAnsi="Times New Roman" w:cs="Times New Roman"/>
                <w:bCs/>
                <w:sz w:val="24"/>
                <w:szCs w:val="24"/>
                <w:lang w:val="ro-MD" w:eastAsia="ru-RU"/>
              </w:rPr>
              <w:t>de reducere a emisiilor de gaze cu efect de seră</w:t>
            </w:r>
            <w:r w:rsidR="00631A69" w:rsidRPr="0071735F">
              <w:rPr>
                <w:rFonts w:ascii="Times New Roman" w:eastAsia="Times New Roman" w:hAnsi="Times New Roman" w:cs="Times New Roman"/>
                <w:bCs/>
                <w:sz w:val="24"/>
                <w:szCs w:val="24"/>
                <w:lang w:val="ro-MD" w:eastAsia="ru-RU"/>
              </w:rPr>
              <w:t>, să fie atinse.</w:t>
            </w:r>
            <w:r w:rsidR="00B86EBE" w:rsidRPr="0071735F">
              <w:rPr>
                <w:rFonts w:ascii="Times New Roman" w:eastAsia="Times New Roman" w:hAnsi="Times New Roman" w:cs="Times New Roman"/>
                <w:bCs/>
                <w:sz w:val="24"/>
                <w:szCs w:val="24"/>
                <w:lang w:val="ro-MD" w:eastAsia="ru-RU"/>
              </w:rPr>
              <w:t xml:space="preserve"> </w:t>
            </w:r>
          </w:p>
          <w:p w14:paraId="61BD8C0C" w14:textId="1CF2B43A" w:rsidR="007B09DE" w:rsidRPr="0071735F" w:rsidRDefault="007B09DE" w:rsidP="003C557B">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II. Un alt set de instrumente create prin efectul Legii 139/2018</w:t>
            </w:r>
            <w:r w:rsidR="00F64EAC" w:rsidRPr="0071735F">
              <w:rPr>
                <w:rFonts w:ascii="Times New Roman" w:eastAsia="Times New Roman" w:hAnsi="Times New Roman" w:cs="Times New Roman"/>
                <w:bCs/>
                <w:sz w:val="24"/>
                <w:szCs w:val="24"/>
                <w:lang w:val="ro-MD" w:eastAsia="ru-RU"/>
              </w:rPr>
              <w:t xml:space="preserve">, și anume art. 30, alin. (2), lit. </w:t>
            </w:r>
            <w:r w:rsidR="00470F7B" w:rsidRPr="0071735F">
              <w:rPr>
                <w:rFonts w:ascii="Times New Roman" w:eastAsia="Times New Roman" w:hAnsi="Times New Roman" w:cs="Times New Roman"/>
                <w:bCs/>
                <w:sz w:val="24"/>
                <w:szCs w:val="24"/>
                <w:lang w:val="ro-MD" w:eastAsia="ru-RU"/>
              </w:rPr>
              <w:t xml:space="preserve">a) și </w:t>
            </w:r>
            <w:r w:rsidR="00CB58FF" w:rsidRPr="0071735F">
              <w:rPr>
                <w:rFonts w:ascii="Times New Roman" w:eastAsia="Times New Roman" w:hAnsi="Times New Roman" w:cs="Times New Roman"/>
                <w:bCs/>
                <w:sz w:val="24"/>
                <w:szCs w:val="24"/>
                <w:lang w:val="ro-MD" w:eastAsia="ru-RU"/>
              </w:rPr>
              <w:t xml:space="preserve"> alin. (3),</w:t>
            </w:r>
            <w:r w:rsidRPr="0071735F">
              <w:rPr>
                <w:rFonts w:ascii="Times New Roman" w:eastAsia="Times New Roman" w:hAnsi="Times New Roman" w:cs="Times New Roman"/>
                <w:bCs/>
                <w:sz w:val="24"/>
                <w:szCs w:val="24"/>
                <w:lang w:val="ro-MD" w:eastAsia="ru-RU"/>
              </w:rPr>
              <w:t xml:space="preserve"> și care a</w:t>
            </w:r>
            <w:r w:rsidR="005030D5" w:rsidRPr="0071735F">
              <w:rPr>
                <w:rFonts w:ascii="Times New Roman" w:eastAsia="Times New Roman" w:hAnsi="Times New Roman" w:cs="Times New Roman"/>
                <w:bCs/>
                <w:sz w:val="24"/>
                <w:szCs w:val="24"/>
                <w:lang w:val="ro-MD" w:eastAsia="ru-RU"/>
              </w:rPr>
              <w:t>u avut o aplicabilitate temporară</w:t>
            </w:r>
            <w:r w:rsidR="00CB58FF" w:rsidRPr="0071735F">
              <w:rPr>
                <w:rFonts w:ascii="Times New Roman" w:eastAsia="Times New Roman" w:hAnsi="Times New Roman" w:cs="Times New Roman"/>
                <w:bCs/>
                <w:sz w:val="24"/>
                <w:szCs w:val="24"/>
                <w:lang w:val="ro-MD" w:eastAsia="ru-RU"/>
              </w:rPr>
              <w:t xml:space="preserve"> </w:t>
            </w:r>
            <w:r w:rsidR="00DB05D0" w:rsidRPr="0071735F">
              <w:rPr>
                <w:rFonts w:ascii="Times New Roman" w:eastAsia="Times New Roman" w:hAnsi="Times New Roman" w:cs="Times New Roman"/>
                <w:bCs/>
                <w:sz w:val="24"/>
                <w:szCs w:val="24"/>
                <w:lang w:val="ro-MD" w:eastAsia="ru-RU"/>
              </w:rPr>
              <w:t xml:space="preserve"> - perioada</w:t>
            </w:r>
            <w:r w:rsidR="005030D5" w:rsidRPr="0071735F">
              <w:rPr>
                <w:rFonts w:ascii="Times New Roman" w:eastAsia="Times New Roman" w:hAnsi="Times New Roman" w:cs="Times New Roman"/>
                <w:bCs/>
                <w:sz w:val="24"/>
                <w:szCs w:val="24"/>
                <w:lang w:val="ro-MD" w:eastAsia="ru-RU"/>
              </w:rPr>
              <w:t xml:space="preserve"> 2018-2020, sunt </w:t>
            </w:r>
            <w:r w:rsidR="00EA42FC" w:rsidRPr="0071735F">
              <w:rPr>
                <w:rFonts w:ascii="Times New Roman" w:eastAsia="Times New Roman" w:hAnsi="Times New Roman" w:cs="Times New Roman"/>
                <w:bCs/>
                <w:sz w:val="24"/>
                <w:szCs w:val="24"/>
                <w:lang w:val="ro-MD" w:eastAsia="ru-RU"/>
              </w:rPr>
              <w:t>i) obligația</w:t>
            </w:r>
            <w:r w:rsidR="00DB05D0" w:rsidRPr="0071735F">
              <w:rPr>
                <w:rFonts w:ascii="Times New Roman" w:eastAsia="Times New Roman" w:hAnsi="Times New Roman" w:cs="Times New Roman"/>
                <w:bCs/>
                <w:sz w:val="24"/>
                <w:szCs w:val="24"/>
                <w:lang w:val="ro-MD" w:eastAsia="ru-RU"/>
              </w:rPr>
              <w:t xml:space="preserve"> cu privire la economiile noi de energie</w:t>
            </w:r>
            <w:r w:rsidR="008D75AE" w:rsidRPr="0071735F">
              <w:rPr>
                <w:rStyle w:val="FootnoteReference"/>
                <w:rFonts w:ascii="Times New Roman" w:eastAsia="Times New Roman" w:hAnsi="Times New Roman" w:cs="Times New Roman"/>
                <w:bCs/>
                <w:sz w:val="24"/>
                <w:szCs w:val="24"/>
                <w:lang w:val="ro-MD" w:eastAsia="ru-RU"/>
              </w:rPr>
              <w:footnoteReference w:id="9"/>
            </w:r>
            <w:r w:rsidR="00EA42FC" w:rsidRPr="0071735F">
              <w:rPr>
                <w:rFonts w:ascii="Times New Roman" w:eastAsia="Times New Roman" w:hAnsi="Times New Roman" w:cs="Times New Roman"/>
                <w:bCs/>
                <w:sz w:val="24"/>
                <w:szCs w:val="24"/>
                <w:lang w:val="ro-MD" w:eastAsia="ru-RU"/>
              </w:rPr>
              <w:t xml:space="preserve"> </w:t>
            </w:r>
            <w:r w:rsidR="00EE0D19" w:rsidRPr="0071735F">
              <w:rPr>
                <w:rFonts w:ascii="Times New Roman" w:eastAsia="Times New Roman" w:hAnsi="Times New Roman" w:cs="Times New Roman"/>
                <w:bCs/>
                <w:sz w:val="24"/>
                <w:szCs w:val="24"/>
                <w:lang w:val="ro-MD" w:eastAsia="ru-RU"/>
              </w:rPr>
              <w:t>și ii) obligația de renovare anuală a unei suprafețe a clădirilor guvernamentale</w:t>
            </w:r>
            <w:r w:rsidR="00E44A8F" w:rsidRPr="0071735F">
              <w:rPr>
                <w:rStyle w:val="FootnoteReference"/>
                <w:rFonts w:ascii="Times New Roman" w:eastAsia="Times New Roman" w:hAnsi="Times New Roman" w:cs="Times New Roman"/>
                <w:bCs/>
                <w:sz w:val="24"/>
                <w:szCs w:val="24"/>
                <w:lang w:val="ro-MD" w:eastAsia="ru-RU"/>
              </w:rPr>
              <w:footnoteReference w:id="10"/>
            </w:r>
            <w:r w:rsidR="00C91573" w:rsidRPr="0071735F">
              <w:rPr>
                <w:rFonts w:ascii="Times New Roman" w:eastAsia="Times New Roman" w:hAnsi="Times New Roman" w:cs="Times New Roman"/>
                <w:bCs/>
                <w:sz w:val="24"/>
                <w:szCs w:val="24"/>
                <w:lang w:val="ro-MD" w:eastAsia="ru-RU"/>
              </w:rPr>
              <w:t xml:space="preserve">. Directiva </w:t>
            </w:r>
            <w:r w:rsidR="00386EF9" w:rsidRPr="0071735F">
              <w:rPr>
                <w:rFonts w:ascii="Times New Roman" w:eastAsia="Times New Roman" w:hAnsi="Times New Roman" w:cs="Times New Roman"/>
                <w:bCs/>
                <w:sz w:val="24"/>
                <w:szCs w:val="24"/>
                <w:lang w:val="ro-MD" w:eastAsia="ru-RU"/>
              </w:rPr>
              <w:t xml:space="preserve">2018/2002, în versiunea adaptată de </w:t>
            </w:r>
            <w:r w:rsidR="00A05D89" w:rsidRPr="0071735F">
              <w:rPr>
                <w:rFonts w:ascii="Times New Roman" w:eastAsia="Times New Roman" w:hAnsi="Times New Roman" w:cs="Times New Roman"/>
                <w:bCs/>
                <w:sz w:val="24"/>
                <w:szCs w:val="24"/>
                <w:lang w:val="ro-MD" w:eastAsia="ru-RU"/>
              </w:rPr>
              <w:t>Consiliul Ministerial, extinde perioada de „valabilitate” a obligațiilor de mai sus, după cum urmează:</w:t>
            </w:r>
          </w:p>
          <w:p w14:paraId="25F8E6BE" w14:textId="1F8D2013" w:rsidR="00A05D89" w:rsidRPr="0071735F" w:rsidRDefault="00A05D89" w:rsidP="003C557B">
            <w:pPr>
              <w:pStyle w:val="ListParagraph"/>
              <w:numPr>
                <w:ilvl w:val="0"/>
                <w:numId w:val="33"/>
              </w:num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Obligați</w:t>
            </w:r>
            <w:r w:rsidR="000B6F75" w:rsidRPr="0071735F">
              <w:rPr>
                <w:rFonts w:ascii="Times New Roman" w:eastAsia="Times New Roman" w:hAnsi="Times New Roman" w:cs="Times New Roman"/>
                <w:bCs/>
                <w:sz w:val="24"/>
                <w:szCs w:val="24"/>
                <w:lang w:val="ro-MD" w:eastAsia="ru-RU"/>
              </w:rPr>
              <w:t xml:space="preserve">i </w:t>
            </w:r>
            <w:r w:rsidR="0067492F" w:rsidRPr="0071735F">
              <w:rPr>
                <w:rFonts w:ascii="Times New Roman" w:eastAsia="Times New Roman" w:hAnsi="Times New Roman" w:cs="Times New Roman"/>
                <w:bCs/>
                <w:sz w:val="24"/>
                <w:szCs w:val="24"/>
                <w:lang w:val="ro-MD" w:eastAsia="ru-RU"/>
              </w:rPr>
              <w:t xml:space="preserve">referitoare la economii de energie </w:t>
            </w:r>
            <w:r w:rsidR="00AD3975" w:rsidRPr="0071735F">
              <w:rPr>
                <w:rFonts w:ascii="Times New Roman" w:eastAsia="Times New Roman" w:hAnsi="Times New Roman" w:cs="Times New Roman"/>
                <w:bCs/>
                <w:sz w:val="24"/>
                <w:szCs w:val="24"/>
                <w:lang w:val="ro-MD" w:eastAsia="ru-RU"/>
              </w:rPr>
              <w:t>–</w:t>
            </w:r>
            <w:r w:rsidR="0067492F" w:rsidRPr="0071735F">
              <w:rPr>
                <w:rFonts w:ascii="Times New Roman" w:eastAsia="Times New Roman" w:hAnsi="Times New Roman" w:cs="Times New Roman"/>
                <w:bCs/>
                <w:sz w:val="24"/>
                <w:szCs w:val="24"/>
                <w:lang w:val="ro-MD" w:eastAsia="ru-RU"/>
              </w:rPr>
              <w:t xml:space="preserve"> </w:t>
            </w:r>
            <w:r w:rsidR="00AD3975" w:rsidRPr="0071735F">
              <w:rPr>
                <w:rFonts w:ascii="Times New Roman" w:eastAsia="Times New Roman" w:hAnsi="Times New Roman" w:cs="Times New Roman"/>
                <w:bCs/>
                <w:sz w:val="24"/>
                <w:szCs w:val="24"/>
                <w:lang w:val="ro-MD" w:eastAsia="ru-RU"/>
              </w:rPr>
              <w:t xml:space="preserve">0,8%/ an, până la </w:t>
            </w:r>
            <w:r w:rsidR="00A51A74" w:rsidRPr="0071735F">
              <w:rPr>
                <w:rFonts w:ascii="Times New Roman" w:eastAsia="Times New Roman" w:hAnsi="Times New Roman" w:cs="Times New Roman"/>
                <w:bCs/>
                <w:sz w:val="24"/>
                <w:szCs w:val="24"/>
                <w:lang w:val="ro-MD" w:eastAsia="ru-RU"/>
              </w:rPr>
              <w:t>31 decembrie 2030</w:t>
            </w:r>
          </w:p>
          <w:p w14:paraId="041437EC" w14:textId="424A26D1" w:rsidR="00A51A74" w:rsidRPr="0071735F" w:rsidRDefault="00096202" w:rsidP="003C557B">
            <w:pPr>
              <w:pStyle w:val="ListParagraph"/>
              <w:numPr>
                <w:ilvl w:val="0"/>
                <w:numId w:val="33"/>
              </w:num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Obligația de renovare a </w:t>
            </w:r>
            <w:r w:rsidR="00B64D74" w:rsidRPr="0071735F">
              <w:rPr>
                <w:rFonts w:ascii="Times New Roman" w:eastAsia="Times New Roman" w:hAnsi="Times New Roman" w:cs="Times New Roman"/>
                <w:bCs/>
                <w:sz w:val="24"/>
                <w:szCs w:val="24"/>
                <w:lang w:val="ro-MD" w:eastAsia="ru-RU"/>
              </w:rPr>
              <w:t xml:space="preserve">clădirilor în care își desfășoară activitatea </w:t>
            </w:r>
            <w:r w:rsidR="0014103A" w:rsidRPr="0071735F">
              <w:rPr>
                <w:rFonts w:ascii="Times New Roman" w:eastAsia="Times New Roman" w:hAnsi="Times New Roman" w:cs="Times New Roman"/>
                <w:bCs/>
                <w:sz w:val="24"/>
                <w:szCs w:val="24"/>
                <w:lang w:val="ro-MD" w:eastAsia="ru-RU"/>
              </w:rPr>
              <w:t xml:space="preserve">autoritățile administrației publice de specialitate </w:t>
            </w:r>
            <w:r w:rsidR="00FD327C" w:rsidRPr="0071735F">
              <w:rPr>
                <w:rFonts w:ascii="Times New Roman" w:eastAsia="Times New Roman" w:hAnsi="Times New Roman" w:cs="Times New Roman"/>
                <w:bCs/>
                <w:sz w:val="24"/>
                <w:szCs w:val="24"/>
                <w:lang w:val="ro-MD" w:eastAsia="ru-RU"/>
              </w:rPr>
              <w:t>–</w:t>
            </w:r>
            <w:r w:rsidR="0014103A" w:rsidRPr="0071735F">
              <w:rPr>
                <w:rFonts w:ascii="Times New Roman" w:eastAsia="Times New Roman" w:hAnsi="Times New Roman" w:cs="Times New Roman"/>
                <w:bCs/>
                <w:sz w:val="24"/>
                <w:szCs w:val="24"/>
                <w:lang w:val="ro-MD" w:eastAsia="ru-RU"/>
              </w:rPr>
              <w:t xml:space="preserve"> </w:t>
            </w:r>
            <w:r w:rsidR="00FD327C" w:rsidRPr="0071735F">
              <w:rPr>
                <w:rFonts w:ascii="Times New Roman" w:eastAsia="Times New Roman" w:hAnsi="Times New Roman" w:cs="Times New Roman"/>
                <w:bCs/>
                <w:sz w:val="24"/>
                <w:szCs w:val="24"/>
                <w:lang w:val="ro-MD" w:eastAsia="ru-RU"/>
              </w:rPr>
              <w:t xml:space="preserve">3%/an, </w:t>
            </w:r>
            <w:r w:rsidR="00517822" w:rsidRPr="0071735F">
              <w:rPr>
                <w:rFonts w:ascii="Times New Roman" w:eastAsia="Times New Roman" w:hAnsi="Times New Roman" w:cs="Times New Roman"/>
                <w:bCs/>
                <w:sz w:val="24"/>
                <w:szCs w:val="24"/>
                <w:lang w:val="ro-MD" w:eastAsia="ru-RU"/>
              </w:rPr>
              <w:t>până</w:t>
            </w:r>
            <w:r w:rsidR="004F45E4" w:rsidRPr="0071735F">
              <w:rPr>
                <w:rFonts w:ascii="Times New Roman" w:eastAsia="Times New Roman" w:hAnsi="Times New Roman" w:cs="Times New Roman"/>
                <w:bCs/>
                <w:sz w:val="24"/>
                <w:szCs w:val="24"/>
                <w:lang w:val="ro-MD" w:eastAsia="ru-RU"/>
              </w:rPr>
              <w:t xml:space="preserve"> la 31 decembrie 2030.</w:t>
            </w:r>
          </w:p>
          <w:p w14:paraId="31C007DA" w14:textId="311BC96D" w:rsidR="004F45E4" w:rsidRPr="0071735F" w:rsidRDefault="00A42822" w:rsidP="003A2E84">
            <w:p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III. </w:t>
            </w:r>
            <w:r w:rsidR="00C257F8" w:rsidRPr="0071735F">
              <w:rPr>
                <w:rFonts w:ascii="Times New Roman" w:eastAsia="Times New Roman" w:hAnsi="Times New Roman" w:cs="Times New Roman"/>
                <w:bCs/>
                <w:sz w:val="24"/>
                <w:szCs w:val="24"/>
                <w:lang w:val="ro-MD" w:eastAsia="ru-RU"/>
              </w:rPr>
              <w:t xml:space="preserve">Deși Legea 139/2018 conține prevederi cu privire la </w:t>
            </w:r>
            <w:r w:rsidR="00D657A0" w:rsidRPr="0071735F">
              <w:rPr>
                <w:rFonts w:ascii="Times New Roman" w:eastAsia="Times New Roman" w:hAnsi="Times New Roman" w:cs="Times New Roman"/>
                <w:bCs/>
                <w:sz w:val="24"/>
                <w:szCs w:val="24"/>
                <w:lang w:val="ro-MD" w:eastAsia="ru-RU"/>
              </w:rPr>
              <w:t xml:space="preserve">contorizarea consumului de energie electrică, gaze naturale, încălzire/răcire și apă caldă menajeră, noul proiect de lege, în conformitate cu prevederile </w:t>
            </w:r>
            <w:r w:rsidR="00BF7D85" w:rsidRPr="0071735F">
              <w:rPr>
                <w:rFonts w:ascii="Times New Roman" w:eastAsia="Times New Roman" w:hAnsi="Times New Roman" w:cs="Times New Roman"/>
                <w:bCs/>
                <w:sz w:val="24"/>
                <w:szCs w:val="24"/>
                <w:lang w:val="ro-MD" w:eastAsia="ru-RU"/>
              </w:rPr>
              <w:t>Directivei 2018/2002, vine cu unele clarificări și completări, și anume:</w:t>
            </w:r>
          </w:p>
          <w:p w14:paraId="120B1A71" w14:textId="0330EBBE" w:rsidR="00BF7D85" w:rsidRPr="0071735F" w:rsidRDefault="00C11EBD" w:rsidP="00BF7D85">
            <w:pPr>
              <w:pStyle w:val="ListParagraph"/>
              <w:numPr>
                <w:ilvl w:val="0"/>
                <w:numId w:val="33"/>
              </w:num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Se introduce conceptul de </w:t>
            </w:r>
            <w:r w:rsidR="006E29DF" w:rsidRPr="0071735F">
              <w:rPr>
                <w:rFonts w:ascii="Times New Roman" w:eastAsia="Times New Roman" w:hAnsi="Times New Roman" w:cs="Times New Roman"/>
                <w:bCs/>
                <w:sz w:val="24"/>
                <w:szCs w:val="24"/>
                <w:lang w:val="ro-MD" w:eastAsia="ru-RU"/>
              </w:rPr>
              <w:t>„sub-contorizare” și repartizare a costurilor pentru încălzire/răcire și alimentare cu apă caldă menajeră</w:t>
            </w:r>
            <w:r w:rsidR="00183F84" w:rsidRPr="0071735F">
              <w:rPr>
                <w:rFonts w:ascii="Times New Roman" w:eastAsia="Times New Roman" w:hAnsi="Times New Roman" w:cs="Times New Roman"/>
                <w:bCs/>
                <w:sz w:val="24"/>
                <w:szCs w:val="24"/>
                <w:lang w:val="ro-MD" w:eastAsia="ru-RU"/>
              </w:rPr>
              <w:t xml:space="preserve">, aplicabil în cazul instalării de contoare </w:t>
            </w:r>
            <w:r w:rsidR="00183F84" w:rsidRPr="0071735F">
              <w:rPr>
                <w:rFonts w:ascii="Times New Roman" w:eastAsia="Times New Roman" w:hAnsi="Times New Roman" w:cs="Times New Roman"/>
                <w:bCs/>
                <w:sz w:val="24"/>
                <w:szCs w:val="24"/>
                <w:lang w:val="ro-MD" w:eastAsia="ru-RU"/>
              </w:rPr>
              <w:lastRenderedPageBreak/>
              <w:t xml:space="preserve">pentru energia termică </w:t>
            </w:r>
            <w:r w:rsidR="00A22CD6" w:rsidRPr="0071735F">
              <w:rPr>
                <w:rFonts w:ascii="Times New Roman" w:eastAsia="Times New Roman" w:hAnsi="Times New Roman" w:cs="Times New Roman"/>
                <w:bCs/>
                <w:sz w:val="24"/>
                <w:szCs w:val="24"/>
                <w:lang w:val="ro-MD" w:eastAsia="ru-RU"/>
              </w:rPr>
              <w:t xml:space="preserve">în punctul de delimitare a proprietății furnizorului de energie termică și </w:t>
            </w:r>
            <w:r w:rsidR="004C017E" w:rsidRPr="0071735F">
              <w:rPr>
                <w:rFonts w:ascii="Times New Roman" w:eastAsia="Times New Roman" w:hAnsi="Times New Roman" w:cs="Times New Roman"/>
                <w:bCs/>
                <w:sz w:val="24"/>
                <w:szCs w:val="24"/>
                <w:lang w:val="ro-MD" w:eastAsia="ru-RU"/>
              </w:rPr>
              <w:t>a consumatorului (blocul multietajat)</w:t>
            </w:r>
            <w:r w:rsidR="00997E87" w:rsidRPr="0071735F">
              <w:rPr>
                <w:rFonts w:ascii="Times New Roman" w:eastAsia="Times New Roman" w:hAnsi="Times New Roman" w:cs="Times New Roman"/>
                <w:bCs/>
                <w:sz w:val="24"/>
                <w:szCs w:val="24"/>
                <w:lang w:val="ro-MD" w:eastAsia="ru-RU"/>
              </w:rPr>
              <w:t xml:space="preserve">. </w:t>
            </w:r>
          </w:p>
          <w:p w14:paraId="06D077DF" w14:textId="5DED0F2C" w:rsidR="00997E87" w:rsidRPr="0071735F" w:rsidRDefault="00997E87" w:rsidP="00997E87">
            <w:pPr>
              <w:pStyle w:val="ListParagraph"/>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În mod similar prevederilor actuale, Directiva stabilește că în condițiile </w:t>
            </w:r>
            <w:r w:rsidR="002B3B7A" w:rsidRPr="0071735F">
              <w:rPr>
                <w:rFonts w:ascii="Times New Roman" w:eastAsia="Times New Roman" w:hAnsi="Times New Roman" w:cs="Times New Roman"/>
                <w:bCs/>
                <w:sz w:val="24"/>
                <w:szCs w:val="24"/>
                <w:lang w:val="ro-MD" w:eastAsia="ru-RU"/>
              </w:rPr>
              <w:t>imposibilității tehnice sau lipsei rentabilității instalării soluțiilor de contorizare individual</w:t>
            </w:r>
            <w:r w:rsidR="00F540E4" w:rsidRPr="0071735F">
              <w:rPr>
                <w:rFonts w:ascii="Times New Roman" w:eastAsia="Times New Roman" w:hAnsi="Times New Roman" w:cs="Times New Roman"/>
                <w:bCs/>
                <w:sz w:val="24"/>
                <w:szCs w:val="24"/>
                <w:lang w:val="ro-MD" w:eastAsia="ru-RU"/>
              </w:rPr>
              <w:t>ă</w:t>
            </w:r>
            <w:r w:rsidR="008A5628" w:rsidRPr="0071735F">
              <w:rPr>
                <w:rFonts w:ascii="Times New Roman" w:eastAsia="Times New Roman" w:hAnsi="Times New Roman" w:cs="Times New Roman"/>
                <w:bCs/>
                <w:sz w:val="24"/>
                <w:szCs w:val="24"/>
                <w:lang w:val="ro-MD" w:eastAsia="ru-RU"/>
              </w:rPr>
              <w:t xml:space="preserve"> (per apartament), distribuitorii/ furnizorii de agent termic vor </w:t>
            </w:r>
            <w:r w:rsidR="00C30B1E" w:rsidRPr="0071735F">
              <w:rPr>
                <w:rFonts w:ascii="Times New Roman" w:eastAsia="Times New Roman" w:hAnsi="Times New Roman" w:cs="Times New Roman"/>
                <w:bCs/>
                <w:sz w:val="24"/>
                <w:szCs w:val="24"/>
                <w:lang w:val="ro-MD" w:eastAsia="ru-RU"/>
              </w:rPr>
              <w:t>instala repartitoare de costuri</w:t>
            </w:r>
            <w:r w:rsidR="00C46A68" w:rsidRPr="0071735F">
              <w:rPr>
                <w:rFonts w:ascii="Times New Roman" w:eastAsia="Times New Roman" w:hAnsi="Times New Roman" w:cs="Times New Roman"/>
                <w:bCs/>
                <w:sz w:val="24"/>
                <w:szCs w:val="24"/>
                <w:lang w:val="ro-MD" w:eastAsia="ru-RU"/>
              </w:rPr>
              <w:t xml:space="preserve">. La demonstrarea </w:t>
            </w:r>
            <w:r w:rsidR="0094515A" w:rsidRPr="0071735F">
              <w:rPr>
                <w:rFonts w:ascii="Times New Roman" w:eastAsia="Times New Roman" w:hAnsi="Times New Roman" w:cs="Times New Roman"/>
                <w:bCs/>
                <w:sz w:val="24"/>
                <w:szCs w:val="24"/>
                <w:lang w:val="ro-MD" w:eastAsia="ru-RU"/>
              </w:rPr>
              <w:t>nerentabilității</w:t>
            </w:r>
            <w:r w:rsidR="00C46A68" w:rsidRPr="0071735F">
              <w:rPr>
                <w:rFonts w:ascii="Times New Roman" w:eastAsia="Times New Roman" w:hAnsi="Times New Roman" w:cs="Times New Roman"/>
                <w:bCs/>
                <w:sz w:val="24"/>
                <w:szCs w:val="24"/>
                <w:lang w:val="ro-MD" w:eastAsia="ru-RU"/>
              </w:rPr>
              <w:t xml:space="preserve"> instalării acestor echipamente, Guvernul trebuie să aprobe </w:t>
            </w:r>
            <w:r w:rsidR="0094515A" w:rsidRPr="0071735F">
              <w:rPr>
                <w:rFonts w:ascii="Times New Roman" w:eastAsia="Times New Roman" w:hAnsi="Times New Roman" w:cs="Times New Roman"/>
                <w:bCs/>
                <w:sz w:val="24"/>
                <w:szCs w:val="24"/>
                <w:lang w:val="ro-MD" w:eastAsia="ru-RU"/>
              </w:rPr>
              <w:t xml:space="preserve">metodologii transparente și nediscriminatorii de repartizare a consumului și costurilor </w:t>
            </w:r>
            <w:r w:rsidR="006B6E94" w:rsidRPr="0071735F">
              <w:rPr>
                <w:rFonts w:ascii="Times New Roman" w:eastAsia="Times New Roman" w:hAnsi="Times New Roman" w:cs="Times New Roman"/>
                <w:bCs/>
                <w:sz w:val="24"/>
                <w:szCs w:val="24"/>
                <w:lang w:val="ro-MD" w:eastAsia="ru-RU"/>
              </w:rPr>
              <w:t xml:space="preserve">cu încălzirea și </w:t>
            </w:r>
            <w:r w:rsidR="005E6531" w:rsidRPr="0071735F">
              <w:rPr>
                <w:rFonts w:ascii="Times New Roman" w:eastAsia="Times New Roman" w:hAnsi="Times New Roman" w:cs="Times New Roman"/>
                <w:bCs/>
                <w:sz w:val="24"/>
                <w:szCs w:val="24"/>
                <w:lang w:val="ro-MD" w:eastAsia="ru-RU"/>
              </w:rPr>
              <w:t xml:space="preserve">alimentarea </w:t>
            </w:r>
            <w:r w:rsidR="000F47EE" w:rsidRPr="0071735F">
              <w:rPr>
                <w:rFonts w:ascii="Times New Roman" w:eastAsia="Times New Roman" w:hAnsi="Times New Roman" w:cs="Times New Roman"/>
                <w:bCs/>
                <w:sz w:val="24"/>
                <w:szCs w:val="24"/>
                <w:lang w:val="ro-MD" w:eastAsia="ru-RU"/>
              </w:rPr>
              <w:t xml:space="preserve">cu ACM </w:t>
            </w:r>
            <w:r w:rsidR="0094515A" w:rsidRPr="0071735F">
              <w:rPr>
                <w:rFonts w:ascii="Times New Roman" w:eastAsia="Times New Roman" w:hAnsi="Times New Roman" w:cs="Times New Roman"/>
                <w:bCs/>
                <w:sz w:val="24"/>
                <w:szCs w:val="24"/>
                <w:lang w:val="ro-MD" w:eastAsia="ru-RU"/>
              </w:rPr>
              <w:t>intra-bloc</w:t>
            </w:r>
            <w:r w:rsidR="000F47EE" w:rsidRPr="0071735F">
              <w:rPr>
                <w:rFonts w:ascii="Times New Roman" w:eastAsia="Times New Roman" w:hAnsi="Times New Roman" w:cs="Times New Roman"/>
                <w:bCs/>
                <w:sz w:val="24"/>
                <w:szCs w:val="24"/>
                <w:lang w:val="ro-MD" w:eastAsia="ru-RU"/>
              </w:rPr>
              <w:t>.</w:t>
            </w:r>
          </w:p>
          <w:p w14:paraId="6A6BE4E5" w14:textId="4C1EAB47" w:rsidR="000F47EE" w:rsidRPr="0071735F" w:rsidRDefault="000F47EE" w:rsidP="000F47EE">
            <w:pPr>
              <w:pStyle w:val="ListParagraph"/>
              <w:numPr>
                <w:ilvl w:val="0"/>
                <w:numId w:val="33"/>
              </w:num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Instalarea contoarelor de </w:t>
            </w:r>
            <w:r w:rsidR="003B2FBA">
              <w:rPr>
                <w:rFonts w:ascii="Times New Roman" w:eastAsia="Times New Roman" w:hAnsi="Times New Roman" w:cs="Times New Roman"/>
                <w:bCs/>
                <w:sz w:val="24"/>
                <w:szCs w:val="24"/>
                <w:lang w:val="ro-MD" w:eastAsia="ru-RU"/>
              </w:rPr>
              <w:t>ap</w:t>
            </w:r>
            <w:r w:rsidR="00660FC9">
              <w:rPr>
                <w:rFonts w:ascii="Times New Roman" w:eastAsia="Times New Roman" w:hAnsi="Times New Roman" w:cs="Times New Roman"/>
                <w:bCs/>
                <w:sz w:val="24"/>
                <w:szCs w:val="24"/>
                <w:lang w:val="ro-MD" w:eastAsia="ru-RU"/>
              </w:rPr>
              <w:t>ă</w:t>
            </w:r>
            <w:r w:rsidR="003B2FBA">
              <w:rPr>
                <w:rFonts w:ascii="Times New Roman" w:eastAsia="Times New Roman" w:hAnsi="Times New Roman" w:cs="Times New Roman"/>
                <w:bCs/>
                <w:sz w:val="24"/>
                <w:szCs w:val="24"/>
                <w:lang w:val="ro-MD" w:eastAsia="ru-RU"/>
              </w:rPr>
              <w:t xml:space="preserve"> cald</w:t>
            </w:r>
            <w:r w:rsidR="00660FC9">
              <w:rPr>
                <w:rFonts w:ascii="Times New Roman" w:eastAsia="Times New Roman" w:hAnsi="Times New Roman" w:cs="Times New Roman"/>
                <w:bCs/>
                <w:sz w:val="24"/>
                <w:szCs w:val="24"/>
                <w:lang w:val="ro-MD" w:eastAsia="ru-RU"/>
              </w:rPr>
              <w:t>ă</w:t>
            </w:r>
            <w:r w:rsidR="003B2FBA">
              <w:rPr>
                <w:rFonts w:ascii="Times New Roman" w:eastAsia="Times New Roman" w:hAnsi="Times New Roman" w:cs="Times New Roman"/>
                <w:bCs/>
                <w:sz w:val="24"/>
                <w:szCs w:val="24"/>
                <w:lang w:val="ro-MD" w:eastAsia="ru-RU"/>
              </w:rPr>
              <w:t xml:space="preserve"> menajer</w:t>
            </w:r>
            <w:r w:rsidR="00660FC9">
              <w:rPr>
                <w:rFonts w:ascii="Times New Roman" w:eastAsia="Times New Roman" w:hAnsi="Times New Roman" w:cs="Times New Roman"/>
                <w:bCs/>
                <w:sz w:val="24"/>
                <w:szCs w:val="24"/>
                <w:lang w:val="ro-MD" w:eastAsia="ru-RU"/>
              </w:rPr>
              <w:t>ă</w:t>
            </w:r>
            <w:r w:rsidR="003B2FBA">
              <w:rPr>
                <w:rFonts w:ascii="Times New Roman" w:eastAsia="Times New Roman" w:hAnsi="Times New Roman" w:cs="Times New Roman"/>
                <w:bCs/>
                <w:sz w:val="24"/>
                <w:szCs w:val="24"/>
                <w:lang w:val="ro-MD" w:eastAsia="ru-RU"/>
              </w:rPr>
              <w:t xml:space="preserve"> (</w:t>
            </w:r>
            <w:r w:rsidRPr="0071735F">
              <w:rPr>
                <w:rFonts w:ascii="Times New Roman" w:eastAsia="Times New Roman" w:hAnsi="Times New Roman" w:cs="Times New Roman"/>
                <w:bCs/>
                <w:sz w:val="24"/>
                <w:szCs w:val="24"/>
                <w:lang w:val="ro-MD" w:eastAsia="ru-RU"/>
              </w:rPr>
              <w:t>ACM</w:t>
            </w:r>
            <w:r w:rsidR="003B2FBA">
              <w:rPr>
                <w:rFonts w:ascii="Times New Roman" w:eastAsia="Times New Roman" w:hAnsi="Times New Roman" w:cs="Times New Roman"/>
                <w:bCs/>
                <w:sz w:val="24"/>
                <w:szCs w:val="24"/>
                <w:lang w:val="ro-MD" w:eastAsia="ru-RU"/>
              </w:rPr>
              <w:t>)</w:t>
            </w:r>
            <w:r w:rsidRPr="0071735F">
              <w:rPr>
                <w:rFonts w:ascii="Times New Roman" w:eastAsia="Times New Roman" w:hAnsi="Times New Roman" w:cs="Times New Roman"/>
                <w:bCs/>
                <w:sz w:val="24"/>
                <w:szCs w:val="24"/>
                <w:lang w:val="ro-MD" w:eastAsia="ru-RU"/>
              </w:rPr>
              <w:t xml:space="preserve"> </w:t>
            </w:r>
            <w:r w:rsidR="00E01764" w:rsidRPr="0071735F">
              <w:rPr>
                <w:rFonts w:ascii="Times New Roman" w:eastAsia="Times New Roman" w:hAnsi="Times New Roman" w:cs="Times New Roman"/>
                <w:bCs/>
                <w:sz w:val="24"/>
                <w:szCs w:val="24"/>
                <w:lang w:val="ro-MD" w:eastAsia="ru-RU"/>
              </w:rPr>
              <w:t>în blocurile noi este obligatorie.</w:t>
            </w:r>
          </w:p>
          <w:p w14:paraId="3095149C" w14:textId="18601F3A" w:rsidR="00E01764" w:rsidRPr="0071735F" w:rsidRDefault="00541509" w:rsidP="000F47EE">
            <w:pPr>
              <w:pStyle w:val="ListParagraph"/>
              <w:numPr>
                <w:ilvl w:val="0"/>
                <w:numId w:val="33"/>
              </w:numPr>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 xml:space="preserve">După </w:t>
            </w:r>
            <w:r w:rsidR="00466CE2" w:rsidRPr="0071735F">
              <w:rPr>
                <w:rFonts w:ascii="Times New Roman" w:eastAsia="Times New Roman" w:hAnsi="Times New Roman" w:cs="Times New Roman"/>
                <w:bCs/>
                <w:sz w:val="24"/>
                <w:szCs w:val="24"/>
                <w:lang w:val="ro-MD" w:eastAsia="ru-RU"/>
              </w:rPr>
              <w:t xml:space="preserve">30 </w:t>
            </w:r>
            <w:r w:rsidRPr="0071735F">
              <w:rPr>
                <w:rFonts w:ascii="Times New Roman" w:eastAsia="Times New Roman" w:hAnsi="Times New Roman" w:cs="Times New Roman"/>
                <w:bCs/>
                <w:sz w:val="24"/>
                <w:szCs w:val="24"/>
                <w:lang w:val="ro-MD" w:eastAsia="ru-RU"/>
              </w:rPr>
              <w:t xml:space="preserve">octombrie </w:t>
            </w:r>
            <w:r w:rsidR="00466CE2" w:rsidRPr="0071735F">
              <w:rPr>
                <w:rFonts w:ascii="Times New Roman" w:eastAsia="Times New Roman" w:hAnsi="Times New Roman" w:cs="Times New Roman"/>
                <w:bCs/>
                <w:sz w:val="24"/>
                <w:szCs w:val="24"/>
                <w:lang w:val="ro-MD" w:eastAsia="ru-RU"/>
              </w:rPr>
              <w:t>202</w:t>
            </w:r>
            <w:r w:rsidRPr="0071735F">
              <w:rPr>
                <w:rFonts w:ascii="Times New Roman" w:eastAsia="Times New Roman" w:hAnsi="Times New Roman" w:cs="Times New Roman"/>
                <w:bCs/>
                <w:sz w:val="24"/>
                <w:szCs w:val="24"/>
                <w:lang w:val="ro-MD" w:eastAsia="ru-RU"/>
              </w:rPr>
              <w:t xml:space="preserve">3, toate contoarele </w:t>
            </w:r>
            <w:r w:rsidR="00A55834" w:rsidRPr="0071735F">
              <w:rPr>
                <w:rFonts w:ascii="Times New Roman" w:eastAsia="Times New Roman" w:hAnsi="Times New Roman" w:cs="Times New Roman"/>
                <w:bCs/>
                <w:sz w:val="24"/>
                <w:szCs w:val="24"/>
                <w:lang w:val="ro-MD" w:eastAsia="ru-RU"/>
              </w:rPr>
              <w:t xml:space="preserve">noi </w:t>
            </w:r>
            <w:r w:rsidRPr="0071735F">
              <w:rPr>
                <w:rFonts w:ascii="Times New Roman" w:eastAsia="Times New Roman" w:hAnsi="Times New Roman" w:cs="Times New Roman"/>
                <w:bCs/>
                <w:sz w:val="24"/>
                <w:szCs w:val="24"/>
                <w:lang w:val="ro-MD" w:eastAsia="ru-RU"/>
              </w:rPr>
              <w:t>de</w:t>
            </w:r>
            <w:r w:rsidR="00A86AAB" w:rsidRPr="0071735F">
              <w:rPr>
                <w:rFonts w:ascii="Times New Roman" w:eastAsia="Times New Roman" w:hAnsi="Times New Roman" w:cs="Times New Roman"/>
                <w:bCs/>
                <w:sz w:val="24"/>
                <w:szCs w:val="24"/>
                <w:lang w:val="ro-MD" w:eastAsia="ru-RU"/>
              </w:rPr>
              <w:t xml:space="preserve"> energie termică (încălzire, răcire, </w:t>
            </w:r>
            <w:r w:rsidR="00A55834" w:rsidRPr="0071735F">
              <w:rPr>
                <w:rFonts w:ascii="Times New Roman" w:eastAsia="Times New Roman" w:hAnsi="Times New Roman" w:cs="Times New Roman"/>
                <w:bCs/>
                <w:sz w:val="24"/>
                <w:szCs w:val="24"/>
                <w:lang w:val="ro-MD" w:eastAsia="ru-RU"/>
              </w:rPr>
              <w:t>apă caldă menajeră</w:t>
            </w:r>
            <w:r w:rsidR="00A86AAB" w:rsidRPr="0071735F">
              <w:rPr>
                <w:rFonts w:ascii="Times New Roman" w:eastAsia="Times New Roman" w:hAnsi="Times New Roman" w:cs="Times New Roman"/>
                <w:bCs/>
                <w:sz w:val="24"/>
                <w:szCs w:val="24"/>
                <w:lang w:val="ro-MD" w:eastAsia="ru-RU"/>
              </w:rPr>
              <w:t>)</w:t>
            </w:r>
            <w:r w:rsidR="00A55834" w:rsidRPr="0071735F">
              <w:rPr>
                <w:rFonts w:ascii="Times New Roman" w:eastAsia="Times New Roman" w:hAnsi="Times New Roman" w:cs="Times New Roman"/>
                <w:bCs/>
                <w:sz w:val="24"/>
                <w:szCs w:val="24"/>
                <w:lang w:val="ro-MD" w:eastAsia="ru-RU"/>
              </w:rPr>
              <w:t xml:space="preserve">, precum și repartitoarele de costuri </w:t>
            </w:r>
            <w:r w:rsidR="00E26F49" w:rsidRPr="0071735F">
              <w:rPr>
                <w:rFonts w:ascii="Times New Roman" w:eastAsia="Times New Roman" w:hAnsi="Times New Roman" w:cs="Times New Roman"/>
                <w:bCs/>
                <w:sz w:val="24"/>
                <w:szCs w:val="24"/>
                <w:lang w:val="ro-MD" w:eastAsia="ru-RU"/>
              </w:rPr>
              <w:t>trebuie să fie citite de la distanță.</w:t>
            </w:r>
          </w:p>
          <w:p w14:paraId="3A9AC4EB" w14:textId="347AD051" w:rsidR="00E26F49" w:rsidRPr="0071735F" w:rsidRDefault="00E26F49" w:rsidP="00E26F49">
            <w:pPr>
              <w:pStyle w:val="ListParagraph"/>
              <w:spacing w:before="120" w:after="120"/>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Unitățile</w:t>
            </w:r>
            <w:r w:rsidR="005A4EB3" w:rsidRPr="0071735F">
              <w:rPr>
                <w:rFonts w:ascii="Times New Roman" w:eastAsia="Times New Roman" w:hAnsi="Times New Roman" w:cs="Times New Roman"/>
                <w:bCs/>
                <w:sz w:val="24"/>
                <w:szCs w:val="24"/>
                <w:lang w:val="ro-MD" w:eastAsia="ru-RU"/>
              </w:rPr>
              <w:t xml:space="preserve"> instalate </w:t>
            </w:r>
            <w:r w:rsidR="00B55C39" w:rsidRPr="0071735F">
              <w:rPr>
                <w:rFonts w:ascii="Times New Roman" w:eastAsia="Times New Roman" w:hAnsi="Times New Roman" w:cs="Times New Roman"/>
                <w:bCs/>
                <w:sz w:val="24"/>
                <w:szCs w:val="24"/>
                <w:lang w:val="ro-MD" w:eastAsia="ru-RU"/>
              </w:rPr>
              <w:t xml:space="preserve">și care nu pot fir citite la distanță, vor fi modernizate/ adaptate la citirea la distanță ori schimbate cu unități cu citite la distanță, către </w:t>
            </w:r>
            <w:r w:rsidR="00E57DCB" w:rsidRPr="0071735F">
              <w:rPr>
                <w:rFonts w:ascii="Times New Roman" w:eastAsia="Times New Roman" w:hAnsi="Times New Roman" w:cs="Times New Roman"/>
                <w:bCs/>
                <w:sz w:val="24"/>
                <w:szCs w:val="24"/>
                <w:lang w:val="ro-MD" w:eastAsia="ru-RU"/>
              </w:rPr>
              <w:t>1 ianuarie 2030.</w:t>
            </w:r>
          </w:p>
          <w:p w14:paraId="7CA699D2" w14:textId="4C5FD05C" w:rsidR="00EA2B1F" w:rsidRPr="0071735F" w:rsidRDefault="00EA2B1F" w:rsidP="00EA2B1F">
            <w:pPr>
              <w:spacing w:after="120"/>
              <w:jc w:val="both"/>
              <w:rPr>
                <w:rFonts w:ascii="Times New Roman" w:hAnsi="Times New Roman" w:cs="Times New Roman"/>
                <w:sz w:val="24"/>
                <w:szCs w:val="24"/>
                <w:lang w:val="ro-MD"/>
              </w:rPr>
            </w:pPr>
          </w:p>
        </w:tc>
      </w:tr>
      <w:tr w:rsidR="00B468B6" w:rsidRPr="0071735F" w14:paraId="3A2978D0" w14:textId="77777777" w:rsidTr="00125D3C">
        <w:trPr>
          <w:jc w:val="center"/>
        </w:trPr>
        <w:tc>
          <w:tcPr>
            <w:tcW w:w="5000" w:type="pct"/>
            <w:gridSpan w:val="2"/>
            <w:shd w:val="clear" w:color="auto" w:fill="auto"/>
            <w:tcMar>
              <w:top w:w="15" w:type="dxa"/>
              <w:left w:w="45" w:type="dxa"/>
              <w:bottom w:w="15" w:type="dxa"/>
              <w:right w:w="45" w:type="dxa"/>
            </w:tcMar>
          </w:tcPr>
          <w:p w14:paraId="16CC641D" w14:textId="05317FC6" w:rsidR="00AD1A52" w:rsidRPr="0071735F" w:rsidRDefault="00B468B6" w:rsidP="00DA5F81">
            <w:pPr>
              <w:spacing w:before="120" w:after="120"/>
              <w:rPr>
                <w:rFonts w:ascii="Times New Roman" w:eastAsia="Times New Roman" w:hAnsi="Times New Roman" w:cs="Times New Roman"/>
                <w:b/>
                <w:sz w:val="24"/>
                <w:szCs w:val="24"/>
                <w:lang w:val="ro-MD" w:eastAsia="ru-RU"/>
              </w:rPr>
            </w:pPr>
            <w:r w:rsidRPr="0071735F">
              <w:rPr>
                <w:rFonts w:ascii="Times New Roman" w:eastAsia="Times New Roman" w:hAnsi="Times New Roman" w:cs="Times New Roman"/>
                <w:b/>
                <w:bCs/>
                <w:sz w:val="24"/>
                <w:szCs w:val="24"/>
                <w:lang w:val="ro-MD" w:eastAsia="ru-RU"/>
              </w:rPr>
              <w:lastRenderedPageBreak/>
              <w:t>2. STABILIREA OBIECTIVELOR</w:t>
            </w:r>
          </w:p>
        </w:tc>
      </w:tr>
      <w:tr w:rsidR="00B468B6" w:rsidRPr="0071735F" w14:paraId="527B100A" w14:textId="77777777" w:rsidTr="00125D3C">
        <w:trPr>
          <w:jc w:val="center"/>
        </w:trPr>
        <w:tc>
          <w:tcPr>
            <w:tcW w:w="5000" w:type="pct"/>
            <w:gridSpan w:val="2"/>
            <w:shd w:val="clear" w:color="auto" w:fill="auto"/>
            <w:tcMar>
              <w:top w:w="15" w:type="dxa"/>
              <w:left w:w="45" w:type="dxa"/>
              <w:bottom w:w="15" w:type="dxa"/>
              <w:right w:w="45" w:type="dxa"/>
            </w:tcMar>
          </w:tcPr>
          <w:p w14:paraId="640C99F4" w14:textId="3812B498"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a) </w:t>
            </w:r>
            <w:r w:rsidR="00977C7C"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obiectivele (care trebuie să fie legate direct de problemă </w:t>
            </w:r>
            <w:r w:rsidR="00362FC5"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cauzele acesteia, formulate cuantificat, măsurabil, fixat în timp </w:t>
            </w:r>
            <w:r w:rsidR="00362FC5"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realist)</w:t>
            </w:r>
          </w:p>
        </w:tc>
      </w:tr>
      <w:tr w:rsidR="00B468B6" w:rsidRPr="00D22310" w14:paraId="6D8C4C0C" w14:textId="77777777" w:rsidTr="00125D3C">
        <w:trPr>
          <w:jc w:val="center"/>
        </w:trPr>
        <w:tc>
          <w:tcPr>
            <w:tcW w:w="5000" w:type="pct"/>
            <w:gridSpan w:val="2"/>
            <w:tcMar>
              <w:top w:w="15" w:type="dxa"/>
              <w:left w:w="45" w:type="dxa"/>
              <w:bottom w:w="15" w:type="dxa"/>
              <w:right w:w="45" w:type="dxa"/>
            </w:tcMar>
          </w:tcPr>
          <w:p w14:paraId="051BA0AB" w14:textId="4801602C" w:rsidR="0022783B" w:rsidRPr="0071735F" w:rsidRDefault="008A1105" w:rsidP="003A726E">
            <w:pPr>
              <w:tabs>
                <w:tab w:val="left" w:pos="514"/>
              </w:tabs>
              <w:suppressAutoHyphens/>
              <w:spacing w:before="60" w:after="0"/>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Obiectivele urmărite de proiectul de lege pentru modificare Legii 139/2018 sunt:</w:t>
            </w:r>
          </w:p>
          <w:p w14:paraId="77D3660D" w14:textId="5C143E5C" w:rsidR="008A1105" w:rsidRPr="0071735F" w:rsidRDefault="000742BA" w:rsidP="00D50E9C">
            <w:pPr>
              <w:pStyle w:val="ListParagraph"/>
              <w:numPr>
                <w:ilvl w:val="0"/>
                <w:numId w:val="33"/>
              </w:numPr>
              <w:tabs>
                <w:tab w:val="left" w:pos="51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stabilirea țintei de eficiență energetică pentru orizontul de timp 2030, în raport cu consumul de energie primară și finală;</w:t>
            </w:r>
          </w:p>
          <w:p w14:paraId="41BD63F9" w14:textId="6BAE7253" w:rsidR="00BA0F01" w:rsidRPr="0071735F" w:rsidRDefault="000742BA" w:rsidP="00D50E9C">
            <w:pPr>
              <w:pStyle w:val="ListParagraph"/>
              <w:numPr>
                <w:ilvl w:val="0"/>
                <w:numId w:val="33"/>
              </w:numPr>
              <w:tabs>
                <w:tab w:val="left" w:pos="51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stab</w:t>
            </w:r>
            <w:r w:rsidR="00BA0F01" w:rsidRPr="0071735F">
              <w:rPr>
                <w:rFonts w:ascii="Times New Roman" w:hAnsi="Times New Roman" w:cs="Times New Roman"/>
                <w:iCs/>
                <w:sz w:val="24"/>
                <w:szCs w:val="24"/>
                <w:lang w:val="ro-MD"/>
              </w:rPr>
              <w:t xml:space="preserve">ilirea obligației de elaborare a Planului Național Integrat </w:t>
            </w:r>
            <w:r w:rsidR="00D50E9C" w:rsidRPr="0071735F">
              <w:rPr>
                <w:rFonts w:ascii="Times New Roman" w:hAnsi="Times New Roman" w:cs="Times New Roman"/>
                <w:iCs/>
                <w:sz w:val="24"/>
                <w:szCs w:val="24"/>
                <w:lang w:val="ro-MD"/>
              </w:rPr>
              <w:t>pentru Energie și Climă, și aprobarea acestuia până la 30 iunie 2024</w:t>
            </w:r>
          </w:p>
          <w:p w14:paraId="130A42D0" w14:textId="1968C4E2" w:rsidR="00D50E9C" w:rsidRPr="0071735F" w:rsidRDefault="000742BA" w:rsidP="000742BA">
            <w:pPr>
              <w:pStyle w:val="ListParagraph"/>
              <w:numPr>
                <w:ilvl w:val="0"/>
                <w:numId w:val="33"/>
              </w:numPr>
              <w:tabs>
                <w:tab w:val="left" w:pos="51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 xml:space="preserve">stabilirea </w:t>
            </w:r>
            <w:r w:rsidR="005C3820" w:rsidRPr="0071735F">
              <w:rPr>
                <w:rFonts w:ascii="Times New Roman" w:hAnsi="Times New Roman" w:cs="Times New Roman"/>
                <w:iCs/>
                <w:sz w:val="24"/>
                <w:szCs w:val="24"/>
                <w:lang w:val="ro-MD"/>
              </w:rPr>
              <w:t xml:space="preserve">unei obligații de economii de energie noi anuale, de 0,8%/an pentru perioada </w:t>
            </w:r>
            <w:r w:rsidR="003C7FF8" w:rsidRPr="0071735F">
              <w:rPr>
                <w:rFonts w:ascii="Times New Roman" w:hAnsi="Times New Roman" w:cs="Times New Roman"/>
                <w:iCs/>
                <w:sz w:val="24"/>
                <w:szCs w:val="24"/>
                <w:lang w:val="ro-MD"/>
              </w:rPr>
              <w:t>2024-2030</w:t>
            </w:r>
          </w:p>
          <w:p w14:paraId="5870AE7D" w14:textId="0BC34006" w:rsidR="003C7FF8" w:rsidRPr="0071735F" w:rsidRDefault="000742BA" w:rsidP="006B2A37">
            <w:pPr>
              <w:pStyle w:val="ListParagraph"/>
              <w:numPr>
                <w:ilvl w:val="0"/>
                <w:numId w:val="33"/>
              </w:numPr>
              <w:tabs>
                <w:tab w:val="left" w:pos="58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 xml:space="preserve">stabilirea </w:t>
            </w:r>
            <w:r w:rsidR="003C7FF8" w:rsidRPr="0071735F">
              <w:rPr>
                <w:rFonts w:ascii="Times New Roman" w:hAnsi="Times New Roman" w:cs="Times New Roman"/>
                <w:iCs/>
                <w:sz w:val="24"/>
                <w:szCs w:val="24"/>
                <w:lang w:val="ro-MD"/>
              </w:rPr>
              <w:t xml:space="preserve">obligației de renovare a 3%/an în perioada 2024-2030 din suprafața clădirilor </w:t>
            </w:r>
            <w:r w:rsidRPr="0071735F">
              <w:rPr>
                <w:rFonts w:ascii="Times New Roman" w:hAnsi="Times New Roman" w:cs="Times New Roman"/>
                <w:iCs/>
                <w:sz w:val="24"/>
                <w:szCs w:val="24"/>
                <w:lang w:val="ro-MD"/>
              </w:rPr>
              <w:t>autorităților publice centrale</w:t>
            </w:r>
          </w:p>
          <w:p w14:paraId="082F3E76" w14:textId="37747570" w:rsidR="000742BA" w:rsidRPr="0071735F" w:rsidRDefault="0049032E" w:rsidP="006B2A37">
            <w:pPr>
              <w:pStyle w:val="ListParagraph"/>
              <w:numPr>
                <w:ilvl w:val="0"/>
                <w:numId w:val="33"/>
              </w:numPr>
              <w:tabs>
                <w:tab w:val="left" w:pos="58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 xml:space="preserve">actualizarea prevederilor și obligațiilor furnizorilor de energie </w:t>
            </w:r>
            <w:r w:rsidR="00397CA8" w:rsidRPr="0071735F">
              <w:rPr>
                <w:rFonts w:ascii="Times New Roman" w:hAnsi="Times New Roman" w:cs="Times New Roman"/>
                <w:iCs/>
                <w:sz w:val="24"/>
                <w:szCs w:val="24"/>
                <w:lang w:val="ro-MD"/>
              </w:rPr>
              <w:t>cu privire la instalarea contoarelor de energie electrică, gaze naturale, încălzire și răcire, apă caldă menajeră.</w:t>
            </w:r>
            <w:r w:rsidR="005B5D53" w:rsidRPr="0071735F">
              <w:rPr>
                <w:rFonts w:ascii="Times New Roman" w:hAnsi="Times New Roman" w:cs="Times New Roman"/>
                <w:iCs/>
                <w:sz w:val="24"/>
                <w:szCs w:val="24"/>
                <w:lang w:val="ro-MD"/>
              </w:rPr>
              <w:t xml:space="preserve"> Clarificarea situațiilor în care este obligatorie instalarea contoarelor inteligente, utilizarea repartitoarelor de costuri (pentru încălzire), utilizarea unor norme/ metodologii </w:t>
            </w:r>
            <w:r w:rsidR="006B2A37" w:rsidRPr="0071735F">
              <w:rPr>
                <w:rFonts w:ascii="Times New Roman" w:hAnsi="Times New Roman" w:cs="Times New Roman"/>
                <w:iCs/>
                <w:sz w:val="24"/>
                <w:szCs w:val="24"/>
                <w:lang w:val="ro-MD"/>
              </w:rPr>
              <w:t>transparente (încălzire și alimentarea cu ACM)</w:t>
            </w:r>
          </w:p>
          <w:p w14:paraId="09CA142B" w14:textId="625D73B0" w:rsidR="006B2A37" w:rsidRPr="0071735F" w:rsidRDefault="008018B3" w:rsidP="006B2A37">
            <w:pPr>
              <w:pStyle w:val="ListParagraph"/>
              <w:numPr>
                <w:ilvl w:val="0"/>
                <w:numId w:val="33"/>
              </w:numPr>
              <w:tabs>
                <w:tab w:val="left" w:pos="584"/>
              </w:tabs>
              <w:suppressAutoHyphens/>
              <w:spacing w:before="60" w:after="0"/>
              <w:ind w:left="494" w:hanging="134"/>
              <w:jc w:val="both"/>
              <w:rPr>
                <w:rFonts w:ascii="Times New Roman" w:hAnsi="Times New Roman" w:cs="Times New Roman"/>
                <w:iCs/>
                <w:sz w:val="24"/>
                <w:szCs w:val="24"/>
                <w:lang w:val="ro-MD"/>
              </w:rPr>
            </w:pPr>
            <w:r w:rsidRPr="0071735F">
              <w:rPr>
                <w:rFonts w:ascii="Times New Roman" w:hAnsi="Times New Roman" w:cs="Times New Roman"/>
                <w:iCs/>
                <w:sz w:val="24"/>
                <w:szCs w:val="24"/>
                <w:lang w:val="ro-MD"/>
              </w:rPr>
              <w:t xml:space="preserve">stabilirea obligațiilor </w:t>
            </w:r>
            <w:r w:rsidR="007E2DCA" w:rsidRPr="0071735F">
              <w:rPr>
                <w:rFonts w:ascii="Times New Roman" w:hAnsi="Times New Roman" w:cs="Times New Roman"/>
                <w:iCs/>
                <w:sz w:val="24"/>
                <w:szCs w:val="24"/>
                <w:lang w:val="ro-MD"/>
              </w:rPr>
              <w:t xml:space="preserve">pentru furnizorii de servicii de alimentare cu energie </w:t>
            </w:r>
            <w:r w:rsidRPr="0071735F">
              <w:rPr>
                <w:rFonts w:ascii="Times New Roman" w:hAnsi="Times New Roman" w:cs="Times New Roman"/>
                <w:iCs/>
                <w:sz w:val="24"/>
                <w:szCs w:val="24"/>
                <w:lang w:val="ro-MD"/>
              </w:rPr>
              <w:t xml:space="preserve">de facturare </w:t>
            </w:r>
            <w:r w:rsidR="00A32762" w:rsidRPr="0071735F">
              <w:rPr>
                <w:rFonts w:ascii="Times New Roman" w:hAnsi="Times New Roman" w:cs="Times New Roman"/>
                <w:iCs/>
                <w:sz w:val="24"/>
                <w:szCs w:val="24"/>
                <w:lang w:val="ro-MD"/>
              </w:rPr>
              <w:t xml:space="preserve">a consumului </w:t>
            </w:r>
            <w:r w:rsidRPr="0071735F">
              <w:rPr>
                <w:rFonts w:ascii="Times New Roman" w:hAnsi="Times New Roman" w:cs="Times New Roman"/>
                <w:iCs/>
                <w:sz w:val="24"/>
                <w:szCs w:val="24"/>
                <w:lang w:val="ro-MD"/>
              </w:rPr>
              <w:t>conform datelor reale ale contoarelor</w:t>
            </w:r>
            <w:r w:rsidR="00146928" w:rsidRPr="0071735F">
              <w:rPr>
                <w:rFonts w:ascii="Times New Roman" w:hAnsi="Times New Roman" w:cs="Times New Roman"/>
                <w:iCs/>
                <w:sz w:val="24"/>
                <w:szCs w:val="24"/>
                <w:lang w:val="ro-MD"/>
              </w:rPr>
              <w:t xml:space="preserve"> și repartitoarelor de costuri</w:t>
            </w:r>
            <w:r w:rsidRPr="0071735F">
              <w:rPr>
                <w:rFonts w:ascii="Times New Roman" w:hAnsi="Times New Roman" w:cs="Times New Roman"/>
                <w:iCs/>
                <w:sz w:val="24"/>
                <w:szCs w:val="24"/>
                <w:lang w:val="ro-MD"/>
              </w:rPr>
              <w:t xml:space="preserve">, </w:t>
            </w:r>
            <w:r w:rsidR="007E2DCA" w:rsidRPr="0071735F">
              <w:rPr>
                <w:rFonts w:ascii="Times New Roman" w:hAnsi="Times New Roman" w:cs="Times New Roman"/>
                <w:iCs/>
                <w:sz w:val="24"/>
                <w:szCs w:val="24"/>
                <w:lang w:val="ro-MD"/>
              </w:rPr>
              <w:t>și oferirea accesului la datele istorice</w:t>
            </w:r>
          </w:p>
          <w:p w14:paraId="46B37495" w14:textId="0FEF67C3" w:rsidR="00125D3C" w:rsidRPr="0071735F" w:rsidRDefault="00125D3C" w:rsidP="003A726E">
            <w:pPr>
              <w:tabs>
                <w:tab w:val="left" w:pos="514"/>
              </w:tabs>
              <w:suppressAutoHyphens/>
              <w:spacing w:before="60" w:after="0"/>
              <w:jc w:val="both"/>
              <w:rPr>
                <w:rFonts w:ascii="Times New Roman" w:hAnsi="Times New Roman" w:cs="Times New Roman"/>
                <w:iCs/>
                <w:sz w:val="24"/>
                <w:szCs w:val="24"/>
                <w:lang w:val="ro-MD"/>
              </w:rPr>
            </w:pPr>
          </w:p>
        </w:tc>
      </w:tr>
      <w:tr w:rsidR="00B468B6" w:rsidRPr="0071735F" w14:paraId="69D2534E" w14:textId="77777777" w:rsidTr="00125D3C">
        <w:trPr>
          <w:jc w:val="center"/>
        </w:trPr>
        <w:tc>
          <w:tcPr>
            <w:tcW w:w="5000" w:type="pct"/>
            <w:gridSpan w:val="2"/>
            <w:shd w:val="clear" w:color="auto" w:fill="auto"/>
            <w:tcMar>
              <w:top w:w="15" w:type="dxa"/>
              <w:left w:w="45" w:type="dxa"/>
              <w:bottom w:w="15" w:type="dxa"/>
              <w:right w:w="45" w:type="dxa"/>
            </w:tcMar>
          </w:tcPr>
          <w:p w14:paraId="3A4E52FC" w14:textId="6AE265A3" w:rsidR="00AD1A52" w:rsidRPr="0071735F" w:rsidRDefault="00B468B6" w:rsidP="00DA5F81">
            <w:pPr>
              <w:spacing w:before="120" w:after="120"/>
              <w:rPr>
                <w:rFonts w:ascii="Times New Roman" w:eastAsia="Times New Roman" w:hAnsi="Times New Roman" w:cs="Times New Roman"/>
                <w:b/>
                <w:sz w:val="24"/>
                <w:szCs w:val="24"/>
                <w:lang w:val="ro-MD" w:eastAsia="ru-RU"/>
              </w:rPr>
            </w:pPr>
            <w:r w:rsidRPr="0071735F">
              <w:rPr>
                <w:rFonts w:ascii="Times New Roman" w:eastAsia="Times New Roman" w:hAnsi="Times New Roman" w:cs="Times New Roman"/>
                <w:b/>
                <w:bCs/>
                <w:sz w:val="24"/>
                <w:szCs w:val="24"/>
                <w:lang w:val="ro-MD" w:eastAsia="ru-RU"/>
              </w:rPr>
              <w:t>3. IDENTIFICAREA OPȚIUNILOR</w:t>
            </w:r>
          </w:p>
        </w:tc>
      </w:tr>
      <w:tr w:rsidR="00B468B6" w:rsidRPr="0071735F" w14:paraId="6281F5E8" w14:textId="77777777" w:rsidTr="00125D3C">
        <w:trPr>
          <w:jc w:val="center"/>
        </w:trPr>
        <w:tc>
          <w:tcPr>
            <w:tcW w:w="5000" w:type="pct"/>
            <w:gridSpan w:val="2"/>
            <w:shd w:val="clear" w:color="auto" w:fill="auto"/>
            <w:tcMar>
              <w:top w:w="15" w:type="dxa"/>
              <w:left w:w="45" w:type="dxa"/>
              <w:bottom w:w="15" w:type="dxa"/>
              <w:right w:w="45" w:type="dxa"/>
            </w:tcMar>
          </w:tcPr>
          <w:p w14:paraId="44D2B54C" w14:textId="68AF2DF9"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a) </w:t>
            </w:r>
            <w:r w:rsidR="002C7FB0"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succint </w:t>
            </w:r>
            <w:r w:rsidR="002C7FB0" w:rsidRPr="0071735F">
              <w:rPr>
                <w:rFonts w:ascii="Times New Roman" w:eastAsia="Calibri" w:hAnsi="Times New Roman" w:cs="Times New Roman"/>
                <w:b/>
                <w:sz w:val="24"/>
                <w:szCs w:val="24"/>
                <w:lang w:val="ro-MD" w:eastAsia="en-GB"/>
              </w:rPr>
              <w:t>opțiunea</w:t>
            </w:r>
            <w:r w:rsidRPr="0071735F">
              <w:rPr>
                <w:rFonts w:ascii="Times New Roman" w:eastAsia="Calibri" w:hAnsi="Times New Roman" w:cs="Times New Roman"/>
                <w:b/>
                <w:sz w:val="24"/>
                <w:szCs w:val="24"/>
                <w:lang w:val="ro-MD" w:eastAsia="en-GB"/>
              </w:rPr>
              <w:t xml:space="preserve"> „a nu face nimic”, care presupune lipsa de </w:t>
            </w:r>
            <w:r w:rsidR="002C7FB0" w:rsidRPr="0071735F">
              <w:rPr>
                <w:rFonts w:ascii="Times New Roman" w:eastAsia="Calibri" w:hAnsi="Times New Roman" w:cs="Times New Roman"/>
                <w:b/>
                <w:sz w:val="24"/>
                <w:szCs w:val="24"/>
                <w:lang w:val="ro-MD" w:eastAsia="en-GB"/>
              </w:rPr>
              <w:t>intervenție</w:t>
            </w:r>
          </w:p>
        </w:tc>
      </w:tr>
      <w:tr w:rsidR="00B468B6" w:rsidRPr="00D22310" w14:paraId="223214A2" w14:textId="77777777" w:rsidTr="00125D3C">
        <w:trPr>
          <w:jc w:val="center"/>
        </w:trPr>
        <w:tc>
          <w:tcPr>
            <w:tcW w:w="5000" w:type="pct"/>
            <w:gridSpan w:val="2"/>
            <w:tcMar>
              <w:top w:w="15" w:type="dxa"/>
              <w:left w:w="45" w:type="dxa"/>
              <w:bottom w:w="15" w:type="dxa"/>
              <w:right w:w="45" w:type="dxa"/>
            </w:tcMar>
          </w:tcPr>
          <w:p w14:paraId="7E4CB308" w14:textId="76009944" w:rsidR="00586CA2" w:rsidRPr="0071735F" w:rsidRDefault="00761E80" w:rsidP="00CC37B2">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Opțiunea „a nu face nimic” </w:t>
            </w:r>
            <w:r w:rsidR="00CC37B2" w:rsidRPr="0071735F">
              <w:rPr>
                <w:rFonts w:ascii="Times New Roman" w:eastAsia="Batang" w:hAnsi="Times New Roman" w:cs="Times New Roman"/>
                <w:bCs/>
                <w:sz w:val="24"/>
                <w:szCs w:val="24"/>
                <w:lang w:val="ro-MD" w:eastAsia="ja-JP"/>
              </w:rPr>
              <w:t>presupune</w:t>
            </w:r>
            <w:r w:rsidRPr="0071735F">
              <w:rPr>
                <w:rFonts w:ascii="Times New Roman" w:eastAsia="Batang" w:hAnsi="Times New Roman" w:cs="Times New Roman"/>
                <w:bCs/>
                <w:sz w:val="24"/>
                <w:szCs w:val="24"/>
                <w:lang w:val="ro-MD" w:eastAsia="ja-JP"/>
              </w:rPr>
              <w:t xml:space="preserve"> </w:t>
            </w:r>
            <w:r w:rsidR="00E246A1" w:rsidRPr="0071735F">
              <w:rPr>
                <w:rFonts w:ascii="Times New Roman" w:eastAsia="Batang" w:hAnsi="Times New Roman" w:cs="Times New Roman"/>
                <w:bCs/>
                <w:sz w:val="24"/>
                <w:szCs w:val="24"/>
                <w:lang w:val="ro-MD" w:eastAsia="ja-JP"/>
              </w:rPr>
              <w:t xml:space="preserve">păstrarea în vigoare a prevederilor </w:t>
            </w:r>
            <w:r w:rsidR="00586CA2" w:rsidRPr="0071735F">
              <w:rPr>
                <w:rFonts w:ascii="Times New Roman" w:eastAsia="Batang" w:hAnsi="Times New Roman" w:cs="Times New Roman"/>
                <w:bCs/>
                <w:sz w:val="24"/>
                <w:szCs w:val="24"/>
                <w:lang w:val="ro-MD" w:eastAsia="ja-JP"/>
              </w:rPr>
              <w:t>Legii 139/2018 cu privire la eficiența energetică.</w:t>
            </w:r>
            <w:r w:rsidR="00353D94" w:rsidRPr="0071735F">
              <w:rPr>
                <w:rFonts w:ascii="Times New Roman" w:eastAsia="Batang" w:hAnsi="Times New Roman" w:cs="Times New Roman"/>
                <w:bCs/>
                <w:sz w:val="24"/>
                <w:szCs w:val="24"/>
                <w:lang w:val="ro-MD" w:eastAsia="ja-JP"/>
              </w:rPr>
              <w:t xml:space="preserve"> Prin urmare, într-un astfel de scenariu</w:t>
            </w:r>
            <w:r w:rsidR="00D32127" w:rsidRPr="0071735F">
              <w:rPr>
                <w:rFonts w:ascii="Times New Roman" w:eastAsia="Batang" w:hAnsi="Times New Roman" w:cs="Times New Roman"/>
                <w:bCs/>
                <w:sz w:val="24"/>
                <w:szCs w:val="24"/>
                <w:lang w:val="ro-MD" w:eastAsia="ja-JP"/>
              </w:rPr>
              <w:t>, vor avea loc următoarele:</w:t>
            </w:r>
          </w:p>
          <w:p w14:paraId="2F899879" w14:textId="10E7C05D" w:rsidR="00D32127" w:rsidRPr="0071735F" w:rsidRDefault="00D32127"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Republica Moldova nu are un obiectiv/ țintă pentru sectorul „eficiență energetică”</w:t>
            </w:r>
            <w:r w:rsidR="00007B38" w:rsidRPr="0071735F">
              <w:rPr>
                <w:rFonts w:ascii="Times New Roman" w:eastAsia="Batang" w:hAnsi="Times New Roman" w:cs="Times New Roman"/>
                <w:bCs/>
                <w:sz w:val="24"/>
                <w:szCs w:val="24"/>
                <w:lang w:val="ro-MD" w:eastAsia="ja-JP"/>
              </w:rPr>
              <w:t xml:space="preserve"> pentru orizontul de timp 2030;</w:t>
            </w:r>
          </w:p>
          <w:p w14:paraId="25CB58B3" w14:textId="464C3A03" w:rsidR="00007B38" w:rsidRPr="0071735F" w:rsidRDefault="00007B38"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lastRenderedPageBreak/>
              <w:t>Obligația de elaborare și aprobare a Planului Național Integrat privind Energia și Clima lipsește;</w:t>
            </w:r>
          </w:p>
          <w:p w14:paraId="755A4EF7" w14:textId="7A4E61F5" w:rsidR="00007B38" w:rsidRPr="0071735F" w:rsidRDefault="00DF0B84"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Obligația cu privire la generarea unor economii noi de energie </w:t>
            </w:r>
            <w:r w:rsidR="005A3C38" w:rsidRPr="0071735F">
              <w:rPr>
                <w:rFonts w:ascii="Times New Roman" w:eastAsia="Batang" w:hAnsi="Times New Roman" w:cs="Times New Roman"/>
                <w:bCs/>
                <w:sz w:val="24"/>
                <w:szCs w:val="24"/>
                <w:lang w:val="ro-MD" w:eastAsia="ja-JP"/>
              </w:rPr>
              <w:t>în fiecare an, va lipsi</w:t>
            </w:r>
            <w:r w:rsidR="00D15965" w:rsidRPr="0071735F">
              <w:rPr>
                <w:rFonts w:ascii="Times New Roman" w:eastAsia="Batang" w:hAnsi="Times New Roman" w:cs="Times New Roman"/>
                <w:bCs/>
                <w:sz w:val="24"/>
                <w:szCs w:val="24"/>
                <w:lang w:val="ro-MD" w:eastAsia="ja-JP"/>
              </w:rPr>
              <w:t>;</w:t>
            </w:r>
          </w:p>
          <w:p w14:paraId="2C110092" w14:textId="5F25292B" w:rsidR="00D15965" w:rsidRPr="0071735F" w:rsidRDefault="00D15965"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Angajamentul statului de a renova 3% din suprafața clădirilor deținute de autoritățile administrației publice centrale</w:t>
            </w:r>
            <w:r w:rsidR="00BB03F7" w:rsidRPr="0071735F">
              <w:rPr>
                <w:rFonts w:ascii="Times New Roman" w:eastAsia="Batang" w:hAnsi="Times New Roman" w:cs="Times New Roman"/>
                <w:bCs/>
                <w:sz w:val="24"/>
                <w:szCs w:val="24"/>
                <w:lang w:val="ro-MD" w:eastAsia="ja-JP"/>
              </w:rPr>
              <w:t xml:space="preserve"> și de a promova rolul exemplar al statului în acest domeniu</w:t>
            </w:r>
            <w:r w:rsidR="00127908" w:rsidRPr="0071735F">
              <w:rPr>
                <w:rFonts w:ascii="Times New Roman" w:eastAsia="Batang" w:hAnsi="Times New Roman" w:cs="Times New Roman"/>
                <w:bCs/>
                <w:sz w:val="24"/>
                <w:szCs w:val="24"/>
                <w:lang w:val="ro-MD" w:eastAsia="ja-JP"/>
              </w:rPr>
              <w:t>, ar lipsi</w:t>
            </w:r>
          </w:p>
          <w:p w14:paraId="5DC4FCAC" w14:textId="17E176D3" w:rsidR="00D32127" w:rsidRDefault="005D7637"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Obligația ca utilizatorii finali </w:t>
            </w:r>
            <w:r w:rsidR="00C82452" w:rsidRPr="0071735F">
              <w:rPr>
                <w:rFonts w:ascii="Times New Roman" w:eastAsia="Batang" w:hAnsi="Times New Roman" w:cs="Times New Roman"/>
                <w:bCs/>
                <w:sz w:val="24"/>
                <w:szCs w:val="24"/>
                <w:lang w:val="ro-MD" w:eastAsia="ja-JP"/>
              </w:rPr>
              <w:t>să primească</w:t>
            </w:r>
            <w:r w:rsidRPr="0071735F">
              <w:rPr>
                <w:rFonts w:ascii="Times New Roman" w:eastAsia="Batang" w:hAnsi="Times New Roman" w:cs="Times New Roman"/>
                <w:bCs/>
                <w:sz w:val="24"/>
                <w:szCs w:val="24"/>
                <w:lang w:val="ro-MD" w:eastAsia="ja-JP"/>
              </w:rPr>
              <w:t>, în mod gratuit, toate facturile și toate informațiile privind facturarea pentru consumul de energie, precum și c</w:t>
            </w:r>
            <w:r w:rsidR="00C82452" w:rsidRPr="0071735F">
              <w:rPr>
                <w:rFonts w:ascii="Times New Roman" w:eastAsia="Batang" w:hAnsi="Times New Roman" w:cs="Times New Roman"/>
                <w:bCs/>
                <w:sz w:val="24"/>
                <w:szCs w:val="24"/>
                <w:lang w:val="ro-MD" w:eastAsia="ja-JP"/>
              </w:rPr>
              <w:t>a</w:t>
            </w:r>
            <w:r w:rsidRPr="0071735F">
              <w:rPr>
                <w:rFonts w:ascii="Times New Roman" w:eastAsia="Batang" w:hAnsi="Times New Roman" w:cs="Times New Roman"/>
                <w:bCs/>
                <w:sz w:val="24"/>
                <w:szCs w:val="24"/>
                <w:lang w:val="ro-MD" w:eastAsia="ja-JP"/>
              </w:rPr>
              <w:t xml:space="preserve"> utilizatorii finali </w:t>
            </w:r>
            <w:r w:rsidR="00C82452" w:rsidRPr="0071735F">
              <w:rPr>
                <w:rFonts w:ascii="Times New Roman" w:eastAsia="Batang" w:hAnsi="Times New Roman" w:cs="Times New Roman"/>
                <w:bCs/>
                <w:sz w:val="24"/>
                <w:szCs w:val="24"/>
                <w:lang w:val="ro-MD" w:eastAsia="ja-JP"/>
              </w:rPr>
              <w:t xml:space="preserve">să aibă </w:t>
            </w:r>
            <w:r w:rsidRPr="0071735F">
              <w:rPr>
                <w:rFonts w:ascii="Times New Roman" w:eastAsia="Batang" w:hAnsi="Times New Roman" w:cs="Times New Roman"/>
                <w:bCs/>
                <w:sz w:val="24"/>
                <w:szCs w:val="24"/>
                <w:lang w:val="ro-MD" w:eastAsia="ja-JP"/>
              </w:rPr>
              <w:t>acces în mod adecvat și gratuit la datele privind propriul consum</w:t>
            </w:r>
            <w:r w:rsidR="00C82452" w:rsidRPr="0071735F">
              <w:rPr>
                <w:rFonts w:ascii="Times New Roman" w:eastAsia="Batang" w:hAnsi="Times New Roman" w:cs="Times New Roman"/>
                <w:bCs/>
                <w:sz w:val="24"/>
                <w:szCs w:val="24"/>
                <w:lang w:val="ro-MD" w:eastAsia="ja-JP"/>
              </w:rPr>
              <w:t xml:space="preserve"> va lipsi (de precizat </w:t>
            </w:r>
            <w:r w:rsidR="00EB272E" w:rsidRPr="0071735F">
              <w:rPr>
                <w:rFonts w:ascii="Times New Roman" w:eastAsia="Batang" w:hAnsi="Times New Roman" w:cs="Times New Roman"/>
                <w:bCs/>
                <w:sz w:val="24"/>
                <w:szCs w:val="24"/>
                <w:lang w:val="ro-MD" w:eastAsia="ja-JP"/>
              </w:rPr>
              <w:t xml:space="preserve">dreptul furnizorilor de </w:t>
            </w:r>
            <w:r w:rsidR="004F12BE" w:rsidRPr="0071735F">
              <w:rPr>
                <w:rFonts w:ascii="Times New Roman" w:eastAsia="Batang" w:hAnsi="Times New Roman" w:cs="Times New Roman"/>
                <w:bCs/>
                <w:sz w:val="24"/>
                <w:szCs w:val="24"/>
                <w:lang w:val="ro-MD" w:eastAsia="ja-JP"/>
              </w:rPr>
              <w:t>a repartiza costurilor aferente informațiilor privind facturarea pentru consumul individual de încălzire, răcire și apă caldă menajeră în clădirile cu mai multe apartamente și clădirile mixte, fără scop lucrativ</w:t>
            </w:r>
            <w:r w:rsidR="00C82452" w:rsidRPr="0071735F">
              <w:rPr>
                <w:rFonts w:ascii="Times New Roman" w:eastAsia="Batang" w:hAnsi="Times New Roman" w:cs="Times New Roman"/>
                <w:bCs/>
                <w:sz w:val="24"/>
                <w:szCs w:val="24"/>
                <w:lang w:val="ro-MD" w:eastAsia="ja-JP"/>
              </w:rPr>
              <w:t>)</w:t>
            </w:r>
          </w:p>
          <w:p w14:paraId="3F984303" w14:textId="49C2EDE5" w:rsidR="0016393E" w:rsidRPr="0071735F" w:rsidRDefault="0016393E" w:rsidP="00D32127">
            <w:pPr>
              <w:pStyle w:val="ListParagraph"/>
              <w:numPr>
                <w:ilvl w:val="0"/>
                <w:numId w:val="33"/>
              </w:numPr>
              <w:tabs>
                <w:tab w:val="left" w:pos="1418"/>
              </w:tabs>
              <w:spacing w:after="60"/>
              <w:jc w:val="both"/>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Incalcarea obligatiilor asumate prin semnarea Tratatului Comunitatii Energetice</w:t>
            </w:r>
          </w:p>
          <w:p w14:paraId="2EC3A232" w14:textId="794C7EFB" w:rsidR="00A01E08" w:rsidRPr="0071735F" w:rsidRDefault="00A01E08" w:rsidP="00762E3B">
            <w:pPr>
              <w:tabs>
                <w:tab w:val="left" w:pos="1418"/>
              </w:tabs>
              <w:spacing w:after="60"/>
              <w:jc w:val="both"/>
              <w:rPr>
                <w:rFonts w:ascii="Times New Roman" w:eastAsia="Batang" w:hAnsi="Times New Roman" w:cs="Times New Roman"/>
                <w:bCs/>
                <w:sz w:val="24"/>
                <w:szCs w:val="24"/>
                <w:lang w:val="ro-MD" w:eastAsia="ja-JP"/>
              </w:rPr>
            </w:pPr>
          </w:p>
        </w:tc>
      </w:tr>
      <w:tr w:rsidR="00B468B6" w:rsidRPr="00D22310" w14:paraId="36156785" w14:textId="77777777" w:rsidTr="00125D3C">
        <w:trPr>
          <w:jc w:val="center"/>
        </w:trPr>
        <w:tc>
          <w:tcPr>
            <w:tcW w:w="5000" w:type="pct"/>
            <w:gridSpan w:val="2"/>
            <w:shd w:val="clear" w:color="auto" w:fill="auto"/>
            <w:tcMar>
              <w:top w:w="15" w:type="dxa"/>
              <w:left w:w="45" w:type="dxa"/>
              <w:bottom w:w="15" w:type="dxa"/>
              <w:right w:w="45" w:type="dxa"/>
            </w:tcMar>
          </w:tcPr>
          <w:p w14:paraId="764E54BA" w14:textId="2B1620FC"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b) </w:t>
            </w:r>
            <w:r w:rsidR="006C182E"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principalele prevederi ale proiectului, cu impact, </w:t>
            </w:r>
            <w:r w:rsidR="00154177" w:rsidRPr="0071735F">
              <w:rPr>
                <w:rFonts w:ascii="Times New Roman" w:eastAsia="Calibri" w:hAnsi="Times New Roman" w:cs="Times New Roman"/>
                <w:b/>
                <w:sz w:val="24"/>
                <w:szCs w:val="24"/>
                <w:lang w:val="ro-MD" w:eastAsia="en-GB"/>
              </w:rPr>
              <w:t>explicând</w:t>
            </w:r>
            <w:r w:rsidRPr="0071735F">
              <w:rPr>
                <w:rFonts w:ascii="Times New Roman" w:eastAsia="Calibri" w:hAnsi="Times New Roman" w:cs="Times New Roman"/>
                <w:b/>
                <w:sz w:val="24"/>
                <w:szCs w:val="24"/>
                <w:lang w:val="ro-MD" w:eastAsia="en-GB"/>
              </w:rPr>
              <w:t xml:space="preserve"> cum acestea </w:t>
            </w:r>
            <w:r w:rsidR="00154177" w:rsidRPr="0071735F">
              <w:rPr>
                <w:rFonts w:ascii="Times New Roman" w:eastAsia="Calibri" w:hAnsi="Times New Roman" w:cs="Times New Roman"/>
                <w:b/>
                <w:sz w:val="24"/>
                <w:szCs w:val="24"/>
                <w:lang w:val="ro-MD" w:eastAsia="en-GB"/>
              </w:rPr>
              <w:t>țintesc</w:t>
            </w:r>
            <w:r w:rsidRPr="0071735F">
              <w:rPr>
                <w:rFonts w:ascii="Times New Roman" w:eastAsia="Calibri" w:hAnsi="Times New Roman" w:cs="Times New Roman"/>
                <w:b/>
                <w:sz w:val="24"/>
                <w:szCs w:val="24"/>
                <w:lang w:val="ro-MD" w:eastAsia="en-GB"/>
              </w:rPr>
              <w:t xml:space="preserve"> cauzele problemei, cu indicarea </w:t>
            </w:r>
            <w:r w:rsidR="00154177" w:rsidRPr="0071735F">
              <w:rPr>
                <w:rFonts w:ascii="Times New Roman" w:eastAsia="Calibri" w:hAnsi="Times New Roman" w:cs="Times New Roman"/>
                <w:b/>
                <w:sz w:val="24"/>
                <w:szCs w:val="24"/>
                <w:lang w:val="ro-MD" w:eastAsia="en-GB"/>
              </w:rPr>
              <w:t>novațiilor</w:t>
            </w:r>
            <w:r w:rsidRPr="0071735F">
              <w:rPr>
                <w:rFonts w:ascii="Times New Roman" w:eastAsia="Calibri" w:hAnsi="Times New Roman" w:cs="Times New Roman"/>
                <w:b/>
                <w:sz w:val="24"/>
                <w:szCs w:val="24"/>
                <w:lang w:val="ro-MD" w:eastAsia="en-GB"/>
              </w:rPr>
              <w:t xml:space="preserve"> </w:t>
            </w:r>
            <w:r w:rsidR="00154177"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întregului spectru de </w:t>
            </w:r>
            <w:r w:rsidR="00154177" w:rsidRPr="0071735F">
              <w:rPr>
                <w:rFonts w:ascii="Times New Roman" w:eastAsia="Calibri" w:hAnsi="Times New Roman" w:cs="Times New Roman"/>
                <w:b/>
                <w:sz w:val="24"/>
                <w:szCs w:val="24"/>
                <w:lang w:val="ro-MD" w:eastAsia="en-GB"/>
              </w:rPr>
              <w:t>soluții</w:t>
            </w:r>
            <w:r w:rsidRPr="0071735F">
              <w:rPr>
                <w:rFonts w:ascii="Times New Roman" w:eastAsia="Calibri" w:hAnsi="Times New Roman" w:cs="Times New Roman"/>
                <w:b/>
                <w:sz w:val="24"/>
                <w:szCs w:val="24"/>
                <w:lang w:val="ro-MD" w:eastAsia="en-GB"/>
              </w:rPr>
              <w:t>/drepturi/</w:t>
            </w:r>
            <w:r w:rsidR="00154177" w:rsidRPr="0071735F">
              <w:rPr>
                <w:rFonts w:ascii="Times New Roman" w:eastAsia="Calibri" w:hAnsi="Times New Roman" w:cs="Times New Roman"/>
                <w:b/>
                <w:sz w:val="24"/>
                <w:szCs w:val="24"/>
                <w:lang w:val="ro-MD" w:eastAsia="en-GB"/>
              </w:rPr>
              <w:t>obligații</w:t>
            </w:r>
            <w:r w:rsidRPr="0071735F">
              <w:rPr>
                <w:rFonts w:ascii="Times New Roman" w:eastAsia="Calibri" w:hAnsi="Times New Roman" w:cs="Times New Roman"/>
                <w:b/>
                <w:sz w:val="24"/>
                <w:szCs w:val="24"/>
                <w:lang w:val="ro-MD" w:eastAsia="en-GB"/>
              </w:rPr>
              <w:t xml:space="preserve"> ce se doresc să fie aprobate</w:t>
            </w:r>
            <w:r w:rsidR="00631D93" w:rsidRPr="0071735F">
              <w:rPr>
                <w:rFonts w:ascii="Times New Roman" w:eastAsia="Calibri" w:hAnsi="Times New Roman" w:cs="Times New Roman"/>
                <w:b/>
                <w:sz w:val="24"/>
                <w:szCs w:val="24"/>
                <w:lang w:val="ro-MD" w:eastAsia="en-GB"/>
              </w:rPr>
              <w:t>.</w:t>
            </w:r>
          </w:p>
        </w:tc>
      </w:tr>
      <w:tr w:rsidR="00B468B6" w:rsidRPr="00D22310" w14:paraId="1D80E1C2" w14:textId="77777777" w:rsidTr="00125D3C">
        <w:trPr>
          <w:trHeight w:val="783"/>
          <w:jc w:val="center"/>
        </w:trPr>
        <w:tc>
          <w:tcPr>
            <w:tcW w:w="5000" w:type="pct"/>
            <w:gridSpan w:val="2"/>
            <w:tcMar>
              <w:top w:w="15" w:type="dxa"/>
              <w:left w:w="45" w:type="dxa"/>
              <w:bottom w:w="15" w:type="dxa"/>
              <w:right w:w="45" w:type="dxa"/>
            </w:tcMar>
          </w:tcPr>
          <w:p w14:paraId="1BEB8576" w14:textId="2D78B984" w:rsidR="00862A73" w:rsidRPr="0071735F" w:rsidRDefault="002B1890" w:rsidP="0019454A">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Mai jos </w:t>
            </w:r>
            <w:r w:rsidR="0019454A" w:rsidRPr="0071735F">
              <w:rPr>
                <w:rFonts w:ascii="Times New Roman" w:eastAsia="Batang" w:hAnsi="Times New Roman" w:cs="Times New Roman"/>
                <w:bCs/>
                <w:sz w:val="24"/>
                <w:szCs w:val="24"/>
                <w:lang w:val="ro-MD" w:eastAsia="ja-JP"/>
              </w:rPr>
              <w:t xml:space="preserve">sunt prezentate prevederile proiectului de lege ce vin să răspundă la problematicile </w:t>
            </w:r>
            <w:r w:rsidR="00F83FA6" w:rsidRPr="0071735F">
              <w:rPr>
                <w:rFonts w:ascii="Times New Roman" w:eastAsia="Batang" w:hAnsi="Times New Roman" w:cs="Times New Roman"/>
                <w:bCs/>
                <w:sz w:val="24"/>
                <w:szCs w:val="24"/>
                <w:lang w:val="ro-MD" w:eastAsia="ja-JP"/>
              </w:rPr>
              <w:t>identificate, și anume:</w:t>
            </w:r>
          </w:p>
          <w:p w14:paraId="0B71BF58" w14:textId="3F17D17E" w:rsidR="00F83FA6" w:rsidRPr="0071735F" w:rsidRDefault="00CC0886" w:rsidP="00CC0886">
            <w:pPr>
              <w:pStyle w:val="ListParagraph"/>
              <w:numPr>
                <w:ilvl w:val="0"/>
                <w:numId w:val="31"/>
              </w:num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Lipsa țintei de eficiență energetică</w:t>
            </w:r>
            <w:r w:rsidR="00707BA1" w:rsidRPr="0071735F">
              <w:rPr>
                <w:rFonts w:ascii="Times New Roman" w:eastAsia="Batang" w:hAnsi="Times New Roman" w:cs="Times New Roman"/>
                <w:bCs/>
                <w:sz w:val="24"/>
                <w:szCs w:val="24"/>
                <w:lang w:val="ro-MD" w:eastAsia="ja-JP"/>
              </w:rPr>
              <w:t xml:space="preserve"> pentru anul 2030</w:t>
            </w:r>
          </w:p>
          <w:p w14:paraId="49694CFA" w14:textId="77777777" w:rsidR="00205C43" w:rsidRPr="0071735F" w:rsidRDefault="00707BA1" w:rsidP="00707BA1">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Proiectul de lege va preciza în capitolul </w:t>
            </w:r>
            <w:r w:rsidR="00763180" w:rsidRPr="0071735F">
              <w:rPr>
                <w:rFonts w:ascii="Times New Roman" w:eastAsia="Batang" w:hAnsi="Times New Roman" w:cs="Times New Roman"/>
                <w:bCs/>
                <w:sz w:val="24"/>
                <w:szCs w:val="24"/>
                <w:lang w:val="ro-MD" w:eastAsia="ja-JP"/>
              </w:rPr>
              <w:t xml:space="preserve">VIII Dispoziții finale și tranzitorii, art. 30, </w:t>
            </w:r>
            <w:r w:rsidR="00EA434F" w:rsidRPr="0071735F">
              <w:rPr>
                <w:rFonts w:ascii="Times New Roman" w:eastAsia="Batang" w:hAnsi="Times New Roman" w:cs="Times New Roman"/>
                <w:bCs/>
                <w:sz w:val="24"/>
                <w:szCs w:val="24"/>
                <w:lang w:val="ro-MD" w:eastAsia="ja-JP"/>
              </w:rPr>
              <w:t>alin. (1) care este obiectivul național în domeniul eficienței energetice, fiind respectat</w:t>
            </w:r>
            <w:r w:rsidR="00847180" w:rsidRPr="0071735F">
              <w:rPr>
                <w:rFonts w:ascii="Times New Roman" w:eastAsia="Batang" w:hAnsi="Times New Roman" w:cs="Times New Roman"/>
                <w:bCs/>
                <w:sz w:val="24"/>
                <w:szCs w:val="24"/>
                <w:lang w:val="ro-MD" w:eastAsia="ja-JP"/>
              </w:rPr>
              <w:t xml:space="preserve">ă cerința UE față de stabilirea acesteia. Astfel, </w:t>
            </w:r>
            <w:r w:rsidR="004A6AAC" w:rsidRPr="0071735F">
              <w:rPr>
                <w:rFonts w:ascii="Times New Roman" w:eastAsia="Batang" w:hAnsi="Times New Roman" w:cs="Times New Roman"/>
                <w:bCs/>
                <w:sz w:val="24"/>
                <w:szCs w:val="24"/>
                <w:lang w:val="ro-MD" w:eastAsia="ja-JP"/>
              </w:rPr>
              <w:t>obiectivul pentru anul 2030 va presupune că consumul de en</w:t>
            </w:r>
            <w:r w:rsidR="00830FCB" w:rsidRPr="0071735F">
              <w:rPr>
                <w:rFonts w:ascii="Times New Roman" w:eastAsia="Batang" w:hAnsi="Times New Roman" w:cs="Times New Roman"/>
                <w:bCs/>
                <w:sz w:val="24"/>
                <w:szCs w:val="24"/>
                <w:lang w:val="ro-MD" w:eastAsia="ja-JP"/>
              </w:rPr>
              <w:t xml:space="preserve">ergie primară </w:t>
            </w:r>
            <w:r w:rsidR="000124B6" w:rsidRPr="0071735F">
              <w:rPr>
                <w:rFonts w:ascii="Times New Roman" w:eastAsia="Batang" w:hAnsi="Times New Roman" w:cs="Times New Roman"/>
                <w:bCs/>
                <w:sz w:val="24"/>
                <w:szCs w:val="24"/>
                <w:lang w:val="ro-MD" w:eastAsia="ja-JP"/>
              </w:rPr>
              <w:t xml:space="preserve">și cel de energie finală </w:t>
            </w:r>
            <w:r w:rsidR="00830FCB" w:rsidRPr="0071735F">
              <w:rPr>
                <w:rFonts w:ascii="Times New Roman" w:eastAsia="Batang" w:hAnsi="Times New Roman" w:cs="Times New Roman"/>
                <w:bCs/>
                <w:sz w:val="24"/>
                <w:szCs w:val="24"/>
                <w:lang w:val="ro-MD" w:eastAsia="ja-JP"/>
              </w:rPr>
              <w:t>nu v</w:t>
            </w:r>
            <w:r w:rsidR="000124B6" w:rsidRPr="0071735F">
              <w:rPr>
                <w:rFonts w:ascii="Times New Roman" w:eastAsia="Batang" w:hAnsi="Times New Roman" w:cs="Times New Roman"/>
                <w:bCs/>
                <w:sz w:val="24"/>
                <w:szCs w:val="24"/>
                <w:lang w:val="ro-MD" w:eastAsia="ja-JP"/>
              </w:rPr>
              <w:t>or</w:t>
            </w:r>
            <w:r w:rsidR="00830FCB" w:rsidRPr="0071735F">
              <w:rPr>
                <w:rFonts w:ascii="Times New Roman" w:eastAsia="Batang" w:hAnsi="Times New Roman" w:cs="Times New Roman"/>
                <w:bCs/>
                <w:sz w:val="24"/>
                <w:szCs w:val="24"/>
                <w:lang w:val="ro-MD" w:eastAsia="ja-JP"/>
              </w:rPr>
              <w:t xml:space="preserve"> depăși o </w:t>
            </w:r>
            <w:r w:rsidR="000124B6" w:rsidRPr="0071735F">
              <w:rPr>
                <w:rFonts w:ascii="Times New Roman" w:eastAsia="Batang" w:hAnsi="Times New Roman" w:cs="Times New Roman"/>
                <w:bCs/>
                <w:sz w:val="24"/>
                <w:szCs w:val="24"/>
                <w:lang w:val="ro-MD" w:eastAsia="ja-JP"/>
              </w:rPr>
              <w:t xml:space="preserve">anumită </w:t>
            </w:r>
            <w:r w:rsidR="00830FCB" w:rsidRPr="0071735F">
              <w:rPr>
                <w:rFonts w:ascii="Times New Roman" w:eastAsia="Batang" w:hAnsi="Times New Roman" w:cs="Times New Roman"/>
                <w:bCs/>
                <w:sz w:val="24"/>
                <w:szCs w:val="24"/>
                <w:lang w:val="ro-MD" w:eastAsia="ja-JP"/>
              </w:rPr>
              <w:t>valoare absolută</w:t>
            </w:r>
            <w:r w:rsidR="000124B6" w:rsidRPr="0071735F">
              <w:rPr>
                <w:rFonts w:ascii="Times New Roman" w:eastAsia="Batang" w:hAnsi="Times New Roman" w:cs="Times New Roman"/>
                <w:bCs/>
                <w:sz w:val="24"/>
                <w:szCs w:val="24"/>
                <w:lang w:val="ro-MD" w:eastAsia="ja-JP"/>
              </w:rPr>
              <w:t xml:space="preserve">/ prag. </w:t>
            </w:r>
          </w:p>
          <w:p w14:paraId="00B4F43F" w14:textId="6A710616" w:rsidR="006C0949" w:rsidRPr="0071735F" w:rsidRDefault="00205C43" w:rsidP="00205C43">
            <w:pPr>
              <w:pStyle w:val="ListParagraph"/>
              <w:numPr>
                <w:ilvl w:val="0"/>
                <w:numId w:val="31"/>
              </w:num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Lipsa obligației de elaborare și aprobare a Planului Național Integrat </w:t>
            </w:r>
            <w:r w:rsidR="006C0949" w:rsidRPr="0071735F">
              <w:rPr>
                <w:rFonts w:ascii="Times New Roman" w:eastAsia="Batang" w:hAnsi="Times New Roman" w:cs="Times New Roman"/>
                <w:bCs/>
                <w:sz w:val="24"/>
                <w:szCs w:val="24"/>
                <w:lang w:val="ro-MD" w:eastAsia="ja-JP"/>
              </w:rPr>
              <w:t>pentru Energie și Climă</w:t>
            </w:r>
          </w:p>
          <w:p w14:paraId="0FCC9AD4" w14:textId="7090ACEF" w:rsidR="00707BA1" w:rsidRPr="0071735F" w:rsidRDefault="00844D58" w:rsidP="006C0949">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Se propune ca art. 9</w:t>
            </w:r>
            <w:r w:rsidR="00355D11" w:rsidRPr="0071735F">
              <w:rPr>
                <w:rFonts w:ascii="Times New Roman" w:eastAsia="Batang" w:hAnsi="Times New Roman" w:cs="Times New Roman"/>
                <w:bCs/>
                <w:sz w:val="24"/>
                <w:szCs w:val="24"/>
                <w:lang w:val="ro-MD" w:eastAsia="ja-JP"/>
              </w:rPr>
              <w:t xml:space="preserve"> al Legii 139/2018 să stipuleze că este de obligația </w:t>
            </w:r>
            <w:r w:rsidR="00D82BD4" w:rsidRPr="0071735F">
              <w:rPr>
                <w:rFonts w:ascii="Times New Roman" w:eastAsia="Batang" w:hAnsi="Times New Roman" w:cs="Times New Roman"/>
                <w:bCs/>
                <w:sz w:val="24"/>
                <w:szCs w:val="24"/>
                <w:lang w:val="ro-MD" w:eastAsia="ja-JP"/>
              </w:rPr>
              <w:t>organului central de specialitate al administrației publice în domeniul energeticii</w:t>
            </w:r>
            <w:r w:rsidR="008C374F">
              <w:rPr>
                <w:rFonts w:ascii="Times New Roman" w:eastAsia="Batang" w:hAnsi="Times New Roman" w:cs="Times New Roman"/>
                <w:bCs/>
                <w:sz w:val="24"/>
                <w:szCs w:val="24"/>
                <w:lang w:val="ro-MD" w:eastAsia="ja-JP"/>
              </w:rPr>
              <w:t xml:space="preserve"> și mediului </w:t>
            </w:r>
            <w:r w:rsidR="00D82BD4" w:rsidRPr="0071735F">
              <w:rPr>
                <w:rFonts w:ascii="Times New Roman" w:eastAsia="Batang" w:hAnsi="Times New Roman" w:cs="Times New Roman"/>
                <w:bCs/>
                <w:sz w:val="24"/>
                <w:szCs w:val="24"/>
                <w:lang w:val="ro-MD" w:eastAsia="ja-JP"/>
              </w:rPr>
              <w:t xml:space="preserve">să </w:t>
            </w:r>
            <w:r w:rsidR="005F1635" w:rsidRPr="0071735F">
              <w:rPr>
                <w:rFonts w:ascii="Times New Roman" w:eastAsia="Batang" w:hAnsi="Times New Roman" w:cs="Times New Roman"/>
                <w:bCs/>
                <w:sz w:val="24"/>
                <w:szCs w:val="24"/>
                <w:lang w:val="ro-MD" w:eastAsia="ja-JP"/>
              </w:rPr>
              <w:t>elaboreze și promoveze Planul Național  Integrat pentru Energie si Climă și monitorizeze implementarea acest</w:t>
            </w:r>
            <w:r w:rsidR="004773CA" w:rsidRPr="0071735F">
              <w:rPr>
                <w:rFonts w:ascii="Times New Roman" w:eastAsia="Batang" w:hAnsi="Times New Roman" w:cs="Times New Roman"/>
                <w:bCs/>
                <w:sz w:val="24"/>
                <w:szCs w:val="24"/>
                <w:lang w:val="ro-MD" w:eastAsia="ja-JP"/>
              </w:rPr>
              <w:t xml:space="preserve">uia </w:t>
            </w:r>
            <w:r w:rsidR="005F1635" w:rsidRPr="0071735F">
              <w:rPr>
                <w:rFonts w:ascii="Times New Roman" w:eastAsia="Batang" w:hAnsi="Times New Roman" w:cs="Times New Roman"/>
                <w:bCs/>
                <w:sz w:val="24"/>
                <w:szCs w:val="24"/>
                <w:lang w:val="ro-MD" w:eastAsia="ja-JP"/>
              </w:rPr>
              <w:t>prin intermediul autorității responsabile de implementarea politicilor în domeniul eficienței energetice</w:t>
            </w:r>
            <w:r w:rsidR="0096419F">
              <w:rPr>
                <w:rFonts w:ascii="Times New Roman" w:eastAsia="Batang" w:hAnsi="Times New Roman" w:cs="Times New Roman"/>
                <w:bCs/>
                <w:sz w:val="24"/>
                <w:szCs w:val="24"/>
                <w:lang w:val="ro-MD" w:eastAsia="ja-JP"/>
              </w:rPr>
              <w:t xml:space="preserve"> și, la necesitate, de Agenția de Mediu</w:t>
            </w:r>
            <w:r w:rsidR="004773CA" w:rsidRPr="0071735F">
              <w:rPr>
                <w:rFonts w:ascii="Times New Roman" w:eastAsia="Batang" w:hAnsi="Times New Roman" w:cs="Times New Roman"/>
                <w:bCs/>
                <w:sz w:val="24"/>
                <w:szCs w:val="24"/>
                <w:lang w:val="ro-MD" w:eastAsia="ja-JP"/>
              </w:rPr>
              <w:t>.</w:t>
            </w:r>
          </w:p>
          <w:p w14:paraId="3842D3D9" w14:textId="75F796D4" w:rsidR="008C0336" w:rsidRPr="0071735F" w:rsidRDefault="008C0336" w:rsidP="006C0949">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Totodată, având în vedere că </w:t>
            </w:r>
            <w:r w:rsidR="00A7493C" w:rsidRPr="0071735F">
              <w:rPr>
                <w:rFonts w:ascii="Times New Roman" w:eastAsia="Batang" w:hAnsi="Times New Roman" w:cs="Times New Roman"/>
                <w:bCs/>
                <w:sz w:val="24"/>
                <w:szCs w:val="24"/>
                <w:lang w:val="ro-MD" w:eastAsia="ja-JP"/>
              </w:rPr>
              <w:t xml:space="preserve">PNIEC va substitui Planul Național de Acțiuni în domeniul Eficienței Energetice (PNAEE), art. 6 al Legii 139/2018 va fi revizuit astfel încât să </w:t>
            </w:r>
            <w:r w:rsidR="00451165" w:rsidRPr="0071735F">
              <w:rPr>
                <w:rFonts w:ascii="Times New Roman" w:eastAsia="Batang" w:hAnsi="Times New Roman" w:cs="Times New Roman"/>
                <w:bCs/>
                <w:sz w:val="24"/>
                <w:szCs w:val="24"/>
                <w:lang w:val="ro-MD" w:eastAsia="ja-JP"/>
              </w:rPr>
              <w:t>facă referință la PNIEC și obligația elaborării acestui document de planificare.</w:t>
            </w:r>
          </w:p>
          <w:p w14:paraId="3662470A" w14:textId="16C82309" w:rsidR="00BB1742" w:rsidRPr="0071735F" w:rsidRDefault="00BB1742" w:rsidP="00BB1742">
            <w:pPr>
              <w:pStyle w:val="ListParagraph"/>
              <w:numPr>
                <w:ilvl w:val="0"/>
                <w:numId w:val="31"/>
              </w:num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Lipsa obligației referitoare la noi economii de energie</w:t>
            </w:r>
          </w:p>
          <w:p w14:paraId="16F4C339" w14:textId="4C0570CC" w:rsidR="00BB1742" w:rsidRPr="0071735F" w:rsidRDefault="00BB1742" w:rsidP="00BB1742">
            <w:p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Se propune </w:t>
            </w:r>
            <w:r w:rsidR="00E91547" w:rsidRPr="0071735F">
              <w:rPr>
                <w:rFonts w:ascii="Times New Roman" w:eastAsia="Batang" w:hAnsi="Times New Roman" w:cs="Times New Roman"/>
                <w:bCs/>
                <w:sz w:val="24"/>
                <w:szCs w:val="24"/>
                <w:lang w:val="ro-MD" w:eastAsia="ja-JP"/>
              </w:rPr>
              <w:t xml:space="preserve">impunerea </w:t>
            </w:r>
            <w:r w:rsidR="00CB4500" w:rsidRPr="0071735F">
              <w:rPr>
                <w:rFonts w:ascii="Times New Roman" w:eastAsia="Batang" w:hAnsi="Times New Roman" w:cs="Times New Roman"/>
                <w:bCs/>
                <w:sz w:val="24"/>
                <w:szCs w:val="24"/>
                <w:lang w:val="ro-MD" w:eastAsia="ja-JP"/>
              </w:rPr>
              <w:t xml:space="preserve">Guvernului a </w:t>
            </w:r>
            <w:r w:rsidR="00F22A79" w:rsidRPr="0071735F">
              <w:rPr>
                <w:rFonts w:ascii="Times New Roman" w:eastAsia="Batang" w:hAnsi="Times New Roman" w:cs="Times New Roman"/>
                <w:bCs/>
                <w:sz w:val="24"/>
                <w:szCs w:val="24"/>
                <w:lang w:val="ro-MD" w:eastAsia="ja-JP"/>
              </w:rPr>
              <w:t xml:space="preserve">obligației </w:t>
            </w:r>
            <w:r w:rsidR="00E91547" w:rsidRPr="0071735F">
              <w:rPr>
                <w:rFonts w:ascii="Times New Roman" w:eastAsia="Batang" w:hAnsi="Times New Roman" w:cs="Times New Roman"/>
                <w:bCs/>
                <w:sz w:val="24"/>
                <w:szCs w:val="24"/>
                <w:lang w:val="ro-MD" w:eastAsia="ja-JP"/>
              </w:rPr>
              <w:t>de a întrepri</w:t>
            </w:r>
            <w:r w:rsidR="00F22A79" w:rsidRPr="0071735F">
              <w:rPr>
                <w:rFonts w:ascii="Times New Roman" w:eastAsia="Batang" w:hAnsi="Times New Roman" w:cs="Times New Roman"/>
                <w:bCs/>
                <w:sz w:val="24"/>
                <w:szCs w:val="24"/>
                <w:lang w:val="ro-MD" w:eastAsia="ja-JP"/>
              </w:rPr>
              <w:t xml:space="preserve">nde eforturile necesare pentru „generarea” unor economii noi de energie finală </w:t>
            </w:r>
            <w:r w:rsidR="00FD019E" w:rsidRPr="0071735F">
              <w:rPr>
                <w:rFonts w:ascii="Times New Roman" w:eastAsia="Batang" w:hAnsi="Times New Roman" w:cs="Times New Roman"/>
                <w:bCs/>
                <w:sz w:val="24"/>
                <w:szCs w:val="24"/>
                <w:lang w:val="ro-MD" w:eastAsia="ja-JP"/>
              </w:rPr>
              <w:t>echivalente a minimum 0,8% din valoarea medie a consumului final de energie intre 1 Ianuarie 2019 si 1 Ianuarie 2022</w:t>
            </w:r>
            <w:r w:rsidR="00D45BA9" w:rsidRPr="0071735F">
              <w:rPr>
                <w:rFonts w:ascii="Times New Roman" w:eastAsia="Batang" w:hAnsi="Times New Roman" w:cs="Times New Roman"/>
                <w:bCs/>
                <w:sz w:val="24"/>
                <w:szCs w:val="24"/>
                <w:lang w:val="ro-MD" w:eastAsia="ja-JP"/>
              </w:rPr>
              <w:t>. Totodată, proiectul de lege va stabili</w:t>
            </w:r>
            <w:r w:rsidR="001362EC" w:rsidRPr="0071735F">
              <w:rPr>
                <w:rFonts w:ascii="Times New Roman" w:eastAsia="Batang" w:hAnsi="Times New Roman" w:cs="Times New Roman"/>
                <w:bCs/>
                <w:sz w:val="24"/>
                <w:szCs w:val="24"/>
                <w:lang w:val="ro-MD" w:eastAsia="ja-JP"/>
              </w:rPr>
              <w:t xml:space="preserve"> (în baza Directivei)</w:t>
            </w:r>
            <w:r w:rsidR="00D45BA9" w:rsidRPr="0071735F">
              <w:rPr>
                <w:rFonts w:ascii="Times New Roman" w:eastAsia="Batang" w:hAnsi="Times New Roman" w:cs="Times New Roman"/>
                <w:bCs/>
                <w:sz w:val="24"/>
                <w:szCs w:val="24"/>
                <w:lang w:val="ro-MD" w:eastAsia="ja-JP"/>
              </w:rPr>
              <w:t xml:space="preserve"> care măsuri de eficiență energetică pot fi luate în calcul </w:t>
            </w:r>
            <w:r w:rsidR="00BE7DE0" w:rsidRPr="0071735F">
              <w:rPr>
                <w:rFonts w:ascii="Times New Roman" w:eastAsia="Batang" w:hAnsi="Times New Roman" w:cs="Times New Roman"/>
                <w:bCs/>
                <w:sz w:val="24"/>
                <w:szCs w:val="24"/>
                <w:lang w:val="ro-MD" w:eastAsia="ja-JP"/>
              </w:rPr>
              <w:t>la realizarea cantității de economii de energie solicitate.</w:t>
            </w:r>
          </w:p>
          <w:p w14:paraId="7BC70E86" w14:textId="77777777" w:rsidR="007527D3" w:rsidRPr="0071735F" w:rsidRDefault="007527D3" w:rsidP="00BB1742">
            <w:pPr>
              <w:tabs>
                <w:tab w:val="left" w:pos="1418"/>
              </w:tabs>
              <w:spacing w:before="120" w:after="60"/>
              <w:jc w:val="both"/>
              <w:rPr>
                <w:rFonts w:ascii="Times New Roman" w:eastAsia="Batang" w:hAnsi="Times New Roman" w:cs="Times New Roman"/>
                <w:bCs/>
                <w:sz w:val="24"/>
                <w:szCs w:val="24"/>
                <w:lang w:val="ro-MD" w:eastAsia="ja-JP"/>
              </w:rPr>
            </w:pPr>
          </w:p>
          <w:p w14:paraId="76F5E465" w14:textId="77777777" w:rsidR="007527D3" w:rsidRPr="0071735F" w:rsidRDefault="007527D3" w:rsidP="00BB1742">
            <w:pPr>
              <w:tabs>
                <w:tab w:val="left" w:pos="1418"/>
              </w:tabs>
              <w:spacing w:before="120" w:after="60"/>
              <w:jc w:val="both"/>
              <w:rPr>
                <w:rFonts w:ascii="Times New Roman" w:eastAsia="Batang" w:hAnsi="Times New Roman" w:cs="Times New Roman"/>
                <w:b/>
                <w:bCs/>
                <w:color w:val="000000" w:themeColor="text1"/>
                <w:sz w:val="24"/>
                <w:szCs w:val="24"/>
                <w:lang w:val="ro-MD" w:eastAsia="ja-JP"/>
              </w:rPr>
            </w:pPr>
          </w:p>
          <w:p w14:paraId="2B3768F9" w14:textId="7155ACA7" w:rsidR="00D02F08" w:rsidRPr="0071735F" w:rsidRDefault="00D02F08" w:rsidP="00D02F08">
            <w:pPr>
              <w:pStyle w:val="Caption"/>
              <w:keepNext/>
              <w:rPr>
                <w:rFonts w:ascii="Times New Roman" w:hAnsi="Times New Roman" w:cs="Times New Roman"/>
                <w:b/>
                <w:bCs/>
                <w:i w:val="0"/>
                <w:iCs w:val="0"/>
                <w:color w:val="000000" w:themeColor="text1"/>
                <w:sz w:val="22"/>
                <w:szCs w:val="22"/>
                <w:lang w:val="ro-MD"/>
              </w:rPr>
            </w:pPr>
            <w:r w:rsidRPr="0071735F">
              <w:rPr>
                <w:rFonts w:ascii="Times New Roman" w:hAnsi="Times New Roman" w:cs="Times New Roman"/>
                <w:b/>
                <w:bCs/>
                <w:i w:val="0"/>
                <w:iCs w:val="0"/>
                <w:color w:val="000000" w:themeColor="text1"/>
                <w:sz w:val="22"/>
                <w:szCs w:val="22"/>
                <w:lang w:val="ro-MD"/>
              </w:rPr>
              <w:t xml:space="preserve">Tabel </w:t>
            </w:r>
            <w:r w:rsidRPr="0071735F">
              <w:rPr>
                <w:rFonts w:ascii="Times New Roman" w:hAnsi="Times New Roman" w:cs="Times New Roman"/>
                <w:b/>
                <w:bCs/>
                <w:i w:val="0"/>
                <w:iCs w:val="0"/>
                <w:color w:val="000000" w:themeColor="text1"/>
                <w:sz w:val="22"/>
                <w:szCs w:val="22"/>
                <w:lang w:val="ro-MD"/>
              </w:rPr>
              <w:fldChar w:fldCharType="begin"/>
            </w:r>
            <w:r w:rsidRPr="0071735F">
              <w:rPr>
                <w:rFonts w:ascii="Times New Roman" w:hAnsi="Times New Roman" w:cs="Times New Roman"/>
                <w:b/>
                <w:bCs/>
                <w:i w:val="0"/>
                <w:iCs w:val="0"/>
                <w:color w:val="000000" w:themeColor="text1"/>
                <w:sz w:val="22"/>
                <w:szCs w:val="22"/>
                <w:lang w:val="ro-MD"/>
              </w:rPr>
              <w:instrText xml:space="preserve"> SEQ Tabel \* ARABIC </w:instrText>
            </w:r>
            <w:r w:rsidRPr="0071735F">
              <w:rPr>
                <w:rFonts w:ascii="Times New Roman" w:hAnsi="Times New Roman" w:cs="Times New Roman"/>
                <w:b/>
                <w:bCs/>
                <w:i w:val="0"/>
                <w:iCs w:val="0"/>
                <w:color w:val="000000" w:themeColor="text1"/>
                <w:sz w:val="22"/>
                <w:szCs w:val="22"/>
                <w:lang w:val="ro-MD"/>
              </w:rPr>
              <w:fldChar w:fldCharType="separate"/>
            </w:r>
            <w:r w:rsidR="00B16F17">
              <w:rPr>
                <w:rFonts w:ascii="Times New Roman" w:hAnsi="Times New Roman" w:cs="Times New Roman"/>
                <w:b/>
                <w:bCs/>
                <w:i w:val="0"/>
                <w:iCs w:val="0"/>
                <w:noProof/>
                <w:color w:val="000000" w:themeColor="text1"/>
                <w:sz w:val="22"/>
                <w:szCs w:val="22"/>
                <w:lang w:val="ro-MD"/>
              </w:rPr>
              <w:t>1</w:t>
            </w:r>
            <w:r w:rsidRPr="0071735F">
              <w:rPr>
                <w:rFonts w:ascii="Times New Roman" w:hAnsi="Times New Roman" w:cs="Times New Roman"/>
                <w:b/>
                <w:bCs/>
                <w:i w:val="0"/>
                <w:iCs w:val="0"/>
                <w:color w:val="000000" w:themeColor="text1"/>
                <w:sz w:val="22"/>
                <w:szCs w:val="22"/>
                <w:lang w:val="ro-MD"/>
              </w:rPr>
              <w:fldChar w:fldCharType="end"/>
            </w:r>
            <w:r w:rsidRPr="0071735F">
              <w:rPr>
                <w:rFonts w:ascii="Times New Roman" w:hAnsi="Times New Roman" w:cs="Times New Roman"/>
                <w:b/>
                <w:bCs/>
                <w:i w:val="0"/>
                <w:iCs w:val="0"/>
                <w:color w:val="000000" w:themeColor="text1"/>
                <w:sz w:val="22"/>
                <w:szCs w:val="22"/>
                <w:lang w:val="ro-MD"/>
              </w:rPr>
              <w:t xml:space="preserve">. </w:t>
            </w:r>
            <w:r w:rsidRPr="0071735F">
              <w:rPr>
                <w:rFonts w:ascii="Times New Roman" w:hAnsi="Times New Roman" w:cs="Times New Roman"/>
                <w:i w:val="0"/>
                <w:iCs w:val="0"/>
                <w:color w:val="000000" w:themeColor="text1"/>
                <w:sz w:val="22"/>
                <w:szCs w:val="22"/>
                <w:lang w:val="ro-MD"/>
              </w:rPr>
              <w:t>Conversia obligației de economii de energie în valori absolute</w:t>
            </w:r>
          </w:p>
          <w:tbl>
            <w:tblPr>
              <w:tblStyle w:val="TableGrid"/>
              <w:tblW w:w="0" w:type="auto"/>
              <w:tblLook w:val="04A0" w:firstRow="1" w:lastRow="0" w:firstColumn="1" w:lastColumn="0" w:noHBand="0" w:noVBand="1"/>
            </w:tblPr>
            <w:tblGrid>
              <w:gridCol w:w="935"/>
              <w:gridCol w:w="1890"/>
              <w:gridCol w:w="1890"/>
              <w:gridCol w:w="2250"/>
              <w:gridCol w:w="2385"/>
            </w:tblGrid>
            <w:tr w:rsidR="00046241" w:rsidRPr="00D22310" w14:paraId="089E9DF2" w14:textId="77777777" w:rsidTr="00EC12E1">
              <w:tc>
                <w:tcPr>
                  <w:tcW w:w="935" w:type="dxa"/>
                  <w:shd w:val="clear" w:color="auto" w:fill="DAEEF3" w:themeFill="accent5" w:themeFillTint="33"/>
                  <w:vAlign w:val="center"/>
                </w:tcPr>
                <w:p w14:paraId="27648879" w14:textId="18B43152" w:rsidR="00046241" w:rsidRPr="0071735F" w:rsidRDefault="00046241" w:rsidP="00FE6D51">
                  <w:pPr>
                    <w:tabs>
                      <w:tab w:val="left" w:pos="1418"/>
                    </w:tabs>
                    <w:jc w:val="center"/>
                    <w:rPr>
                      <w:rFonts w:ascii="Times New Roman" w:eastAsia="Batang" w:hAnsi="Times New Roman" w:cs="Times New Roman"/>
                      <w:b/>
                      <w:lang w:val="ro-MD" w:eastAsia="ja-JP"/>
                    </w:rPr>
                  </w:pPr>
                  <w:r w:rsidRPr="0071735F">
                    <w:rPr>
                      <w:rFonts w:ascii="Times New Roman" w:eastAsia="Batang" w:hAnsi="Times New Roman" w:cs="Times New Roman"/>
                      <w:b/>
                      <w:sz w:val="28"/>
                      <w:szCs w:val="28"/>
                      <w:lang w:val="ro-MD" w:eastAsia="ja-JP"/>
                    </w:rPr>
                    <w:t>#</w:t>
                  </w:r>
                </w:p>
              </w:tc>
              <w:tc>
                <w:tcPr>
                  <w:tcW w:w="1890" w:type="dxa"/>
                  <w:shd w:val="clear" w:color="auto" w:fill="DAEEF3" w:themeFill="accent5" w:themeFillTint="33"/>
                  <w:vAlign w:val="center"/>
                </w:tcPr>
                <w:p w14:paraId="56D449F2" w14:textId="609BD681" w:rsidR="00046241" w:rsidRPr="0071735F" w:rsidRDefault="00046241" w:rsidP="00FE6D51">
                  <w:pPr>
                    <w:tabs>
                      <w:tab w:val="left" w:pos="1418"/>
                    </w:tabs>
                    <w:jc w:val="center"/>
                    <w:rPr>
                      <w:rFonts w:ascii="Times New Roman" w:eastAsia="Batang" w:hAnsi="Times New Roman" w:cs="Times New Roman"/>
                      <w:b/>
                      <w:lang w:val="ro-MD" w:eastAsia="ja-JP"/>
                    </w:rPr>
                  </w:pPr>
                  <w:r w:rsidRPr="0071735F">
                    <w:rPr>
                      <w:rFonts w:ascii="Times New Roman" w:eastAsia="Batang" w:hAnsi="Times New Roman" w:cs="Times New Roman"/>
                      <w:b/>
                      <w:lang w:val="ro-MD" w:eastAsia="ja-JP"/>
                    </w:rPr>
                    <w:t xml:space="preserve">Consumul </w:t>
                  </w:r>
                  <w:r w:rsidR="001F3B39" w:rsidRPr="0071735F">
                    <w:rPr>
                      <w:rFonts w:ascii="Times New Roman" w:eastAsia="Batang" w:hAnsi="Times New Roman" w:cs="Times New Roman"/>
                      <w:b/>
                      <w:lang w:val="ro-MD" w:eastAsia="ja-JP"/>
                    </w:rPr>
                    <w:t>final de energie</w:t>
                  </w:r>
                  <w:r w:rsidR="004A58FF" w:rsidRPr="0071735F">
                    <w:rPr>
                      <w:rStyle w:val="FootnoteReference"/>
                      <w:rFonts w:ascii="Times New Roman" w:eastAsia="Batang" w:hAnsi="Times New Roman" w:cs="Times New Roman"/>
                      <w:b/>
                      <w:lang w:val="ro-MD" w:eastAsia="ja-JP"/>
                    </w:rPr>
                    <w:footnoteReference w:id="11"/>
                  </w:r>
                </w:p>
              </w:tc>
              <w:tc>
                <w:tcPr>
                  <w:tcW w:w="1890" w:type="dxa"/>
                  <w:shd w:val="clear" w:color="auto" w:fill="DAEEF3" w:themeFill="accent5" w:themeFillTint="33"/>
                  <w:vAlign w:val="center"/>
                </w:tcPr>
                <w:p w14:paraId="2925A766" w14:textId="2D9F54EC" w:rsidR="00046241" w:rsidRPr="0071735F" w:rsidRDefault="001F3B39" w:rsidP="00FE6D51">
                  <w:pPr>
                    <w:tabs>
                      <w:tab w:val="left" w:pos="1418"/>
                    </w:tabs>
                    <w:jc w:val="center"/>
                    <w:rPr>
                      <w:rFonts w:ascii="Times New Roman" w:eastAsia="Batang" w:hAnsi="Times New Roman" w:cs="Times New Roman"/>
                      <w:b/>
                      <w:lang w:val="ro-MD" w:eastAsia="ja-JP"/>
                    </w:rPr>
                  </w:pPr>
                  <w:r w:rsidRPr="0071735F">
                    <w:rPr>
                      <w:rFonts w:ascii="Times New Roman" w:eastAsia="Batang" w:hAnsi="Times New Roman" w:cs="Times New Roman"/>
                      <w:b/>
                      <w:lang w:val="ro-MD" w:eastAsia="ja-JP"/>
                    </w:rPr>
                    <w:t>Media aritmetică a consumului</w:t>
                  </w:r>
                </w:p>
              </w:tc>
              <w:tc>
                <w:tcPr>
                  <w:tcW w:w="2250" w:type="dxa"/>
                  <w:shd w:val="clear" w:color="auto" w:fill="DAEEF3" w:themeFill="accent5" w:themeFillTint="33"/>
                  <w:vAlign w:val="center"/>
                </w:tcPr>
                <w:p w14:paraId="2493CFC5" w14:textId="2E610370" w:rsidR="00046241" w:rsidRPr="0071735F" w:rsidRDefault="00C80C80" w:rsidP="00FE6D51">
                  <w:pPr>
                    <w:tabs>
                      <w:tab w:val="left" w:pos="1418"/>
                    </w:tabs>
                    <w:jc w:val="center"/>
                    <w:rPr>
                      <w:rFonts w:ascii="Times New Roman" w:eastAsia="Batang" w:hAnsi="Times New Roman" w:cs="Times New Roman"/>
                      <w:b/>
                      <w:lang w:val="ro-MD" w:eastAsia="ja-JP"/>
                    </w:rPr>
                  </w:pPr>
                  <w:r w:rsidRPr="0071735F">
                    <w:rPr>
                      <w:rFonts w:ascii="Times New Roman" w:eastAsia="Batang" w:hAnsi="Times New Roman" w:cs="Times New Roman"/>
                      <w:b/>
                      <w:lang w:val="ro-MD" w:eastAsia="ja-JP"/>
                    </w:rPr>
                    <w:t>Obligația anuală de economii – 0,8%</w:t>
                  </w:r>
                </w:p>
              </w:tc>
              <w:tc>
                <w:tcPr>
                  <w:tcW w:w="2385" w:type="dxa"/>
                  <w:shd w:val="clear" w:color="auto" w:fill="DAEEF3" w:themeFill="accent5" w:themeFillTint="33"/>
                  <w:vAlign w:val="center"/>
                </w:tcPr>
                <w:p w14:paraId="559678A1" w14:textId="5070CD6F" w:rsidR="00046241" w:rsidRPr="0071735F" w:rsidRDefault="00D02F08" w:rsidP="00FE6D51">
                  <w:pPr>
                    <w:tabs>
                      <w:tab w:val="left" w:pos="1418"/>
                    </w:tabs>
                    <w:jc w:val="center"/>
                    <w:rPr>
                      <w:rFonts w:ascii="Times New Roman" w:eastAsia="Batang" w:hAnsi="Times New Roman" w:cs="Times New Roman"/>
                      <w:b/>
                      <w:lang w:val="ro-MD" w:eastAsia="ja-JP"/>
                    </w:rPr>
                  </w:pPr>
                  <w:r w:rsidRPr="0071735F">
                    <w:rPr>
                      <w:rFonts w:ascii="Times New Roman" w:eastAsia="Batang" w:hAnsi="Times New Roman" w:cs="Times New Roman"/>
                      <w:b/>
                      <w:lang w:val="ro-MD" w:eastAsia="ja-JP"/>
                    </w:rPr>
                    <w:t>Valoarea cumulativă a obligației</w:t>
                  </w:r>
                  <w:r w:rsidR="00B67EFB">
                    <w:rPr>
                      <w:rFonts w:ascii="Times New Roman" w:eastAsia="Batang" w:hAnsi="Times New Roman" w:cs="Times New Roman"/>
                      <w:b/>
                      <w:lang w:val="ro-MD" w:eastAsia="ja-JP"/>
                    </w:rPr>
                    <w:t>, 2024-2030</w:t>
                  </w:r>
                </w:p>
              </w:tc>
            </w:tr>
            <w:tr w:rsidR="00173F6C" w:rsidRPr="00D22310" w14:paraId="556DAA21" w14:textId="77777777" w:rsidTr="00D02F08">
              <w:tc>
                <w:tcPr>
                  <w:tcW w:w="935" w:type="dxa"/>
                  <w:vAlign w:val="center"/>
                </w:tcPr>
                <w:p w14:paraId="481DFE24" w14:textId="65FD1FEF" w:rsidR="00173F6C" w:rsidRPr="0071735F" w:rsidRDefault="00173F6C" w:rsidP="00FE6D51">
                  <w:pPr>
                    <w:tabs>
                      <w:tab w:val="left" w:pos="1418"/>
                    </w:tabs>
                    <w:jc w:val="center"/>
                    <w:rPr>
                      <w:rFonts w:ascii="Times New Roman" w:eastAsia="Batang" w:hAnsi="Times New Roman" w:cs="Times New Roman"/>
                      <w:b/>
                      <w:sz w:val="24"/>
                      <w:szCs w:val="24"/>
                      <w:lang w:val="ro-MD" w:eastAsia="ja-JP"/>
                    </w:rPr>
                  </w:pPr>
                  <w:r w:rsidRPr="0071735F">
                    <w:rPr>
                      <w:rFonts w:ascii="Times New Roman" w:eastAsia="Batang" w:hAnsi="Times New Roman" w:cs="Times New Roman"/>
                      <w:b/>
                      <w:sz w:val="24"/>
                      <w:szCs w:val="24"/>
                      <w:lang w:val="ro-MD" w:eastAsia="ja-JP"/>
                    </w:rPr>
                    <w:t>2019</w:t>
                  </w:r>
                </w:p>
              </w:tc>
              <w:tc>
                <w:tcPr>
                  <w:tcW w:w="1890" w:type="dxa"/>
                  <w:vAlign w:val="center"/>
                </w:tcPr>
                <w:p w14:paraId="41AB91E1" w14:textId="3C4FE89E" w:rsidR="00173F6C" w:rsidRPr="0071735F" w:rsidRDefault="00173F6C" w:rsidP="00FE6D51">
                  <w:pPr>
                    <w:tabs>
                      <w:tab w:val="left" w:pos="1418"/>
                    </w:tabs>
                    <w:jc w:val="center"/>
                    <w:rPr>
                      <w:rFonts w:ascii="Times New Roman" w:eastAsia="Batang" w:hAnsi="Times New Roman" w:cs="Times New Roman"/>
                      <w:bCs/>
                      <w:lang w:val="ro-MD" w:eastAsia="ja-JP"/>
                    </w:rPr>
                  </w:pPr>
                  <w:r w:rsidRPr="0071735F">
                    <w:rPr>
                      <w:rFonts w:ascii="Times New Roman" w:eastAsia="Batang" w:hAnsi="Times New Roman" w:cs="Times New Roman"/>
                      <w:bCs/>
                      <w:lang w:val="ro-MD" w:eastAsia="ja-JP"/>
                    </w:rPr>
                    <w:t>2.672 ktep</w:t>
                  </w:r>
                </w:p>
              </w:tc>
              <w:tc>
                <w:tcPr>
                  <w:tcW w:w="1890" w:type="dxa"/>
                  <w:vMerge w:val="restart"/>
                  <w:vAlign w:val="center"/>
                </w:tcPr>
                <w:p w14:paraId="6E0846AB" w14:textId="5A0FA3C5" w:rsidR="00173F6C" w:rsidRPr="0071735F" w:rsidRDefault="00173F6C" w:rsidP="00FE6D51">
                  <w:pPr>
                    <w:tabs>
                      <w:tab w:val="left" w:pos="1418"/>
                    </w:tabs>
                    <w:jc w:val="center"/>
                    <w:rPr>
                      <w:rFonts w:ascii="Times New Roman" w:eastAsia="Batang" w:hAnsi="Times New Roman" w:cs="Times New Roman"/>
                      <w:bCs/>
                      <w:lang w:val="ro-MD" w:eastAsia="ja-JP"/>
                    </w:rPr>
                  </w:pPr>
                  <w:r>
                    <w:rPr>
                      <w:rFonts w:ascii="Times New Roman" w:eastAsia="Batang" w:hAnsi="Times New Roman" w:cs="Times New Roman"/>
                      <w:bCs/>
                      <w:lang w:val="ro-MD" w:eastAsia="ja-JP"/>
                    </w:rPr>
                    <w:t>2.627 ktep</w:t>
                  </w:r>
                </w:p>
              </w:tc>
              <w:tc>
                <w:tcPr>
                  <w:tcW w:w="2250" w:type="dxa"/>
                  <w:vMerge w:val="restart"/>
                  <w:vAlign w:val="center"/>
                </w:tcPr>
                <w:p w14:paraId="4E8BF778" w14:textId="27DD1766" w:rsidR="00173F6C" w:rsidRPr="0071735F" w:rsidRDefault="00173F6C" w:rsidP="00FE6D51">
                  <w:pPr>
                    <w:tabs>
                      <w:tab w:val="left" w:pos="1418"/>
                    </w:tabs>
                    <w:jc w:val="center"/>
                    <w:rPr>
                      <w:rFonts w:ascii="Times New Roman" w:eastAsia="Batang" w:hAnsi="Times New Roman" w:cs="Times New Roman"/>
                      <w:bCs/>
                      <w:lang w:val="ro-MD" w:eastAsia="ja-JP"/>
                    </w:rPr>
                  </w:pPr>
                  <w:r>
                    <w:rPr>
                      <w:rFonts w:ascii="Times New Roman" w:eastAsia="Batang" w:hAnsi="Times New Roman" w:cs="Times New Roman"/>
                      <w:bCs/>
                      <w:lang w:val="ro-MD" w:eastAsia="ja-JP"/>
                    </w:rPr>
                    <w:t>21,02 ktep</w:t>
                  </w:r>
                  <w:r w:rsidR="006626EA">
                    <w:rPr>
                      <w:rFonts w:ascii="Times New Roman" w:eastAsia="Batang" w:hAnsi="Times New Roman" w:cs="Times New Roman"/>
                      <w:bCs/>
                      <w:lang w:val="ro-MD" w:eastAsia="ja-JP"/>
                    </w:rPr>
                    <w:t>/an</w:t>
                  </w:r>
                </w:p>
              </w:tc>
              <w:tc>
                <w:tcPr>
                  <w:tcW w:w="2385" w:type="dxa"/>
                  <w:vMerge w:val="restart"/>
                  <w:vAlign w:val="center"/>
                </w:tcPr>
                <w:p w14:paraId="6AA19F6B" w14:textId="482AF283" w:rsidR="00173F6C" w:rsidRPr="0071735F" w:rsidRDefault="006626EA" w:rsidP="00FE6D51">
                  <w:pPr>
                    <w:tabs>
                      <w:tab w:val="left" w:pos="1418"/>
                    </w:tabs>
                    <w:jc w:val="center"/>
                    <w:rPr>
                      <w:rFonts w:ascii="Times New Roman" w:eastAsia="Batang" w:hAnsi="Times New Roman" w:cs="Times New Roman"/>
                      <w:bCs/>
                      <w:lang w:val="ro-MD" w:eastAsia="ja-JP"/>
                    </w:rPr>
                  </w:pPr>
                  <w:r>
                    <w:rPr>
                      <w:rFonts w:ascii="Times New Roman" w:eastAsia="Batang" w:hAnsi="Times New Roman" w:cs="Times New Roman"/>
                      <w:bCs/>
                      <w:lang w:val="ro-MD" w:eastAsia="ja-JP"/>
                    </w:rPr>
                    <w:t>147,11 ktep</w:t>
                  </w:r>
                </w:p>
              </w:tc>
            </w:tr>
            <w:tr w:rsidR="00173F6C" w:rsidRPr="00D22310" w14:paraId="05C8CA07" w14:textId="77777777" w:rsidTr="00D02F08">
              <w:tc>
                <w:tcPr>
                  <w:tcW w:w="935" w:type="dxa"/>
                  <w:vAlign w:val="center"/>
                </w:tcPr>
                <w:p w14:paraId="6B24A128" w14:textId="224E09DC" w:rsidR="00173F6C" w:rsidRPr="0071735F" w:rsidRDefault="00173F6C" w:rsidP="00FE6D51">
                  <w:pPr>
                    <w:tabs>
                      <w:tab w:val="left" w:pos="1418"/>
                    </w:tabs>
                    <w:jc w:val="center"/>
                    <w:rPr>
                      <w:rFonts w:ascii="Times New Roman" w:eastAsia="Batang" w:hAnsi="Times New Roman" w:cs="Times New Roman"/>
                      <w:b/>
                      <w:sz w:val="24"/>
                      <w:szCs w:val="24"/>
                      <w:lang w:val="ro-MD" w:eastAsia="ja-JP"/>
                    </w:rPr>
                  </w:pPr>
                  <w:r w:rsidRPr="0071735F">
                    <w:rPr>
                      <w:rFonts w:ascii="Times New Roman" w:eastAsia="Batang" w:hAnsi="Times New Roman" w:cs="Times New Roman"/>
                      <w:b/>
                      <w:sz w:val="24"/>
                      <w:szCs w:val="24"/>
                      <w:lang w:val="ro-MD" w:eastAsia="ja-JP"/>
                    </w:rPr>
                    <w:t>2020</w:t>
                  </w:r>
                </w:p>
              </w:tc>
              <w:tc>
                <w:tcPr>
                  <w:tcW w:w="1890" w:type="dxa"/>
                  <w:vAlign w:val="center"/>
                </w:tcPr>
                <w:p w14:paraId="77476E51" w14:textId="50BF2F9F" w:rsidR="00173F6C" w:rsidRPr="0071735F" w:rsidRDefault="00173F6C" w:rsidP="00FE6D51">
                  <w:pPr>
                    <w:tabs>
                      <w:tab w:val="left" w:pos="1418"/>
                    </w:tabs>
                    <w:jc w:val="center"/>
                    <w:rPr>
                      <w:rFonts w:ascii="Times New Roman" w:eastAsia="Batang" w:hAnsi="Times New Roman" w:cs="Times New Roman"/>
                      <w:bCs/>
                      <w:lang w:val="ro-MD" w:eastAsia="ja-JP"/>
                    </w:rPr>
                  </w:pPr>
                  <w:r>
                    <w:rPr>
                      <w:rFonts w:ascii="Times New Roman" w:eastAsia="Batang" w:hAnsi="Times New Roman" w:cs="Times New Roman"/>
                      <w:bCs/>
                      <w:lang w:val="ro-MD" w:eastAsia="ja-JP"/>
                    </w:rPr>
                    <w:t>2.581 ktep</w:t>
                  </w:r>
                </w:p>
              </w:tc>
              <w:tc>
                <w:tcPr>
                  <w:tcW w:w="1890" w:type="dxa"/>
                  <w:vMerge/>
                  <w:vAlign w:val="center"/>
                </w:tcPr>
                <w:p w14:paraId="0A60241F"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c>
                <w:tcPr>
                  <w:tcW w:w="2250" w:type="dxa"/>
                  <w:vMerge/>
                  <w:vAlign w:val="center"/>
                </w:tcPr>
                <w:p w14:paraId="25567522"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c>
                <w:tcPr>
                  <w:tcW w:w="2385" w:type="dxa"/>
                  <w:vMerge/>
                  <w:vAlign w:val="center"/>
                </w:tcPr>
                <w:p w14:paraId="00D851DA"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r>
            <w:tr w:rsidR="00173F6C" w:rsidRPr="00D22310" w14:paraId="3CDD813F" w14:textId="77777777" w:rsidTr="00D02F08">
              <w:tc>
                <w:tcPr>
                  <w:tcW w:w="935" w:type="dxa"/>
                  <w:vAlign w:val="center"/>
                </w:tcPr>
                <w:p w14:paraId="02FB1A02" w14:textId="6A0A2E64" w:rsidR="00173F6C" w:rsidRPr="0071735F" w:rsidRDefault="00173F6C" w:rsidP="00FE6D51">
                  <w:pPr>
                    <w:tabs>
                      <w:tab w:val="left" w:pos="1418"/>
                    </w:tabs>
                    <w:jc w:val="center"/>
                    <w:rPr>
                      <w:rFonts w:ascii="Times New Roman" w:eastAsia="Batang" w:hAnsi="Times New Roman" w:cs="Times New Roman"/>
                      <w:b/>
                      <w:sz w:val="24"/>
                      <w:szCs w:val="24"/>
                      <w:lang w:val="ro-MD" w:eastAsia="ja-JP"/>
                    </w:rPr>
                  </w:pPr>
                  <w:r w:rsidRPr="0071735F">
                    <w:rPr>
                      <w:rFonts w:ascii="Times New Roman" w:eastAsia="Batang" w:hAnsi="Times New Roman" w:cs="Times New Roman"/>
                      <w:b/>
                      <w:sz w:val="24"/>
                      <w:szCs w:val="24"/>
                      <w:lang w:val="ro-MD" w:eastAsia="ja-JP"/>
                    </w:rPr>
                    <w:t>2021</w:t>
                  </w:r>
                  <w:r w:rsidRPr="0042336F">
                    <w:rPr>
                      <w:rFonts w:ascii="Times New Roman" w:eastAsia="Batang" w:hAnsi="Times New Roman" w:cs="Times New Roman"/>
                      <w:b/>
                      <w:sz w:val="24"/>
                      <w:szCs w:val="24"/>
                      <w:vertAlign w:val="superscript"/>
                      <w:lang w:val="ro-MD" w:eastAsia="ja-JP"/>
                    </w:rPr>
                    <w:t>*</w:t>
                  </w:r>
                </w:p>
              </w:tc>
              <w:tc>
                <w:tcPr>
                  <w:tcW w:w="1890" w:type="dxa"/>
                  <w:vAlign w:val="center"/>
                </w:tcPr>
                <w:p w14:paraId="762164D2" w14:textId="6AC6BD54" w:rsidR="00173F6C" w:rsidRPr="00FA78E8" w:rsidRDefault="00173F6C" w:rsidP="00FE6D51">
                  <w:pPr>
                    <w:tabs>
                      <w:tab w:val="left" w:pos="1418"/>
                    </w:tabs>
                    <w:jc w:val="center"/>
                    <w:rPr>
                      <w:rFonts w:ascii="Times New Roman" w:eastAsia="Batang" w:hAnsi="Times New Roman" w:cs="Times New Roman"/>
                      <w:bCs/>
                      <w:i/>
                      <w:iCs/>
                      <w:lang w:val="ro-MD" w:eastAsia="ja-JP"/>
                    </w:rPr>
                  </w:pPr>
                  <w:r w:rsidRPr="00FA78E8">
                    <w:rPr>
                      <w:rFonts w:ascii="Times New Roman" w:eastAsia="Batang" w:hAnsi="Times New Roman" w:cs="Times New Roman"/>
                      <w:bCs/>
                      <w:i/>
                      <w:iCs/>
                      <w:lang w:val="ro-MD" w:eastAsia="ja-JP"/>
                    </w:rPr>
                    <w:t>2.62</w:t>
                  </w:r>
                  <w:r>
                    <w:rPr>
                      <w:rFonts w:ascii="Times New Roman" w:eastAsia="Batang" w:hAnsi="Times New Roman" w:cs="Times New Roman"/>
                      <w:bCs/>
                      <w:i/>
                      <w:iCs/>
                      <w:lang w:val="ro-MD" w:eastAsia="ja-JP"/>
                    </w:rPr>
                    <w:t>7</w:t>
                  </w:r>
                  <w:r w:rsidRPr="00FA78E8">
                    <w:rPr>
                      <w:rFonts w:ascii="Times New Roman" w:eastAsia="Batang" w:hAnsi="Times New Roman" w:cs="Times New Roman"/>
                      <w:bCs/>
                      <w:i/>
                      <w:iCs/>
                      <w:lang w:val="ro-MD" w:eastAsia="ja-JP"/>
                    </w:rPr>
                    <w:t xml:space="preserve"> ktep</w:t>
                  </w:r>
                </w:p>
              </w:tc>
              <w:tc>
                <w:tcPr>
                  <w:tcW w:w="1890" w:type="dxa"/>
                  <w:vMerge/>
                  <w:vAlign w:val="center"/>
                </w:tcPr>
                <w:p w14:paraId="7A25BFA8"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c>
                <w:tcPr>
                  <w:tcW w:w="2250" w:type="dxa"/>
                  <w:vMerge/>
                  <w:vAlign w:val="center"/>
                </w:tcPr>
                <w:p w14:paraId="1536769C"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c>
                <w:tcPr>
                  <w:tcW w:w="2385" w:type="dxa"/>
                  <w:vMerge/>
                  <w:vAlign w:val="center"/>
                </w:tcPr>
                <w:p w14:paraId="65710BC5" w14:textId="77777777" w:rsidR="00173F6C" w:rsidRPr="0071735F" w:rsidRDefault="00173F6C" w:rsidP="00FE6D51">
                  <w:pPr>
                    <w:tabs>
                      <w:tab w:val="left" w:pos="1418"/>
                    </w:tabs>
                    <w:jc w:val="center"/>
                    <w:rPr>
                      <w:rFonts w:ascii="Times New Roman" w:eastAsia="Batang" w:hAnsi="Times New Roman" w:cs="Times New Roman"/>
                      <w:bCs/>
                      <w:lang w:val="ro-MD" w:eastAsia="ja-JP"/>
                    </w:rPr>
                  </w:pPr>
                </w:p>
              </w:tc>
            </w:tr>
          </w:tbl>
          <w:p w14:paraId="423D9E96" w14:textId="4CCFCBB8" w:rsidR="00D02F08" w:rsidRPr="007A2FD5" w:rsidRDefault="0042336F" w:rsidP="006626EA">
            <w:pPr>
              <w:tabs>
                <w:tab w:val="left" w:pos="1418"/>
              </w:tabs>
              <w:spacing w:before="120" w:after="60" w:line="240" w:lineRule="auto"/>
              <w:jc w:val="both"/>
              <w:rPr>
                <w:rFonts w:ascii="Times New Roman" w:eastAsia="Batang" w:hAnsi="Times New Roman" w:cs="Times New Roman"/>
                <w:bCs/>
                <w:sz w:val="20"/>
                <w:szCs w:val="20"/>
                <w:lang w:val="ro-MD" w:eastAsia="ja-JP"/>
              </w:rPr>
            </w:pPr>
            <w:r w:rsidRPr="007A2FD5">
              <w:rPr>
                <w:rFonts w:ascii="Times New Roman" w:eastAsia="Batang" w:hAnsi="Times New Roman" w:cs="Times New Roman"/>
                <w:bCs/>
                <w:i/>
                <w:iCs/>
                <w:sz w:val="20"/>
                <w:szCs w:val="20"/>
                <w:lang w:val="ro-MD" w:eastAsia="ja-JP"/>
              </w:rPr>
              <w:t>Notă</w:t>
            </w:r>
            <w:r w:rsidRPr="007A2FD5">
              <w:rPr>
                <w:rFonts w:ascii="Times New Roman" w:eastAsia="Batang" w:hAnsi="Times New Roman" w:cs="Times New Roman"/>
                <w:bCs/>
                <w:sz w:val="20"/>
                <w:szCs w:val="20"/>
                <w:lang w:val="ro-MD" w:eastAsia="ja-JP"/>
              </w:rPr>
              <w:t>: Întrucât</w:t>
            </w:r>
            <w:r w:rsidR="006E751E" w:rsidRPr="007A2FD5">
              <w:rPr>
                <w:rFonts w:ascii="Times New Roman" w:eastAsia="Batang" w:hAnsi="Times New Roman" w:cs="Times New Roman"/>
                <w:bCs/>
                <w:sz w:val="20"/>
                <w:szCs w:val="20"/>
                <w:lang w:val="ro-MD" w:eastAsia="ja-JP"/>
              </w:rPr>
              <w:t xml:space="preserve"> Balanța Energetică pentru anul 2021 (Ediția 2022)  urmează a fi publicată în trimestrul 4 al anului 2022, valoarea </w:t>
            </w:r>
            <w:r w:rsidR="007A2FD5" w:rsidRPr="007A2FD5">
              <w:rPr>
                <w:rFonts w:ascii="Times New Roman" w:eastAsia="Batang" w:hAnsi="Times New Roman" w:cs="Times New Roman"/>
                <w:bCs/>
                <w:sz w:val="20"/>
                <w:szCs w:val="20"/>
                <w:lang w:val="ro-MD" w:eastAsia="ja-JP"/>
              </w:rPr>
              <w:t>consumului de energie finală pentru anul 2021 a fost estimată ca și medie pentru consumurile înregistrate pentru doi ani precedenți, și anume 2019 și 202</w:t>
            </w:r>
            <w:r w:rsidR="0016393E">
              <w:rPr>
                <w:rFonts w:ascii="Times New Roman" w:eastAsia="Batang" w:hAnsi="Times New Roman" w:cs="Times New Roman"/>
                <w:bCs/>
                <w:sz w:val="20"/>
                <w:szCs w:val="20"/>
                <w:lang w:val="ro-MD" w:eastAsia="ja-JP"/>
              </w:rPr>
              <w:t>0</w:t>
            </w:r>
          </w:p>
          <w:p w14:paraId="2069D8DF" w14:textId="7E96BB8C" w:rsidR="004C542F" w:rsidRPr="0071735F" w:rsidRDefault="006626EA" w:rsidP="006626EA">
            <w:pPr>
              <w:tabs>
                <w:tab w:val="left" w:pos="1418"/>
              </w:tabs>
              <w:spacing w:before="240" w:after="60"/>
              <w:jc w:val="both"/>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 xml:space="preserve">Prin urmare, din tabelul 1 de mai sus poate fi observat că obligația de noi economii de energie vizează generarea a 21,02 ktep per an, în perioada 2024-2030. </w:t>
            </w:r>
          </w:p>
          <w:p w14:paraId="763C4244" w14:textId="77777777" w:rsidR="00B4237E" w:rsidRPr="0071735F" w:rsidRDefault="00E570D9" w:rsidP="006626EA">
            <w:pPr>
              <w:pStyle w:val="ListParagraph"/>
              <w:numPr>
                <w:ilvl w:val="0"/>
                <w:numId w:val="31"/>
              </w:numPr>
              <w:tabs>
                <w:tab w:val="left" w:pos="1418"/>
              </w:tabs>
              <w:spacing w:before="120"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Lipsa obligației de renovare anuală a unei suprafețe a clădirilor deținute de autoritățile publice centrale</w:t>
            </w:r>
          </w:p>
          <w:p w14:paraId="51765D46" w14:textId="77777777" w:rsidR="00E570D9" w:rsidRDefault="00E570D9" w:rsidP="00E570D9">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Se propune ca</w:t>
            </w:r>
            <w:r w:rsidR="003B321D" w:rsidRPr="0071735F">
              <w:rPr>
                <w:rFonts w:ascii="Times New Roman" w:eastAsia="Batang" w:hAnsi="Times New Roman" w:cs="Times New Roman"/>
                <w:bCs/>
                <w:sz w:val="24"/>
                <w:szCs w:val="24"/>
                <w:lang w:val="ro-MD" w:eastAsia="ja-JP"/>
              </w:rPr>
              <w:t xml:space="preserve"> </w:t>
            </w:r>
            <w:r w:rsidR="00BD7EB3" w:rsidRPr="0071735F">
              <w:rPr>
                <w:rFonts w:ascii="Times New Roman" w:eastAsia="Batang" w:hAnsi="Times New Roman" w:cs="Times New Roman"/>
                <w:bCs/>
                <w:sz w:val="24"/>
                <w:szCs w:val="24"/>
                <w:lang w:val="ro-MD" w:eastAsia="ja-JP"/>
              </w:rPr>
              <w:t xml:space="preserve">din 1 ianuarie 2024, </w:t>
            </w:r>
            <w:r w:rsidR="003B321D" w:rsidRPr="0071735F">
              <w:rPr>
                <w:rFonts w:ascii="Times New Roman" w:eastAsia="Batang" w:hAnsi="Times New Roman" w:cs="Times New Roman"/>
                <w:bCs/>
                <w:sz w:val="24"/>
                <w:szCs w:val="24"/>
                <w:lang w:val="ro-MD" w:eastAsia="ja-JP"/>
              </w:rPr>
              <w:t>rata anuală de renovare</w:t>
            </w:r>
            <w:r w:rsidR="00DC6115" w:rsidRPr="0071735F">
              <w:rPr>
                <w:rFonts w:ascii="Times New Roman" w:eastAsia="Batang" w:hAnsi="Times New Roman" w:cs="Times New Roman"/>
                <w:bCs/>
                <w:sz w:val="24"/>
                <w:szCs w:val="24"/>
                <w:lang w:val="ro-MD" w:eastAsia="ja-JP"/>
              </w:rPr>
              <w:t xml:space="preserve"> a</w:t>
            </w:r>
            <w:r w:rsidR="003B321D" w:rsidRPr="0071735F">
              <w:rPr>
                <w:rFonts w:ascii="Times New Roman" w:eastAsia="Batang" w:hAnsi="Times New Roman" w:cs="Times New Roman"/>
                <w:bCs/>
                <w:sz w:val="24"/>
                <w:szCs w:val="24"/>
                <w:lang w:val="ro-MD" w:eastAsia="ja-JP"/>
              </w:rPr>
              <w:t xml:space="preserve"> supraf</w:t>
            </w:r>
            <w:r w:rsidR="00DC6115" w:rsidRPr="0071735F">
              <w:rPr>
                <w:rFonts w:ascii="Times New Roman" w:eastAsia="Batang" w:hAnsi="Times New Roman" w:cs="Times New Roman"/>
                <w:bCs/>
                <w:sz w:val="24"/>
                <w:szCs w:val="24"/>
                <w:lang w:val="ro-MD" w:eastAsia="ja-JP"/>
              </w:rPr>
              <w:t>e</w:t>
            </w:r>
            <w:r w:rsidR="003B321D" w:rsidRPr="0071735F">
              <w:rPr>
                <w:rFonts w:ascii="Times New Roman" w:eastAsia="Batang" w:hAnsi="Times New Roman" w:cs="Times New Roman"/>
                <w:bCs/>
                <w:sz w:val="24"/>
                <w:szCs w:val="24"/>
                <w:lang w:val="ro-MD" w:eastAsia="ja-JP"/>
              </w:rPr>
              <w:t>ț</w:t>
            </w:r>
            <w:r w:rsidR="00DC6115" w:rsidRPr="0071735F">
              <w:rPr>
                <w:rFonts w:ascii="Times New Roman" w:eastAsia="Batang" w:hAnsi="Times New Roman" w:cs="Times New Roman"/>
                <w:bCs/>
                <w:sz w:val="24"/>
                <w:szCs w:val="24"/>
                <w:lang w:val="ro-MD" w:eastAsia="ja-JP"/>
              </w:rPr>
              <w:t>ei</w:t>
            </w:r>
            <w:r w:rsidR="003B321D" w:rsidRPr="0071735F">
              <w:rPr>
                <w:rFonts w:ascii="Times New Roman" w:eastAsia="Batang" w:hAnsi="Times New Roman" w:cs="Times New Roman"/>
                <w:bCs/>
                <w:sz w:val="24"/>
                <w:szCs w:val="24"/>
                <w:lang w:val="ro-MD" w:eastAsia="ja-JP"/>
              </w:rPr>
              <w:t xml:space="preserve"> total</w:t>
            </w:r>
            <w:r w:rsidR="00DC6115" w:rsidRPr="0071735F">
              <w:rPr>
                <w:rFonts w:ascii="Times New Roman" w:eastAsia="Batang" w:hAnsi="Times New Roman" w:cs="Times New Roman"/>
                <w:bCs/>
                <w:sz w:val="24"/>
                <w:szCs w:val="24"/>
                <w:lang w:val="ro-MD" w:eastAsia="ja-JP"/>
              </w:rPr>
              <w:t>e</w:t>
            </w:r>
            <w:r w:rsidR="003B321D" w:rsidRPr="0071735F">
              <w:rPr>
                <w:rFonts w:ascii="Times New Roman" w:eastAsia="Batang" w:hAnsi="Times New Roman" w:cs="Times New Roman"/>
                <w:bCs/>
                <w:sz w:val="24"/>
                <w:szCs w:val="24"/>
                <w:lang w:val="ro-MD" w:eastAsia="ja-JP"/>
              </w:rPr>
              <w:t xml:space="preserve"> a clădirilor din domeniul public al statului, cu o suprafață totală utilă de peste 250 m2, în care își desfășoară activitatea autoritățile administrației publice centrale de specialitate și care nu îndeplinesc, la data de 1 ianuarie a fiecărui an cerințele minime de performanță energetică</w:t>
            </w:r>
            <w:r w:rsidR="00BD7EB3" w:rsidRPr="0071735F">
              <w:rPr>
                <w:rFonts w:ascii="Times New Roman" w:eastAsia="Batang" w:hAnsi="Times New Roman" w:cs="Times New Roman"/>
                <w:bCs/>
                <w:sz w:val="24"/>
                <w:szCs w:val="24"/>
                <w:lang w:val="ro-MD" w:eastAsia="ja-JP"/>
              </w:rPr>
              <w:t>, să fie de 3%.</w:t>
            </w:r>
          </w:p>
          <w:p w14:paraId="4DEA494B" w14:textId="5F2CB0E4" w:rsidR="001D0B6D" w:rsidRDefault="00FD6353" w:rsidP="00F411AF">
            <w:pPr>
              <w:tabs>
                <w:tab w:val="left" w:pos="1418"/>
              </w:tabs>
              <w:spacing w:after="240"/>
              <w:jc w:val="both"/>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 xml:space="preserve">Tabelul 2 de mai jos prezintă o estimare aproximativă a </w:t>
            </w:r>
            <w:r w:rsidR="000A2369">
              <w:rPr>
                <w:rFonts w:ascii="Times New Roman" w:eastAsia="Batang" w:hAnsi="Times New Roman" w:cs="Times New Roman"/>
                <w:bCs/>
                <w:sz w:val="24"/>
                <w:szCs w:val="24"/>
                <w:lang w:val="ro-MD" w:eastAsia="ja-JP"/>
              </w:rPr>
              <w:t>noii obligații de renovare</w:t>
            </w:r>
            <w:r w:rsidR="006A165D">
              <w:rPr>
                <w:rFonts w:ascii="Times New Roman" w:eastAsia="Batang" w:hAnsi="Times New Roman" w:cs="Times New Roman"/>
                <w:bCs/>
                <w:sz w:val="24"/>
                <w:szCs w:val="24"/>
                <w:lang w:val="ro-MD" w:eastAsia="ja-JP"/>
              </w:rPr>
              <w:t xml:space="preserve"> </w:t>
            </w:r>
            <w:r w:rsidR="00E95C2F">
              <w:rPr>
                <w:rFonts w:ascii="Times New Roman" w:eastAsia="Batang" w:hAnsi="Times New Roman" w:cs="Times New Roman"/>
                <w:bCs/>
                <w:sz w:val="24"/>
                <w:szCs w:val="24"/>
                <w:lang w:val="ro-MD" w:eastAsia="ja-JP"/>
              </w:rPr>
              <w:t xml:space="preserve">a clădirilor autorităților publice centrale /APC/ </w:t>
            </w:r>
            <w:r w:rsidR="006A165D">
              <w:rPr>
                <w:rFonts w:ascii="Times New Roman" w:eastAsia="Batang" w:hAnsi="Times New Roman" w:cs="Times New Roman"/>
                <w:bCs/>
                <w:sz w:val="24"/>
                <w:szCs w:val="24"/>
                <w:lang w:val="ro-MD" w:eastAsia="ja-JP"/>
              </w:rPr>
              <w:t>conform proiectului de lege.</w:t>
            </w:r>
          </w:p>
          <w:p w14:paraId="0CCD5515" w14:textId="4673EA32" w:rsidR="00F411AF" w:rsidRPr="000A3F43" w:rsidRDefault="00F411AF" w:rsidP="000A3F43">
            <w:pPr>
              <w:pStyle w:val="Caption"/>
              <w:keepNext/>
              <w:spacing w:after="120"/>
              <w:rPr>
                <w:rFonts w:ascii="Times New Roman" w:hAnsi="Times New Roman" w:cs="Times New Roman"/>
                <w:i w:val="0"/>
                <w:iCs w:val="0"/>
                <w:color w:val="000000" w:themeColor="text1"/>
                <w:sz w:val="22"/>
                <w:szCs w:val="22"/>
                <w:lang w:val="ro-MD"/>
              </w:rPr>
            </w:pPr>
            <w:r w:rsidRPr="000A3F43">
              <w:rPr>
                <w:rFonts w:ascii="Times New Roman" w:hAnsi="Times New Roman" w:cs="Times New Roman"/>
                <w:b/>
                <w:bCs/>
                <w:i w:val="0"/>
                <w:iCs w:val="0"/>
                <w:color w:val="000000" w:themeColor="text1"/>
                <w:sz w:val="22"/>
                <w:szCs w:val="22"/>
                <w:lang w:val="ro-MD"/>
              </w:rPr>
              <w:t xml:space="preserve">Tabel </w:t>
            </w:r>
            <w:r w:rsidRPr="000A3F43">
              <w:rPr>
                <w:rFonts w:ascii="Times New Roman" w:hAnsi="Times New Roman" w:cs="Times New Roman"/>
                <w:b/>
                <w:bCs/>
                <w:i w:val="0"/>
                <w:iCs w:val="0"/>
                <w:color w:val="000000" w:themeColor="text1"/>
                <w:sz w:val="22"/>
                <w:szCs w:val="22"/>
                <w:lang w:val="ro-MD"/>
              </w:rPr>
              <w:fldChar w:fldCharType="begin"/>
            </w:r>
            <w:r w:rsidRPr="000A3F43">
              <w:rPr>
                <w:rFonts w:ascii="Times New Roman" w:hAnsi="Times New Roman" w:cs="Times New Roman"/>
                <w:b/>
                <w:bCs/>
                <w:i w:val="0"/>
                <w:iCs w:val="0"/>
                <w:color w:val="000000" w:themeColor="text1"/>
                <w:sz w:val="22"/>
                <w:szCs w:val="22"/>
                <w:lang w:val="ro-MD"/>
              </w:rPr>
              <w:instrText xml:space="preserve"> SEQ Tabel \* ARABIC </w:instrText>
            </w:r>
            <w:r w:rsidRPr="000A3F43">
              <w:rPr>
                <w:rFonts w:ascii="Times New Roman" w:hAnsi="Times New Roman" w:cs="Times New Roman"/>
                <w:b/>
                <w:bCs/>
                <w:i w:val="0"/>
                <w:iCs w:val="0"/>
                <w:color w:val="000000" w:themeColor="text1"/>
                <w:sz w:val="22"/>
                <w:szCs w:val="22"/>
                <w:lang w:val="ro-MD"/>
              </w:rPr>
              <w:fldChar w:fldCharType="separate"/>
            </w:r>
            <w:r w:rsidR="00B16F17">
              <w:rPr>
                <w:rFonts w:ascii="Times New Roman" w:hAnsi="Times New Roman" w:cs="Times New Roman"/>
                <w:b/>
                <w:bCs/>
                <w:i w:val="0"/>
                <w:iCs w:val="0"/>
                <w:noProof/>
                <w:color w:val="000000" w:themeColor="text1"/>
                <w:sz w:val="22"/>
                <w:szCs w:val="22"/>
                <w:lang w:val="ro-MD"/>
              </w:rPr>
              <w:t>2</w:t>
            </w:r>
            <w:r w:rsidRPr="000A3F43">
              <w:rPr>
                <w:rFonts w:ascii="Times New Roman" w:hAnsi="Times New Roman" w:cs="Times New Roman"/>
                <w:b/>
                <w:bCs/>
                <w:i w:val="0"/>
                <w:iCs w:val="0"/>
                <w:color w:val="000000" w:themeColor="text1"/>
                <w:sz w:val="22"/>
                <w:szCs w:val="22"/>
                <w:lang w:val="ro-MD"/>
              </w:rPr>
              <w:fldChar w:fldCharType="end"/>
            </w:r>
            <w:r w:rsidRPr="000A3F43">
              <w:rPr>
                <w:rFonts w:ascii="Times New Roman" w:hAnsi="Times New Roman" w:cs="Times New Roman"/>
                <w:i w:val="0"/>
                <w:iCs w:val="0"/>
                <w:color w:val="000000" w:themeColor="text1"/>
                <w:sz w:val="22"/>
                <w:szCs w:val="22"/>
                <w:lang w:val="ro-MD"/>
              </w:rPr>
              <w:t xml:space="preserve">. Estimarea </w:t>
            </w:r>
            <w:r w:rsidR="000A3F43" w:rsidRPr="000A3F43">
              <w:rPr>
                <w:rFonts w:ascii="Times New Roman" w:hAnsi="Times New Roman" w:cs="Times New Roman"/>
                <w:i w:val="0"/>
                <w:iCs w:val="0"/>
                <w:color w:val="000000" w:themeColor="text1"/>
                <w:sz w:val="22"/>
                <w:szCs w:val="22"/>
                <w:lang w:val="ro-MD"/>
              </w:rPr>
              <w:t xml:space="preserve">suprafeței clădirilor APC </w:t>
            </w:r>
            <w:r w:rsidR="00797B88">
              <w:rPr>
                <w:rFonts w:ascii="Times New Roman" w:hAnsi="Times New Roman" w:cs="Times New Roman"/>
                <w:i w:val="0"/>
                <w:iCs w:val="0"/>
                <w:color w:val="000000" w:themeColor="text1"/>
                <w:sz w:val="22"/>
                <w:szCs w:val="22"/>
                <w:lang w:val="ro-MD"/>
              </w:rPr>
              <w:t xml:space="preserve">vizate de </w:t>
            </w:r>
            <w:r w:rsidR="000A3F43" w:rsidRPr="000A3F43">
              <w:rPr>
                <w:rFonts w:ascii="Times New Roman" w:hAnsi="Times New Roman" w:cs="Times New Roman"/>
                <w:i w:val="0"/>
                <w:iCs w:val="0"/>
                <w:color w:val="000000" w:themeColor="text1"/>
                <w:sz w:val="22"/>
                <w:szCs w:val="22"/>
                <w:lang w:val="ro-MD"/>
              </w:rPr>
              <w:t>obligați</w:t>
            </w:r>
            <w:r w:rsidR="00797B88">
              <w:rPr>
                <w:rFonts w:ascii="Times New Roman" w:hAnsi="Times New Roman" w:cs="Times New Roman"/>
                <w:i w:val="0"/>
                <w:iCs w:val="0"/>
                <w:color w:val="000000" w:themeColor="text1"/>
                <w:sz w:val="22"/>
                <w:szCs w:val="22"/>
                <w:lang w:val="ro-MD"/>
              </w:rPr>
              <w:t>a de renovare</w:t>
            </w:r>
          </w:p>
          <w:tbl>
            <w:tblPr>
              <w:tblStyle w:val="TableGrid"/>
              <w:tblW w:w="0" w:type="auto"/>
              <w:tblLook w:val="04A0" w:firstRow="1" w:lastRow="0" w:firstColumn="1" w:lastColumn="0" w:noHBand="0" w:noVBand="1"/>
            </w:tblPr>
            <w:tblGrid>
              <w:gridCol w:w="755"/>
              <w:gridCol w:w="2148"/>
              <w:gridCol w:w="1992"/>
              <w:gridCol w:w="1890"/>
              <w:gridCol w:w="2565"/>
            </w:tblGrid>
            <w:tr w:rsidR="002A72A2" w:rsidRPr="00D22310" w14:paraId="1E32D62B" w14:textId="626CEE62" w:rsidTr="00EC12E1">
              <w:tc>
                <w:tcPr>
                  <w:tcW w:w="755" w:type="dxa"/>
                  <w:shd w:val="clear" w:color="auto" w:fill="DAEEF3" w:themeFill="accent5" w:themeFillTint="33"/>
                  <w:vAlign w:val="center"/>
                </w:tcPr>
                <w:p w14:paraId="1EED1B0B" w14:textId="50CC203A" w:rsidR="002A72A2" w:rsidRPr="002A72A2" w:rsidRDefault="002A72A2" w:rsidP="002A72A2">
                  <w:pPr>
                    <w:tabs>
                      <w:tab w:val="left" w:pos="1418"/>
                    </w:tabs>
                    <w:jc w:val="center"/>
                    <w:rPr>
                      <w:rFonts w:ascii="Times New Roman" w:eastAsia="Batang" w:hAnsi="Times New Roman" w:cs="Times New Roman"/>
                      <w:b/>
                      <w:lang w:val="ro-MD" w:eastAsia="ja-JP"/>
                    </w:rPr>
                  </w:pPr>
                  <w:r w:rsidRPr="002A72A2">
                    <w:rPr>
                      <w:rFonts w:ascii="Times New Roman" w:eastAsia="Batang" w:hAnsi="Times New Roman" w:cs="Times New Roman"/>
                      <w:b/>
                      <w:sz w:val="28"/>
                      <w:szCs w:val="28"/>
                      <w:lang w:val="ro-MD" w:eastAsia="ja-JP"/>
                    </w:rPr>
                    <w:t>#</w:t>
                  </w:r>
                </w:p>
              </w:tc>
              <w:tc>
                <w:tcPr>
                  <w:tcW w:w="2148" w:type="dxa"/>
                  <w:shd w:val="clear" w:color="auto" w:fill="DAEEF3" w:themeFill="accent5" w:themeFillTint="33"/>
                </w:tcPr>
                <w:p w14:paraId="09334912" w14:textId="3012E8BE" w:rsidR="002A72A2" w:rsidRPr="002A72A2" w:rsidRDefault="002A72A2" w:rsidP="002A72A2">
                  <w:pPr>
                    <w:tabs>
                      <w:tab w:val="left" w:pos="1418"/>
                    </w:tabs>
                    <w:jc w:val="center"/>
                    <w:rPr>
                      <w:rFonts w:ascii="Times New Roman" w:eastAsia="Batang" w:hAnsi="Times New Roman" w:cs="Times New Roman"/>
                      <w:b/>
                      <w:lang w:val="ro-MD" w:eastAsia="ja-JP"/>
                    </w:rPr>
                  </w:pPr>
                  <w:r w:rsidRPr="002A72A2">
                    <w:rPr>
                      <w:rFonts w:ascii="Times New Roman" w:eastAsia="Batang" w:hAnsi="Times New Roman" w:cs="Times New Roman"/>
                      <w:b/>
                      <w:lang w:val="ro-MD" w:eastAsia="ja-JP"/>
                    </w:rPr>
                    <w:t>Suprafața clădirilor APC</w:t>
                  </w:r>
                  <w:r w:rsidR="00604145">
                    <w:rPr>
                      <w:rStyle w:val="FootnoteReference"/>
                      <w:rFonts w:ascii="Times New Roman" w:eastAsia="Batang" w:hAnsi="Times New Roman" w:cs="Times New Roman"/>
                      <w:b/>
                      <w:lang w:val="ro-MD" w:eastAsia="ja-JP"/>
                    </w:rPr>
                    <w:footnoteReference w:id="12"/>
                  </w:r>
                </w:p>
              </w:tc>
              <w:tc>
                <w:tcPr>
                  <w:tcW w:w="1992" w:type="dxa"/>
                  <w:shd w:val="clear" w:color="auto" w:fill="DAEEF3" w:themeFill="accent5" w:themeFillTint="33"/>
                </w:tcPr>
                <w:p w14:paraId="0F86E360" w14:textId="608D6803" w:rsidR="002A72A2" w:rsidRPr="002A72A2" w:rsidRDefault="002A72A2" w:rsidP="002A72A2">
                  <w:pPr>
                    <w:tabs>
                      <w:tab w:val="left" w:pos="1418"/>
                    </w:tabs>
                    <w:jc w:val="center"/>
                    <w:rPr>
                      <w:rFonts w:ascii="Times New Roman" w:eastAsia="Batang" w:hAnsi="Times New Roman" w:cs="Times New Roman"/>
                      <w:b/>
                      <w:lang w:val="ro-MD" w:eastAsia="ja-JP"/>
                    </w:rPr>
                  </w:pPr>
                  <w:r w:rsidRPr="002A72A2">
                    <w:rPr>
                      <w:rFonts w:ascii="Times New Roman" w:eastAsia="Batang" w:hAnsi="Times New Roman" w:cs="Times New Roman"/>
                      <w:b/>
                      <w:lang w:val="ro-MD" w:eastAsia="ja-JP"/>
                    </w:rPr>
                    <w:t>Obligația de renovare anuală</w:t>
                  </w:r>
                </w:p>
              </w:tc>
              <w:tc>
                <w:tcPr>
                  <w:tcW w:w="1890" w:type="dxa"/>
                  <w:shd w:val="clear" w:color="auto" w:fill="DAEEF3" w:themeFill="accent5" w:themeFillTint="33"/>
                </w:tcPr>
                <w:p w14:paraId="44CD9751" w14:textId="2B4DE24B" w:rsidR="002A72A2" w:rsidRPr="002A72A2" w:rsidRDefault="002A72A2" w:rsidP="002A72A2">
                  <w:pPr>
                    <w:tabs>
                      <w:tab w:val="left" w:pos="1418"/>
                    </w:tabs>
                    <w:jc w:val="center"/>
                    <w:rPr>
                      <w:rFonts w:ascii="Times New Roman" w:eastAsia="Batang" w:hAnsi="Times New Roman" w:cs="Times New Roman"/>
                      <w:b/>
                      <w:lang w:val="ro-MD" w:eastAsia="ja-JP"/>
                    </w:rPr>
                  </w:pPr>
                  <w:r w:rsidRPr="002A72A2">
                    <w:rPr>
                      <w:rFonts w:ascii="Times New Roman" w:eastAsia="Batang" w:hAnsi="Times New Roman" w:cs="Times New Roman"/>
                      <w:b/>
                      <w:lang w:val="ro-MD" w:eastAsia="ja-JP"/>
                    </w:rPr>
                    <w:t>Suprafața a fi supusă renovării</w:t>
                  </w:r>
                </w:p>
              </w:tc>
              <w:tc>
                <w:tcPr>
                  <w:tcW w:w="2565" w:type="dxa"/>
                  <w:shd w:val="clear" w:color="auto" w:fill="DAEEF3" w:themeFill="accent5" w:themeFillTint="33"/>
                </w:tcPr>
                <w:p w14:paraId="08021D1E" w14:textId="67A82148" w:rsidR="002A72A2" w:rsidRPr="002A72A2" w:rsidRDefault="002A72A2" w:rsidP="002A72A2">
                  <w:pPr>
                    <w:tabs>
                      <w:tab w:val="left" w:pos="1418"/>
                    </w:tabs>
                    <w:jc w:val="center"/>
                    <w:rPr>
                      <w:rFonts w:ascii="Times New Roman" w:eastAsia="Batang" w:hAnsi="Times New Roman" w:cs="Times New Roman"/>
                      <w:b/>
                      <w:lang w:val="ro-MD" w:eastAsia="ja-JP"/>
                    </w:rPr>
                  </w:pPr>
                  <w:r w:rsidRPr="002A72A2">
                    <w:rPr>
                      <w:rFonts w:ascii="Times New Roman" w:eastAsia="Batang" w:hAnsi="Times New Roman" w:cs="Times New Roman"/>
                      <w:b/>
                      <w:lang w:val="ro-MD" w:eastAsia="ja-JP"/>
                    </w:rPr>
                    <w:t>Valoarea cumulativă a obligației, 2024-2030</w:t>
                  </w:r>
                </w:p>
              </w:tc>
            </w:tr>
            <w:tr w:rsidR="002A72A2" w:rsidRPr="00D22310" w14:paraId="0048CA95" w14:textId="7DF69119" w:rsidTr="002A72A2">
              <w:tc>
                <w:tcPr>
                  <w:tcW w:w="755" w:type="dxa"/>
                </w:tcPr>
                <w:p w14:paraId="1F4EFE00" w14:textId="7481823F" w:rsidR="002A72A2" w:rsidRDefault="002A72A2" w:rsidP="002A72A2">
                  <w:pPr>
                    <w:tabs>
                      <w:tab w:val="left" w:pos="1418"/>
                    </w:tabs>
                    <w:jc w:val="center"/>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1</w:t>
                  </w:r>
                </w:p>
              </w:tc>
              <w:tc>
                <w:tcPr>
                  <w:tcW w:w="2148" w:type="dxa"/>
                </w:tcPr>
                <w:p w14:paraId="3472F954" w14:textId="741009B7" w:rsidR="002A72A2" w:rsidRDefault="003A7C94" w:rsidP="003A7C94">
                  <w:pPr>
                    <w:tabs>
                      <w:tab w:val="left" w:pos="1418"/>
                    </w:tabs>
                    <w:jc w:val="center"/>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426.056 m</w:t>
                  </w:r>
                  <w:r w:rsidRPr="003A7C94">
                    <w:rPr>
                      <w:rFonts w:ascii="Times New Roman" w:eastAsia="Batang" w:hAnsi="Times New Roman" w:cs="Times New Roman"/>
                      <w:bCs/>
                      <w:sz w:val="24"/>
                      <w:szCs w:val="24"/>
                      <w:vertAlign w:val="superscript"/>
                      <w:lang w:val="ro-MD" w:eastAsia="ja-JP"/>
                    </w:rPr>
                    <w:t>2</w:t>
                  </w:r>
                </w:p>
              </w:tc>
              <w:tc>
                <w:tcPr>
                  <w:tcW w:w="1992" w:type="dxa"/>
                </w:tcPr>
                <w:p w14:paraId="39D3CF40" w14:textId="3F3175C0" w:rsidR="002A72A2" w:rsidRDefault="003A7C94" w:rsidP="003A7C94">
                  <w:pPr>
                    <w:tabs>
                      <w:tab w:val="left" w:pos="1418"/>
                    </w:tabs>
                    <w:jc w:val="center"/>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3 %/an</w:t>
                  </w:r>
                </w:p>
              </w:tc>
              <w:tc>
                <w:tcPr>
                  <w:tcW w:w="1890" w:type="dxa"/>
                </w:tcPr>
                <w:p w14:paraId="0DC2ABE3" w14:textId="6DDE1976" w:rsidR="002A72A2" w:rsidRDefault="00586BBF" w:rsidP="00586BBF">
                  <w:pPr>
                    <w:tabs>
                      <w:tab w:val="left" w:pos="1418"/>
                    </w:tabs>
                    <w:jc w:val="center"/>
                    <w:rPr>
                      <w:rFonts w:ascii="Times New Roman" w:eastAsia="Batang" w:hAnsi="Times New Roman" w:cs="Times New Roman"/>
                      <w:bCs/>
                      <w:sz w:val="24"/>
                      <w:szCs w:val="24"/>
                      <w:lang w:val="ro-MD" w:eastAsia="ja-JP"/>
                    </w:rPr>
                  </w:pPr>
                  <w:r w:rsidRPr="00586BBF">
                    <w:rPr>
                      <w:rFonts w:ascii="Times New Roman" w:eastAsia="Batang" w:hAnsi="Times New Roman" w:cs="Times New Roman"/>
                      <w:bCs/>
                      <w:sz w:val="24"/>
                      <w:szCs w:val="24"/>
                      <w:lang w:val="ro-MD" w:eastAsia="ja-JP"/>
                    </w:rPr>
                    <w:t>12</w:t>
                  </w:r>
                  <w:r w:rsidR="00CF69CF">
                    <w:rPr>
                      <w:rFonts w:ascii="Times New Roman" w:eastAsia="Batang" w:hAnsi="Times New Roman" w:cs="Times New Roman"/>
                      <w:bCs/>
                      <w:sz w:val="24"/>
                      <w:szCs w:val="24"/>
                      <w:lang w:val="ro-MD" w:eastAsia="ja-JP"/>
                    </w:rPr>
                    <w:t>.</w:t>
                  </w:r>
                  <w:r w:rsidRPr="00586BBF">
                    <w:rPr>
                      <w:rFonts w:ascii="Times New Roman" w:eastAsia="Batang" w:hAnsi="Times New Roman" w:cs="Times New Roman"/>
                      <w:bCs/>
                      <w:sz w:val="24"/>
                      <w:szCs w:val="24"/>
                      <w:lang w:val="ro-MD" w:eastAsia="ja-JP"/>
                    </w:rPr>
                    <w:t>781</w:t>
                  </w:r>
                  <w:r w:rsidR="00CF69CF">
                    <w:rPr>
                      <w:rFonts w:ascii="Times New Roman" w:eastAsia="Batang" w:hAnsi="Times New Roman" w:cs="Times New Roman"/>
                      <w:bCs/>
                      <w:sz w:val="24"/>
                      <w:szCs w:val="24"/>
                      <w:lang w:val="ro-MD" w:eastAsia="ja-JP"/>
                    </w:rPr>
                    <w:t>,</w:t>
                  </w:r>
                  <w:r w:rsidRPr="00586BBF">
                    <w:rPr>
                      <w:rFonts w:ascii="Times New Roman" w:eastAsia="Batang" w:hAnsi="Times New Roman" w:cs="Times New Roman"/>
                      <w:bCs/>
                      <w:sz w:val="24"/>
                      <w:szCs w:val="24"/>
                      <w:lang w:val="ro-MD" w:eastAsia="ja-JP"/>
                    </w:rPr>
                    <w:t>68</w:t>
                  </w:r>
                  <w:r>
                    <w:rPr>
                      <w:rFonts w:ascii="Times New Roman" w:eastAsia="Batang" w:hAnsi="Times New Roman" w:cs="Times New Roman"/>
                      <w:bCs/>
                      <w:sz w:val="24"/>
                      <w:szCs w:val="24"/>
                      <w:lang w:val="ro-MD" w:eastAsia="ja-JP"/>
                    </w:rPr>
                    <w:t xml:space="preserve"> m</w:t>
                  </w:r>
                  <w:r w:rsidRPr="00586BBF">
                    <w:rPr>
                      <w:rFonts w:ascii="Times New Roman" w:eastAsia="Batang" w:hAnsi="Times New Roman" w:cs="Times New Roman"/>
                      <w:bCs/>
                      <w:sz w:val="24"/>
                      <w:szCs w:val="24"/>
                      <w:vertAlign w:val="superscript"/>
                      <w:lang w:val="ro-MD" w:eastAsia="ja-JP"/>
                    </w:rPr>
                    <w:t>2</w:t>
                  </w:r>
                </w:p>
              </w:tc>
              <w:tc>
                <w:tcPr>
                  <w:tcW w:w="2565" w:type="dxa"/>
                </w:tcPr>
                <w:p w14:paraId="77297712" w14:textId="1DD1F081" w:rsidR="002A72A2" w:rsidRDefault="00CF69CF" w:rsidP="00CF69CF">
                  <w:pPr>
                    <w:tabs>
                      <w:tab w:val="left" w:pos="1418"/>
                    </w:tabs>
                    <w:jc w:val="center"/>
                    <w:rPr>
                      <w:rFonts w:ascii="Times New Roman" w:eastAsia="Batang" w:hAnsi="Times New Roman" w:cs="Times New Roman"/>
                      <w:bCs/>
                      <w:sz w:val="24"/>
                      <w:szCs w:val="24"/>
                      <w:lang w:val="ro-MD" w:eastAsia="ja-JP"/>
                    </w:rPr>
                  </w:pPr>
                  <w:r w:rsidRPr="00CF69CF">
                    <w:rPr>
                      <w:rFonts w:ascii="Times New Roman" w:eastAsia="Batang" w:hAnsi="Times New Roman" w:cs="Times New Roman"/>
                      <w:bCs/>
                      <w:sz w:val="24"/>
                      <w:szCs w:val="24"/>
                      <w:lang w:val="ro-MD" w:eastAsia="ja-JP"/>
                    </w:rPr>
                    <w:t>89</w:t>
                  </w:r>
                  <w:r>
                    <w:rPr>
                      <w:rFonts w:ascii="Times New Roman" w:eastAsia="Batang" w:hAnsi="Times New Roman" w:cs="Times New Roman"/>
                      <w:bCs/>
                      <w:sz w:val="24"/>
                      <w:szCs w:val="24"/>
                      <w:lang w:val="ro-MD" w:eastAsia="ja-JP"/>
                    </w:rPr>
                    <w:t>.</w:t>
                  </w:r>
                  <w:r w:rsidRPr="00CF69CF">
                    <w:rPr>
                      <w:rFonts w:ascii="Times New Roman" w:eastAsia="Batang" w:hAnsi="Times New Roman" w:cs="Times New Roman"/>
                      <w:bCs/>
                      <w:sz w:val="24"/>
                      <w:szCs w:val="24"/>
                      <w:lang w:val="ro-MD" w:eastAsia="ja-JP"/>
                    </w:rPr>
                    <w:t>471</w:t>
                  </w:r>
                  <w:r>
                    <w:rPr>
                      <w:rFonts w:ascii="Times New Roman" w:eastAsia="Batang" w:hAnsi="Times New Roman" w:cs="Times New Roman"/>
                      <w:bCs/>
                      <w:sz w:val="24"/>
                      <w:szCs w:val="24"/>
                      <w:lang w:val="ro-MD" w:eastAsia="ja-JP"/>
                    </w:rPr>
                    <w:t>,</w:t>
                  </w:r>
                  <w:r w:rsidRPr="00CF69CF">
                    <w:rPr>
                      <w:rFonts w:ascii="Times New Roman" w:eastAsia="Batang" w:hAnsi="Times New Roman" w:cs="Times New Roman"/>
                      <w:bCs/>
                      <w:sz w:val="24"/>
                      <w:szCs w:val="24"/>
                      <w:lang w:val="ro-MD" w:eastAsia="ja-JP"/>
                    </w:rPr>
                    <w:t>76</w:t>
                  </w:r>
                  <w:r>
                    <w:rPr>
                      <w:rFonts w:ascii="Times New Roman" w:eastAsia="Batang" w:hAnsi="Times New Roman" w:cs="Times New Roman"/>
                      <w:bCs/>
                      <w:sz w:val="24"/>
                      <w:szCs w:val="24"/>
                      <w:lang w:val="ro-MD" w:eastAsia="ja-JP"/>
                    </w:rPr>
                    <w:t xml:space="preserve"> m</w:t>
                  </w:r>
                  <w:r w:rsidRPr="00CF69CF">
                    <w:rPr>
                      <w:rFonts w:ascii="Times New Roman" w:eastAsia="Batang" w:hAnsi="Times New Roman" w:cs="Times New Roman"/>
                      <w:bCs/>
                      <w:sz w:val="24"/>
                      <w:szCs w:val="24"/>
                      <w:vertAlign w:val="superscript"/>
                      <w:lang w:val="ro-MD" w:eastAsia="ja-JP"/>
                    </w:rPr>
                    <w:t>2</w:t>
                  </w:r>
                </w:p>
              </w:tc>
            </w:tr>
          </w:tbl>
          <w:p w14:paraId="3D1B8282" w14:textId="77777777" w:rsidR="00F411AF" w:rsidRDefault="00F411AF" w:rsidP="00E570D9">
            <w:pPr>
              <w:tabs>
                <w:tab w:val="left" w:pos="1418"/>
              </w:tabs>
              <w:spacing w:after="60"/>
              <w:jc w:val="both"/>
              <w:rPr>
                <w:rFonts w:ascii="Times New Roman" w:eastAsia="Batang" w:hAnsi="Times New Roman" w:cs="Times New Roman"/>
                <w:bCs/>
                <w:sz w:val="24"/>
                <w:szCs w:val="24"/>
                <w:lang w:val="ro-MD" w:eastAsia="ja-JP"/>
              </w:rPr>
            </w:pPr>
          </w:p>
          <w:p w14:paraId="793F52EC" w14:textId="4D00C5C3" w:rsidR="006A165D" w:rsidRPr="00F411AF" w:rsidRDefault="00CF69CF" w:rsidP="00E570D9">
            <w:pPr>
              <w:tabs>
                <w:tab w:val="left" w:pos="1418"/>
              </w:tabs>
              <w:spacing w:after="60"/>
              <w:jc w:val="both"/>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Prin urmare, obligația de renovare a clădirilor administrației pu</w:t>
            </w:r>
            <w:r w:rsidR="0016393E">
              <w:rPr>
                <w:rFonts w:ascii="Times New Roman" w:eastAsia="Batang" w:hAnsi="Times New Roman" w:cs="Times New Roman"/>
                <w:bCs/>
                <w:sz w:val="24"/>
                <w:szCs w:val="24"/>
                <w:lang w:val="ro-MD" w:eastAsia="ja-JP"/>
              </w:rPr>
              <w:t>b</w:t>
            </w:r>
            <w:r>
              <w:rPr>
                <w:rFonts w:ascii="Times New Roman" w:eastAsia="Batang" w:hAnsi="Times New Roman" w:cs="Times New Roman"/>
                <w:bCs/>
                <w:sz w:val="24"/>
                <w:szCs w:val="24"/>
                <w:lang w:val="ro-MD" w:eastAsia="ja-JP"/>
              </w:rPr>
              <w:t>lice centrale din Republica Moldova, conform inventarului existent la ziua de astăzi (a se vedea nota de subsol), ar constitui cca. 12.782 m</w:t>
            </w:r>
            <w:r w:rsidRPr="00F411AF">
              <w:rPr>
                <w:rFonts w:ascii="Times New Roman" w:eastAsia="Batang" w:hAnsi="Times New Roman" w:cs="Times New Roman"/>
                <w:bCs/>
                <w:sz w:val="24"/>
                <w:szCs w:val="24"/>
                <w:vertAlign w:val="superscript"/>
                <w:lang w:val="ro-MD" w:eastAsia="ja-JP"/>
              </w:rPr>
              <w:t>2</w:t>
            </w:r>
            <w:r>
              <w:rPr>
                <w:rFonts w:ascii="Times New Roman" w:eastAsia="Batang" w:hAnsi="Times New Roman" w:cs="Times New Roman"/>
                <w:bCs/>
                <w:sz w:val="24"/>
                <w:szCs w:val="24"/>
                <w:lang w:val="ro-MD" w:eastAsia="ja-JP"/>
              </w:rPr>
              <w:t xml:space="preserve"> per an, sau </w:t>
            </w:r>
            <w:r w:rsidR="00F411AF">
              <w:rPr>
                <w:rFonts w:ascii="Times New Roman" w:eastAsia="Batang" w:hAnsi="Times New Roman" w:cs="Times New Roman"/>
                <w:bCs/>
                <w:sz w:val="24"/>
                <w:szCs w:val="24"/>
                <w:lang w:val="ro-MD" w:eastAsia="ja-JP"/>
              </w:rPr>
              <w:t>cca. 89.872 m</w:t>
            </w:r>
            <w:r w:rsidR="00F411AF" w:rsidRPr="00F411AF">
              <w:rPr>
                <w:rFonts w:ascii="Times New Roman" w:eastAsia="Batang" w:hAnsi="Times New Roman" w:cs="Times New Roman"/>
                <w:bCs/>
                <w:sz w:val="24"/>
                <w:szCs w:val="24"/>
                <w:vertAlign w:val="superscript"/>
                <w:lang w:val="ro-MD" w:eastAsia="ja-JP"/>
              </w:rPr>
              <w:t>2</w:t>
            </w:r>
            <w:r w:rsidR="00F411AF">
              <w:rPr>
                <w:rFonts w:ascii="Times New Roman" w:eastAsia="Batang" w:hAnsi="Times New Roman" w:cs="Times New Roman"/>
                <w:bCs/>
                <w:sz w:val="24"/>
                <w:szCs w:val="24"/>
                <w:vertAlign w:val="superscript"/>
                <w:lang w:val="ro-MD" w:eastAsia="ja-JP"/>
              </w:rPr>
              <w:t xml:space="preserve"> </w:t>
            </w:r>
            <w:r w:rsidR="00F411AF" w:rsidRPr="00F411AF">
              <w:rPr>
                <w:rFonts w:ascii="Times New Roman" w:eastAsia="Batang" w:hAnsi="Times New Roman" w:cs="Times New Roman"/>
                <w:bCs/>
                <w:sz w:val="24"/>
                <w:szCs w:val="24"/>
                <w:lang w:val="ro-MD" w:eastAsia="ja-JP"/>
              </w:rPr>
              <w:t>pe</w:t>
            </w:r>
            <w:r w:rsidR="00F411AF">
              <w:rPr>
                <w:rFonts w:ascii="Times New Roman" w:eastAsia="Batang" w:hAnsi="Times New Roman" w:cs="Times New Roman"/>
                <w:bCs/>
                <w:sz w:val="24"/>
                <w:szCs w:val="24"/>
                <w:vertAlign w:val="superscript"/>
                <w:lang w:val="ro-MD" w:eastAsia="ja-JP"/>
              </w:rPr>
              <w:t xml:space="preserve"> </w:t>
            </w:r>
            <w:r w:rsidR="00F411AF">
              <w:rPr>
                <w:rFonts w:ascii="Times New Roman" w:eastAsia="Batang" w:hAnsi="Times New Roman" w:cs="Times New Roman"/>
                <w:bCs/>
                <w:sz w:val="24"/>
                <w:szCs w:val="24"/>
                <w:lang w:val="ro-MD" w:eastAsia="ja-JP"/>
              </w:rPr>
              <w:t>durata întregii perioade vizate de proiectul de lege 2024-2030.</w:t>
            </w:r>
          </w:p>
          <w:p w14:paraId="7851A14E" w14:textId="77777777" w:rsidR="00FB55E4" w:rsidRPr="0071735F" w:rsidRDefault="00FB55E4" w:rsidP="00E570D9">
            <w:pPr>
              <w:tabs>
                <w:tab w:val="left" w:pos="1418"/>
              </w:tabs>
              <w:spacing w:after="60"/>
              <w:jc w:val="both"/>
              <w:rPr>
                <w:rFonts w:ascii="Times New Roman" w:eastAsia="Batang" w:hAnsi="Times New Roman" w:cs="Times New Roman"/>
                <w:bCs/>
                <w:sz w:val="24"/>
                <w:szCs w:val="24"/>
                <w:lang w:val="ro-MD" w:eastAsia="ja-JP"/>
              </w:rPr>
            </w:pPr>
          </w:p>
          <w:p w14:paraId="38ACD266" w14:textId="71D41026" w:rsidR="00E97B59" w:rsidRPr="0071735F" w:rsidRDefault="00314A91" w:rsidP="00E97B59">
            <w:pPr>
              <w:pStyle w:val="ListParagraph"/>
              <w:numPr>
                <w:ilvl w:val="0"/>
                <w:numId w:val="31"/>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Prevederi privind contorizarea </w:t>
            </w:r>
            <w:r w:rsidR="00085E96" w:rsidRPr="0071735F">
              <w:rPr>
                <w:rFonts w:ascii="Times New Roman" w:eastAsia="Batang" w:hAnsi="Times New Roman" w:cs="Times New Roman"/>
                <w:bCs/>
                <w:sz w:val="24"/>
                <w:szCs w:val="24"/>
                <w:lang w:val="ro-MD" w:eastAsia="ja-JP"/>
              </w:rPr>
              <w:t xml:space="preserve">și facturarea </w:t>
            </w:r>
            <w:r w:rsidRPr="0071735F">
              <w:rPr>
                <w:rFonts w:ascii="Times New Roman" w:eastAsia="Batang" w:hAnsi="Times New Roman" w:cs="Times New Roman"/>
                <w:bCs/>
                <w:sz w:val="24"/>
                <w:szCs w:val="24"/>
                <w:lang w:val="ro-MD" w:eastAsia="ja-JP"/>
              </w:rPr>
              <w:t>consumului de energie electrică</w:t>
            </w:r>
            <w:r w:rsidR="00E97B59" w:rsidRPr="0071735F">
              <w:rPr>
                <w:rFonts w:ascii="Times New Roman" w:eastAsia="Batang" w:hAnsi="Times New Roman" w:cs="Times New Roman"/>
                <w:bCs/>
                <w:sz w:val="24"/>
                <w:szCs w:val="24"/>
                <w:lang w:val="ro-MD" w:eastAsia="ja-JP"/>
              </w:rPr>
              <w:t>, gaze naturale</w:t>
            </w:r>
          </w:p>
          <w:p w14:paraId="5788B5B0" w14:textId="02AA9A1F" w:rsidR="003A502F" w:rsidRPr="0071735F" w:rsidRDefault="003A502F" w:rsidP="003A502F">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Proiectul de lege ar urma să stabilească, ca și principiu general, că Guvernul</w:t>
            </w:r>
            <w:r w:rsidR="007562D9" w:rsidRPr="0071735F">
              <w:rPr>
                <w:rFonts w:ascii="Times New Roman" w:eastAsia="Batang" w:hAnsi="Times New Roman" w:cs="Times New Roman"/>
                <w:bCs/>
                <w:sz w:val="24"/>
                <w:szCs w:val="24"/>
                <w:lang w:val="ro-MD" w:eastAsia="ja-JP"/>
              </w:rPr>
              <w:t xml:space="preserve"> promovează ca</w:t>
            </w:r>
            <w:r w:rsidR="00906036" w:rsidRPr="0071735F">
              <w:rPr>
                <w:rFonts w:ascii="Times New Roman" w:eastAsia="Batang" w:hAnsi="Times New Roman" w:cs="Times New Roman"/>
                <w:bCs/>
                <w:sz w:val="24"/>
                <w:szCs w:val="24"/>
                <w:lang w:val="ro-MD" w:eastAsia="ja-JP"/>
              </w:rPr>
              <w:t xml:space="preserve"> în măsura în care este posibil din punct de vedere tehnic, rezonabil din punct de vedere financiar și proporțional în raport cu economiile de energie potențiale, clienții finali de energie electrică și gaze naturale </w:t>
            </w:r>
            <w:r w:rsidR="007562D9" w:rsidRPr="0071735F">
              <w:rPr>
                <w:rFonts w:ascii="Times New Roman" w:eastAsia="Batang" w:hAnsi="Times New Roman" w:cs="Times New Roman"/>
                <w:bCs/>
                <w:sz w:val="24"/>
                <w:szCs w:val="24"/>
                <w:lang w:val="ro-MD" w:eastAsia="ja-JP"/>
              </w:rPr>
              <w:t xml:space="preserve">să fie </w:t>
            </w:r>
            <w:r w:rsidR="00906036" w:rsidRPr="0071735F">
              <w:rPr>
                <w:rFonts w:ascii="Times New Roman" w:eastAsia="Batang" w:hAnsi="Times New Roman" w:cs="Times New Roman"/>
                <w:bCs/>
                <w:sz w:val="24"/>
                <w:szCs w:val="24"/>
                <w:lang w:val="ro-MD" w:eastAsia="ja-JP"/>
              </w:rPr>
              <w:t xml:space="preserve">dotați cu contoare individuale </w:t>
            </w:r>
            <w:r w:rsidR="007562D9" w:rsidRPr="0071735F">
              <w:rPr>
                <w:rFonts w:ascii="Times New Roman" w:eastAsia="Batang" w:hAnsi="Times New Roman" w:cs="Times New Roman"/>
                <w:bCs/>
                <w:sz w:val="24"/>
                <w:szCs w:val="24"/>
                <w:lang w:val="ro-MD" w:eastAsia="ja-JP"/>
              </w:rPr>
              <w:t xml:space="preserve">inteligente (care reflectă cu acuratețe consumul real de energie și care furnizează informații despre timpul efectiv de utilizare) </w:t>
            </w:r>
            <w:r w:rsidR="00906036" w:rsidRPr="0071735F">
              <w:rPr>
                <w:rFonts w:ascii="Times New Roman" w:eastAsia="Batang" w:hAnsi="Times New Roman" w:cs="Times New Roman"/>
                <w:bCs/>
                <w:sz w:val="24"/>
                <w:szCs w:val="24"/>
                <w:lang w:val="ro-MD" w:eastAsia="ja-JP"/>
              </w:rPr>
              <w:t>la prețuri competitive</w:t>
            </w:r>
            <w:r w:rsidR="000C1E84" w:rsidRPr="0071735F">
              <w:rPr>
                <w:rFonts w:ascii="Times New Roman" w:eastAsia="Batang" w:hAnsi="Times New Roman" w:cs="Times New Roman"/>
                <w:bCs/>
                <w:sz w:val="24"/>
                <w:szCs w:val="24"/>
                <w:lang w:val="ro-MD" w:eastAsia="ja-JP"/>
              </w:rPr>
              <w:t>.</w:t>
            </w:r>
            <w:r w:rsidR="00906036" w:rsidRPr="0071735F">
              <w:rPr>
                <w:rFonts w:ascii="Times New Roman" w:eastAsia="Batang" w:hAnsi="Times New Roman" w:cs="Times New Roman"/>
                <w:bCs/>
                <w:sz w:val="24"/>
                <w:szCs w:val="24"/>
                <w:lang w:val="ro-MD" w:eastAsia="ja-JP"/>
              </w:rPr>
              <w:t xml:space="preserve"> </w:t>
            </w:r>
          </w:p>
          <w:p w14:paraId="65E74411" w14:textId="6DD9F337" w:rsidR="00571BA3" w:rsidRPr="0071735F" w:rsidRDefault="00571BA3" w:rsidP="003A502F">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lastRenderedPageBreak/>
              <w:t>Ca și principiu general privind facturarea,</w:t>
            </w:r>
            <w:r w:rsidR="007057B3" w:rsidRPr="0071735F">
              <w:rPr>
                <w:rFonts w:ascii="Times New Roman" w:eastAsia="Batang" w:hAnsi="Times New Roman" w:cs="Times New Roman"/>
                <w:bCs/>
                <w:sz w:val="24"/>
                <w:szCs w:val="24"/>
                <w:lang w:val="ro-MD" w:eastAsia="ja-JP"/>
              </w:rPr>
              <w:t xml:space="preserve"> proiectul de lege prevede că în cazul în care, consumatorul final nu are un sistem inteligent de măsurare, </w:t>
            </w:r>
            <w:r w:rsidR="00895F6F" w:rsidRPr="0071735F">
              <w:rPr>
                <w:rFonts w:ascii="Times New Roman" w:eastAsia="Batang" w:hAnsi="Times New Roman" w:cs="Times New Roman"/>
                <w:bCs/>
                <w:sz w:val="24"/>
                <w:szCs w:val="24"/>
                <w:lang w:val="ro-MD" w:eastAsia="ja-JP"/>
              </w:rPr>
              <w:t>f</w:t>
            </w:r>
            <w:r w:rsidR="007057B3" w:rsidRPr="0071735F">
              <w:rPr>
                <w:rFonts w:ascii="Times New Roman" w:eastAsia="Batang" w:hAnsi="Times New Roman" w:cs="Times New Roman"/>
                <w:bCs/>
                <w:sz w:val="24"/>
                <w:szCs w:val="24"/>
                <w:lang w:val="ro-MD" w:eastAsia="ja-JP"/>
              </w:rPr>
              <w:t>urnizorul de electricitate</w:t>
            </w:r>
            <w:r w:rsidR="00895F6F" w:rsidRPr="0071735F">
              <w:rPr>
                <w:rFonts w:ascii="Times New Roman" w:eastAsia="Batang" w:hAnsi="Times New Roman" w:cs="Times New Roman"/>
                <w:bCs/>
                <w:sz w:val="24"/>
                <w:szCs w:val="24"/>
                <w:lang w:val="ro-MD" w:eastAsia="ja-JP"/>
              </w:rPr>
              <w:t xml:space="preserve"> ș</w:t>
            </w:r>
            <w:r w:rsidR="007057B3" w:rsidRPr="0071735F">
              <w:rPr>
                <w:rFonts w:ascii="Times New Roman" w:eastAsia="Batang" w:hAnsi="Times New Roman" w:cs="Times New Roman"/>
                <w:bCs/>
                <w:sz w:val="24"/>
                <w:szCs w:val="24"/>
                <w:lang w:val="ro-MD" w:eastAsia="ja-JP"/>
              </w:rPr>
              <w:t>i/sau gaze naturale trebuie s</w:t>
            </w:r>
            <w:r w:rsidR="00895F6F" w:rsidRPr="0071735F">
              <w:rPr>
                <w:rFonts w:ascii="Times New Roman" w:eastAsia="Batang" w:hAnsi="Times New Roman" w:cs="Times New Roman"/>
                <w:bCs/>
                <w:sz w:val="24"/>
                <w:szCs w:val="24"/>
                <w:lang w:val="ro-MD" w:eastAsia="ja-JP"/>
              </w:rPr>
              <w:t>ă</w:t>
            </w:r>
            <w:r w:rsidR="007057B3" w:rsidRPr="0071735F">
              <w:rPr>
                <w:rFonts w:ascii="Times New Roman" w:eastAsia="Batang" w:hAnsi="Times New Roman" w:cs="Times New Roman"/>
                <w:bCs/>
                <w:sz w:val="24"/>
                <w:szCs w:val="24"/>
                <w:lang w:val="ro-MD" w:eastAsia="ja-JP"/>
              </w:rPr>
              <w:t xml:space="preserve"> trimit</w:t>
            </w:r>
            <w:r w:rsidR="00895F6F" w:rsidRPr="0071735F">
              <w:rPr>
                <w:rFonts w:ascii="Times New Roman" w:eastAsia="Batang" w:hAnsi="Times New Roman" w:cs="Times New Roman"/>
                <w:bCs/>
                <w:sz w:val="24"/>
                <w:szCs w:val="24"/>
                <w:lang w:val="ro-MD" w:eastAsia="ja-JP"/>
              </w:rPr>
              <w:t>ă</w:t>
            </w:r>
            <w:r w:rsidR="007057B3" w:rsidRPr="0071735F">
              <w:rPr>
                <w:rFonts w:ascii="Times New Roman" w:eastAsia="Batang" w:hAnsi="Times New Roman" w:cs="Times New Roman"/>
                <w:bCs/>
                <w:sz w:val="24"/>
                <w:szCs w:val="24"/>
                <w:lang w:val="ro-MD" w:eastAsia="ja-JP"/>
              </w:rPr>
              <w:t xml:space="preserve"> consumatorului final facturi </w:t>
            </w:r>
            <w:r w:rsidR="00895F6F" w:rsidRPr="0071735F">
              <w:rPr>
                <w:rFonts w:ascii="Times New Roman" w:eastAsia="Batang" w:hAnsi="Times New Roman" w:cs="Times New Roman"/>
                <w:bCs/>
                <w:sz w:val="24"/>
                <w:szCs w:val="24"/>
                <w:lang w:val="ro-MD" w:eastAsia="ja-JP"/>
              </w:rPr>
              <w:t>cuprinzând</w:t>
            </w:r>
            <w:r w:rsidR="007057B3" w:rsidRPr="0071735F">
              <w:rPr>
                <w:rFonts w:ascii="Times New Roman" w:eastAsia="Batang" w:hAnsi="Times New Roman" w:cs="Times New Roman"/>
                <w:bCs/>
                <w:sz w:val="24"/>
                <w:szCs w:val="24"/>
                <w:lang w:val="ro-MD" w:eastAsia="ja-JP"/>
              </w:rPr>
              <w:t xml:space="preserve"> </w:t>
            </w:r>
            <w:r w:rsidR="00895F6F" w:rsidRPr="0071735F">
              <w:rPr>
                <w:rFonts w:ascii="Times New Roman" w:eastAsia="Batang" w:hAnsi="Times New Roman" w:cs="Times New Roman"/>
                <w:bCs/>
                <w:sz w:val="24"/>
                <w:szCs w:val="24"/>
                <w:lang w:val="ro-MD" w:eastAsia="ja-JP"/>
              </w:rPr>
              <w:t>informații</w:t>
            </w:r>
            <w:r w:rsidR="007057B3" w:rsidRPr="0071735F">
              <w:rPr>
                <w:rFonts w:ascii="Times New Roman" w:eastAsia="Batang" w:hAnsi="Times New Roman" w:cs="Times New Roman"/>
                <w:bCs/>
                <w:sz w:val="24"/>
                <w:szCs w:val="24"/>
                <w:lang w:val="ro-MD" w:eastAsia="ja-JP"/>
              </w:rPr>
              <w:t xml:space="preserve"> corecte</w:t>
            </w:r>
            <w:r w:rsidR="00895F6F" w:rsidRPr="0071735F">
              <w:rPr>
                <w:rFonts w:ascii="Times New Roman" w:eastAsia="Batang" w:hAnsi="Times New Roman" w:cs="Times New Roman"/>
                <w:bCs/>
                <w:sz w:val="24"/>
                <w:szCs w:val="24"/>
                <w:lang w:val="ro-MD" w:eastAsia="ja-JP"/>
              </w:rPr>
              <w:t xml:space="preserve"> ș</w:t>
            </w:r>
            <w:r w:rsidR="007057B3" w:rsidRPr="0071735F">
              <w:rPr>
                <w:rFonts w:ascii="Times New Roman" w:eastAsia="Batang" w:hAnsi="Times New Roman" w:cs="Times New Roman"/>
                <w:bCs/>
                <w:sz w:val="24"/>
                <w:szCs w:val="24"/>
                <w:lang w:val="ro-MD" w:eastAsia="ja-JP"/>
              </w:rPr>
              <w:t xml:space="preserve">i bazate </w:t>
            </w:r>
            <w:r w:rsidR="00895F6F" w:rsidRPr="0071735F">
              <w:rPr>
                <w:rFonts w:ascii="Times New Roman" w:eastAsia="Batang" w:hAnsi="Times New Roman" w:cs="Times New Roman"/>
                <w:bCs/>
                <w:sz w:val="24"/>
                <w:szCs w:val="24"/>
                <w:lang w:val="ro-MD" w:eastAsia="ja-JP"/>
              </w:rPr>
              <w:t>p</w:t>
            </w:r>
            <w:r w:rsidR="007057B3" w:rsidRPr="0071735F">
              <w:rPr>
                <w:rFonts w:ascii="Times New Roman" w:eastAsia="Batang" w:hAnsi="Times New Roman" w:cs="Times New Roman"/>
                <w:bCs/>
                <w:sz w:val="24"/>
                <w:szCs w:val="24"/>
                <w:lang w:val="ro-MD" w:eastAsia="ja-JP"/>
              </w:rPr>
              <w:t xml:space="preserve">e valorile consumului real, </w:t>
            </w:r>
            <w:r w:rsidR="00895F6F" w:rsidRPr="0071735F">
              <w:rPr>
                <w:rFonts w:ascii="Times New Roman" w:eastAsia="Batang" w:hAnsi="Times New Roman" w:cs="Times New Roman"/>
                <w:bCs/>
                <w:sz w:val="24"/>
                <w:szCs w:val="24"/>
                <w:lang w:val="ro-MD" w:eastAsia="ja-JP"/>
              </w:rPr>
              <w:t>î</w:t>
            </w:r>
            <w:r w:rsidR="007057B3" w:rsidRPr="0071735F">
              <w:rPr>
                <w:rFonts w:ascii="Times New Roman" w:eastAsia="Batang" w:hAnsi="Times New Roman" w:cs="Times New Roman"/>
                <w:bCs/>
                <w:sz w:val="24"/>
                <w:szCs w:val="24"/>
                <w:lang w:val="ro-MD" w:eastAsia="ja-JP"/>
              </w:rPr>
              <w:t xml:space="preserve">n cazul </w:t>
            </w:r>
            <w:r w:rsidR="00895F6F" w:rsidRPr="0071735F">
              <w:rPr>
                <w:rFonts w:ascii="Times New Roman" w:eastAsia="Batang" w:hAnsi="Times New Roman" w:cs="Times New Roman"/>
                <w:bCs/>
                <w:sz w:val="24"/>
                <w:szCs w:val="24"/>
                <w:lang w:val="ro-MD" w:eastAsia="ja-JP"/>
              </w:rPr>
              <w:t>î</w:t>
            </w:r>
            <w:r w:rsidR="007057B3" w:rsidRPr="0071735F">
              <w:rPr>
                <w:rFonts w:ascii="Times New Roman" w:eastAsia="Batang" w:hAnsi="Times New Roman" w:cs="Times New Roman"/>
                <w:bCs/>
                <w:sz w:val="24"/>
                <w:szCs w:val="24"/>
                <w:lang w:val="ro-MD" w:eastAsia="ja-JP"/>
              </w:rPr>
              <w:t xml:space="preserve">n care aceasta este posibil tehnic </w:t>
            </w:r>
            <w:r w:rsidR="00895F6F" w:rsidRPr="0071735F">
              <w:rPr>
                <w:rFonts w:ascii="Times New Roman" w:eastAsia="Batang" w:hAnsi="Times New Roman" w:cs="Times New Roman"/>
                <w:bCs/>
                <w:sz w:val="24"/>
                <w:szCs w:val="24"/>
                <w:lang w:val="ro-MD" w:eastAsia="ja-JP"/>
              </w:rPr>
              <w:t>ș</w:t>
            </w:r>
            <w:r w:rsidR="007057B3" w:rsidRPr="0071735F">
              <w:rPr>
                <w:rFonts w:ascii="Times New Roman" w:eastAsia="Batang" w:hAnsi="Times New Roman" w:cs="Times New Roman"/>
                <w:bCs/>
                <w:sz w:val="24"/>
                <w:szCs w:val="24"/>
                <w:lang w:val="ro-MD" w:eastAsia="ja-JP"/>
              </w:rPr>
              <w:t>i justificat economic.</w:t>
            </w:r>
          </w:p>
          <w:p w14:paraId="2963BFA5" w14:textId="0E7A9A71" w:rsidR="00CD1CD1" w:rsidRPr="0071735F" w:rsidRDefault="00CD1CD1" w:rsidP="00CD1CD1">
            <w:pPr>
              <w:pStyle w:val="ListParagraph"/>
              <w:numPr>
                <w:ilvl w:val="0"/>
                <w:numId w:val="31"/>
              </w:num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Prevederi privind contorizarea și facturarea consumului de energie cu încălzirea, răcirea și alimentarea cu apă caldă menajeră</w:t>
            </w:r>
          </w:p>
          <w:p w14:paraId="1083A9A9" w14:textId="1F3597A1" w:rsidR="00CD1CD1" w:rsidRPr="0071735F" w:rsidRDefault="003E495B" w:rsidP="00CD1CD1">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Ca și regulă generală, </w:t>
            </w:r>
            <w:r w:rsidR="00CA65A9" w:rsidRPr="0071735F">
              <w:rPr>
                <w:rFonts w:ascii="Times New Roman" w:eastAsia="Batang" w:hAnsi="Times New Roman" w:cs="Times New Roman"/>
                <w:bCs/>
                <w:sz w:val="24"/>
                <w:szCs w:val="24"/>
                <w:lang w:val="ro-MD" w:eastAsia="ja-JP"/>
              </w:rPr>
              <w:t xml:space="preserve">furnizorul de energie termică sau agent de </w:t>
            </w:r>
            <w:r w:rsidR="00CD40B5" w:rsidRPr="0071735F">
              <w:rPr>
                <w:rFonts w:ascii="Times New Roman" w:eastAsia="Batang" w:hAnsi="Times New Roman" w:cs="Times New Roman"/>
                <w:bCs/>
                <w:sz w:val="24"/>
                <w:szCs w:val="24"/>
                <w:lang w:val="ro-MD" w:eastAsia="ja-JP"/>
              </w:rPr>
              <w:t>răcire/climatizare</w:t>
            </w:r>
            <w:r w:rsidR="00CA65A9" w:rsidRPr="0071735F">
              <w:rPr>
                <w:rFonts w:ascii="Times New Roman" w:eastAsia="Batang" w:hAnsi="Times New Roman" w:cs="Times New Roman"/>
                <w:bCs/>
                <w:sz w:val="24"/>
                <w:szCs w:val="24"/>
                <w:lang w:val="ro-MD" w:eastAsia="ja-JP"/>
              </w:rPr>
              <w:t xml:space="preserve">, </w:t>
            </w:r>
            <w:r w:rsidR="00CD40B5" w:rsidRPr="0071735F">
              <w:rPr>
                <w:rFonts w:ascii="Times New Roman" w:eastAsia="Batang" w:hAnsi="Times New Roman" w:cs="Times New Roman"/>
                <w:bCs/>
                <w:sz w:val="24"/>
                <w:szCs w:val="24"/>
                <w:lang w:val="ro-MD" w:eastAsia="ja-JP"/>
              </w:rPr>
              <w:t>ș</w:t>
            </w:r>
            <w:r w:rsidR="00CA65A9" w:rsidRPr="0071735F">
              <w:rPr>
                <w:rFonts w:ascii="Times New Roman" w:eastAsia="Batang" w:hAnsi="Times New Roman" w:cs="Times New Roman"/>
                <w:bCs/>
                <w:sz w:val="24"/>
                <w:szCs w:val="24"/>
                <w:lang w:val="ro-MD" w:eastAsia="ja-JP"/>
              </w:rPr>
              <w:t>i de ap</w:t>
            </w:r>
            <w:r w:rsidR="00CD40B5"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xml:space="preserve"> cald</w:t>
            </w:r>
            <w:r w:rsidR="00CD40B5"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xml:space="preserve"> menajer</w:t>
            </w:r>
            <w:r w:rsidR="00CD40B5"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xml:space="preserve"> </w:t>
            </w:r>
            <w:r w:rsidR="00CD40B5" w:rsidRPr="0071735F">
              <w:rPr>
                <w:rFonts w:ascii="Times New Roman" w:eastAsia="Batang" w:hAnsi="Times New Roman" w:cs="Times New Roman"/>
                <w:bCs/>
                <w:sz w:val="24"/>
                <w:szCs w:val="24"/>
                <w:lang w:val="ro-MD" w:eastAsia="ja-JP"/>
              </w:rPr>
              <w:t>î</w:t>
            </w:r>
            <w:r w:rsidR="00CA65A9" w:rsidRPr="0071735F">
              <w:rPr>
                <w:rFonts w:ascii="Times New Roman" w:eastAsia="Batang" w:hAnsi="Times New Roman" w:cs="Times New Roman"/>
                <w:bCs/>
                <w:sz w:val="24"/>
                <w:szCs w:val="24"/>
                <w:lang w:val="ro-MD" w:eastAsia="ja-JP"/>
              </w:rPr>
              <w:t>ntr-o re</w:t>
            </w:r>
            <w:r w:rsidR="00CD40B5" w:rsidRPr="0071735F">
              <w:rPr>
                <w:rFonts w:ascii="Times New Roman" w:eastAsia="Batang" w:hAnsi="Times New Roman" w:cs="Times New Roman"/>
                <w:bCs/>
                <w:sz w:val="24"/>
                <w:szCs w:val="24"/>
                <w:lang w:val="ro-MD" w:eastAsia="ja-JP"/>
              </w:rPr>
              <w:t>ț</w:t>
            </w:r>
            <w:r w:rsidR="00CA65A9" w:rsidRPr="0071735F">
              <w:rPr>
                <w:rFonts w:ascii="Times New Roman" w:eastAsia="Batang" w:hAnsi="Times New Roman" w:cs="Times New Roman"/>
                <w:bCs/>
                <w:sz w:val="24"/>
                <w:szCs w:val="24"/>
                <w:lang w:val="ro-MD" w:eastAsia="ja-JP"/>
              </w:rPr>
              <w:t>ea de distribu</w:t>
            </w:r>
            <w:r w:rsidR="00CD40B5" w:rsidRPr="0071735F">
              <w:rPr>
                <w:rFonts w:ascii="Times New Roman" w:eastAsia="Batang" w:hAnsi="Times New Roman" w:cs="Times New Roman"/>
                <w:bCs/>
                <w:sz w:val="24"/>
                <w:szCs w:val="24"/>
                <w:lang w:val="ro-MD" w:eastAsia="ja-JP"/>
              </w:rPr>
              <w:t>ț</w:t>
            </w:r>
            <w:r w:rsidR="00CA65A9" w:rsidRPr="0071735F">
              <w:rPr>
                <w:rFonts w:ascii="Times New Roman" w:eastAsia="Batang" w:hAnsi="Times New Roman" w:cs="Times New Roman"/>
                <w:bCs/>
                <w:sz w:val="24"/>
                <w:szCs w:val="24"/>
                <w:lang w:val="ro-MD" w:eastAsia="ja-JP"/>
              </w:rPr>
              <w:t>ie centralizat</w:t>
            </w:r>
            <w:r w:rsidR="00CD40B5"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este obligat s</w:t>
            </w:r>
            <w:r w:rsidR="00766020"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xml:space="preserve"> monteze contoare la consumatorul final</w:t>
            </w:r>
            <w:r w:rsidR="00466399" w:rsidRPr="0071735F">
              <w:rPr>
                <w:rFonts w:ascii="Times New Roman" w:eastAsia="Batang" w:hAnsi="Times New Roman" w:cs="Times New Roman"/>
                <w:bCs/>
                <w:sz w:val="24"/>
                <w:szCs w:val="24"/>
                <w:lang w:val="ro-MD" w:eastAsia="ja-JP"/>
              </w:rPr>
              <w:t>, în punctul de delimitare a proprietății (stabilit conform Legii 92/2014</w:t>
            </w:r>
            <w:r w:rsidR="00351220" w:rsidRPr="0071735F">
              <w:rPr>
                <w:rFonts w:ascii="Times New Roman" w:eastAsia="Batang" w:hAnsi="Times New Roman" w:cs="Times New Roman"/>
                <w:bCs/>
                <w:sz w:val="24"/>
                <w:szCs w:val="24"/>
                <w:lang w:val="ro-MD" w:eastAsia="ja-JP"/>
              </w:rPr>
              <w:t xml:space="preserve"> cu privire la energia termică și promovarea cogenerării</w:t>
            </w:r>
            <w:r w:rsidR="00466399" w:rsidRPr="0071735F">
              <w:rPr>
                <w:rFonts w:ascii="Times New Roman" w:eastAsia="Batang" w:hAnsi="Times New Roman" w:cs="Times New Roman"/>
                <w:bCs/>
                <w:sz w:val="24"/>
                <w:szCs w:val="24"/>
                <w:lang w:val="ro-MD" w:eastAsia="ja-JP"/>
              </w:rPr>
              <w:t>)</w:t>
            </w:r>
            <w:r w:rsidR="00CA65A9" w:rsidRPr="0071735F">
              <w:rPr>
                <w:rFonts w:ascii="Times New Roman" w:eastAsia="Batang" w:hAnsi="Times New Roman" w:cs="Times New Roman"/>
                <w:bCs/>
                <w:sz w:val="24"/>
                <w:szCs w:val="24"/>
                <w:lang w:val="ro-MD" w:eastAsia="ja-JP"/>
              </w:rPr>
              <w:t xml:space="preserve"> care reflect</w:t>
            </w:r>
            <w:r w:rsidR="00766020" w:rsidRPr="0071735F">
              <w:rPr>
                <w:rFonts w:ascii="Times New Roman" w:eastAsia="Batang" w:hAnsi="Times New Roman" w:cs="Times New Roman"/>
                <w:bCs/>
                <w:sz w:val="24"/>
                <w:szCs w:val="24"/>
                <w:lang w:val="ro-MD" w:eastAsia="ja-JP"/>
              </w:rPr>
              <w:t>ă</w:t>
            </w:r>
            <w:r w:rsidR="00CA65A9" w:rsidRPr="0071735F">
              <w:rPr>
                <w:rFonts w:ascii="Times New Roman" w:eastAsia="Batang" w:hAnsi="Times New Roman" w:cs="Times New Roman"/>
                <w:bCs/>
                <w:sz w:val="24"/>
                <w:szCs w:val="24"/>
                <w:lang w:val="ro-MD" w:eastAsia="ja-JP"/>
              </w:rPr>
              <w:t xml:space="preserve"> </w:t>
            </w:r>
            <w:r w:rsidR="00766020" w:rsidRPr="0071735F">
              <w:rPr>
                <w:rFonts w:ascii="Times New Roman" w:eastAsia="Batang" w:hAnsi="Times New Roman" w:cs="Times New Roman"/>
                <w:bCs/>
                <w:sz w:val="24"/>
                <w:szCs w:val="24"/>
                <w:lang w:val="ro-MD" w:eastAsia="ja-JP"/>
              </w:rPr>
              <w:t>î</w:t>
            </w:r>
            <w:r w:rsidR="00CA65A9" w:rsidRPr="0071735F">
              <w:rPr>
                <w:rFonts w:ascii="Times New Roman" w:eastAsia="Batang" w:hAnsi="Times New Roman" w:cs="Times New Roman"/>
                <w:bCs/>
                <w:sz w:val="24"/>
                <w:szCs w:val="24"/>
                <w:lang w:val="ro-MD" w:eastAsia="ja-JP"/>
              </w:rPr>
              <w:t>n mod corect consumul real de energie, costurile fiind reflectate în tarif</w:t>
            </w:r>
            <w:r w:rsidR="00766020" w:rsidRPr="0071735F">
              <w:rPr>
                <w:rFonts w:ascii="Times New Roman" w:eastAsia="Batang" w:hAnsi="Times New Roman" w:cs="Times New Roman"/>
                <w:bCs/>
                <w:sz w:val="24"/>
                <w:szCs w:val="24"/>
                <w:lang w:val="ro-MD" w:eastAsia="ja-JP"/>
              </w:rPr>
              <w:t xml:space="preserve">ul </w:t>
            </w:r>
            <w:r w:rsidR="00CA65A9" w:rsidRPr="0071735F">
              <w:rPr>
                <w:rFonts w:ascii="Times New Roman" w:eastAsia="Batang" w:hAnsi="Times New Roman" w:cs="Times New Roman"/>
                <w:bCs/>
                <w:sz w:val="24"/>
                <w:szCs w:val="24"/>
                <w:lang w:val="ro-MD" w:eastAsia="ja-JP"/>
              </w:rPr>
              <w:t xml:space="preserve"> suportat de consumator</w:t>
            </w:r>
            <w:r w:rsidR="00766020" w:rsidRPr="0071735F">
              <w:rPr>
                <w:rFonts w:ascii="Times New Roman" w:eastAsia="Batang" w:hAnsi="Times New Roman" w:cs="Times New Roman"/>
                <w:bCs/>
                <w:sz w:val="24"/>
                <w:szCs w:val="24"/>
                <w:lang w:val="ro-MD" w:eastAsia="ja-JP"/>
              </w:rPr>
              <w:t>ii</w:t>
            </w:r>
            <w:r w:rsidR="00CA65A9" w:rsidRPr="0071735F">
              <w:rPr>
                <w:rFonts w:ascii="Times New Roman" w:eastAsia="Batang" w:hAnsi="Times New Roman" w:cs="Times New Roman"/>
                <w:bCs/>
                <w:sz w:val="24"/>
                <w:szCs w:val="24"/>
                <w:lang w:val="ro-MD" w:eastAsia="ja-JP"/>
              </w:rPr>
              <w:t xml:space="preserve"> final</w:t>
            </w:r>
            <w:r w:rsidR="00766020" w:rsidRPr="0071735F">
              <w:rPr>
                <w:rFonts w:ascii="Times New Roman" w:eastAsia="Batang" w:hAnsi="Times New Roman" w:cs="Times New Roman"/>
                <w:bCs/>
                <w:sz w:val="24"/>
                <w:szCs w:val="24"/>
                <w:lang w:val="ro-MD" w:eastAsia="ja-JP"/>
              </w:rPr>
              <w:t>i.</w:t>
            </w:r>
          </w:p>
          <w:p w14:paraId="073EE045" w14:textId="77777777" w:rsidR="00155473" w:rsidRPr="0071735F" w:rsidRDefault="00852495" w:rsidP="00CD1CD1">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În cazul în care instalarea echipamentelor de măsurare individuale nu este posibilă din punct de vedere tehnic sau nu este justificată din punct de vedere economic, se utilizează repartitoare individuale de costuri destinate măsurării consumului de energie termică la fiecare corp de încălzire în parte, cu excepția cazului în care se demonstrează că instalarea unor astfel de repartitoare nu  este eficientă din punct de vedere economic.</w:t>
            </w:r>
          </w:p>
          <w:p w14:paraId="1A8EDE9A" w14:textId="4A7344DB" w:rsidR="00155473" w:rsidRPr="0071735F" w:rsidRDefault="00155473" w:rsidP="00CD1CD1">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În cazul în care, în clădirile de locuit cu mai multe apartamente, instalarea echipamentelor de măsurare individuale sau a repartitoarelor individuale de costuri nu este posibilă din punct de    vedere tehnic sau nu este justificată din punct de vedere economic, repartizarea între apartamentele din clădire a cantității de energie termică furnizată se va efectua în conformitate cu procedura stabilită în Normele tehnice cu privire la repartizarea consumului de energie termică în interiorul clădirilor de locuit cu mai multe apartamente.</w:t>
            </w:r>
          </w:p>
          <w:p w14:paraId="5EC2B7EA" w14:textId="122E7017" w:rsidR="0003050E" w:rsidRPr="0071735F" w:rsidRDefault="0003050E" w:rsidP="00CD1CD1">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Totodată, în cazul clădirilor de locuit noi, cu mai multe apartamente</w:t>
            </w:r>
            <w:r w:rsidR="00BA365B" w:rsidRPr="0071735F">
              <w:rPr>
                <w:rFonts w:ascii="Times New Roman" w:eastAsia="Batang" w:hAnsi="Times New Roman" w:cs="Times New Roman"/>
                <w:bCs/>
                <w:sz w:val="24"/>
                <w:szCs w:val="24"/>
                <w:lang w:val="ro-MD" w:eastAsia="ja-JP"/>
              </w:rPr>
              <w:t>, c</w:t>
            </w:r>
            <w:r w:rsidRPr="0071735F">
              <w:rPr>
                <w:rFonts w:ascii="Times New Roman" w:eastAsia="Batang" w:hAnsi="Times New Roman" w:cs="Times New Roman"/>
                <w:bCs/>
                <w:sz w:val="24"/>
                <w:szCs w:val="24"/>
                <w:lang w:val="ro-MD" w:eastAsia="ja-JP"/>
              </w:rPr>
              <w:t>are sunt echipate cu o sursa centralizat</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de c</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ldur</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pentru producerea apei calde, sau sunt alimentate de la sistemul de termoficare urban</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furnizorul de ap</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cald</w:t>
            </w:r>
            <w:r w:rsidR="00BA365B" w:rsidRPr="0071735F">
              <w:rPr>
                <w:rFonts w:ascii="Times New Roman" w:eastAsia="Batang" w:hAnsi="Times New Roman" w:cs="Times New Roman"/>
                <w:bCs/>
                <w:sz w:val="24"/>
                <w:szCs w:val="24"/>
                <w:lang w:val="ro-MD" w:eastAsia="ja-JP"/>
              </w:rPr>
              <w:t xml:space="preserve">ă </w:t>
            </w:r>
            <w:r w:rsidRPr="0071735F">
              <w:rPr>
                <w:rFonts w:ascii="Times New Roman" w:eastAsia="Batang" w:hAnsi="Times New Roman" w:cs="Times New Roman"/>
                <w:bCs/>
                <w:sz w:val="24"/>
                <w:szCs w:val="24"/>
                <w:lang w:val="ro-MD" w:eastAsia="ja-JP"/>
              </w:rPr>
              <w:t>monteaz</w:t>
            </w:r>
            <w:r w:rsidR="00BA365B"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contoare individuale pentru apa cald</w:t>
            </w:r>
            <w:r w:rsidR="00BA365B" w:rsidRPr="0071735F">
              <w:rPr>
                <w:rFonts w:ascii="Times New Roman" w:eastAsia="Batang" w:hAnsi="Times New Roman" w:cs="Times New Roman"/>
                <w:bCs/>
                <w:sz w:val="24"/>
                <w:szCs w:val="24"/>
                <w:lang w:val="ro-MD" w:eastAsia="ja-JP"/>
              </w:rPr>
              <w:t>ă menajeră.</w:t>
            </w:r>
          </w:p>
          <w:p w14:paraId="7DB4F783" w14:textId="65B711FA" w:rsidR="003A502F" w:rsidRPr="0071735F" w:rsidRDefault="00A83279" w:rsidP="00A83279">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Față de contoare și repartitoarele de costuri sunt stabilite reguli de citire de la distanță. Astfel, unitățile instalate după data de 30 octombrie 2023 trebuie sa poată fi citite la distanta. Contoarele și repartitoarele de costuri care nu pot fi citite la distanta, dar au fost deja instalate, trebuie sa fie adaptate citirii la distanta sau înlocuite cu echipamente citibile la distanță până la data de 1 ianuarie 2030, cu excep</w:t>
            </w:r>
            <w:r w:rsidR="00A11725" w:rsidRPr="0071735F">
              <w:rPr>
                <w:rFonts w:ascii="Times New Roman" w:eastAsia="Batang" w:hAnsi="Times New Roman" w:cs="Times New Roman"/>
                <w:bCs/>
                <w:sz w:val="24"/>
                <w:szCs w:val="24"/>
                <w:lang w:val="ro-MD" w:eastAsia="ja-JP"/>
              </w:rPr>
              <w:t>ț</w:t>
            </w:r>
            <w:r w:rsidRPr="0071735F">
              <w:rPr>
                <w:rFonts w:ascii="Times New Roman" w:eastAsia="Batang" w:hAnsi="Times New Roman" w:cs="Times New Roman"/>
                <w:bCs/>
                <w:sz w:val="24"/>
                <w:szCs w:val="24"/>
                <w:lang w:val="ro-MD" w:eastAsia="ja-JP"/>
              </w:rPr>
              <w:t xml:space="preserve">ia acelora pentru care furnizorul de servicii </w:t>
            </w:r>
            <w:r w:rsidR="00A11725" w:rsidRPr="0071735F">
              <w:rPr>
                <w:rFonts w:ascii="Times New Roman" w:eastAsia="Batang" w:hAnsi="Times New Roman" w:cs="Times New Roman"/>
                <w:bCs/>
                <w:sz w:val="24"/>
                <w:szCs w:val="24"/>
                <w:lang w:val="ro-MD" w:eastAsia="ja-JP"/>
              </w:rPr>
              <w:t>demonstrează</w:t>
            </w:r>
            <w:r w:rsidRPr="0071735F">
              <w:rPr>
                <w:rFonts w:ascii="Times New Roman" w:eastAsia="Batang" w:hAnsi="Times New Roman" w:cs="Times New Roman"/>
                <w:bCs/>
                <w:sz w:val="24"/>
                <w:szCs w:val="24"/>
                <w:lang w:val="ro-MD" w:eastAsia="ja-JP"/>
              </w:rPr>
              <w:t xml:space="preserve"> c</w:t>
            </w:r>
            <w:r w:rsidR="00A11725"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w:t>
            </w:r>
            <w:r w:rsidR="00A11725" w:rsidRPr="0071735F">
              <w:rPr>
                <w:rFonts w:ascii="Times New Roman" w:eastAsia="Batang" w:hAnsi="Times New Roman" w:cs="Times New Roman"/>
                <w:bCs/>
                <w:sz w:val="24"/>
                <w:szCs w:val="24"/>
                <w:lang w:val="ro-MD" w:eastAsia="ja-JP"/>
              </w:rPr>
              <w:t>operația</w:t>
            </w:r>
            <w:r w:rsidRPr="0071735F">
              <w:rPr>
                <w:rFonts w:ascii="Times New Roman" w:eastAsia="Batang" w:hAnsi="Times New Roman" w:cs="Times New Roman"/>
                <w:bCs/>
                <w:sz w:val="24"/>
                <w:szCs w:val="24"/>
                <w:lang w:val="ro-MD" w:eastAsia="ja-JP"/>
              </w:rPr>
              <w:t xml:space="preserve"> nu este eficient</w:t>
            </w:r>
            <w:r w:rsidR="00A11725" w:rsidRPr="0071735F">
              <w:rPr>
                <w:rFonts w:ascii="Times New Roman" w:eastAsia="Batang" w:hAnsi="Times New Roman" w:cs="Times New Roman"/>
                <w:bCs/>
                <w:sz w:val="24"/>
                <w:szCs w:val="24"/>
                <w:lang w:val="ro-MD" w:eastAsia="ja-JP"/>
              </w:rPr>
              <w:t>ă</w:t>
            </w:r>
            <w:r w:rsidRPr="0071735F">
              <w:rPr>
                <w:rFonts w:ascii="Times New Roman" w:eastAsia="Batang" w:hAnsi="Times New Roman" w:cs="Times New Roman"/>
                <w:bCs/>
                <w:sz w:val="24"/>
                <w:szCs w:val="24"/>
                <w:lang w:val="ro-MD" w:eastAsia="ja-JP"/>
              </w:rPr>
              <w:t xml:space="preserve"> din punct de vedere al costu</w:t>
            </w:r>
            <w:r w:rsidR="00A11725" w:rsidRPr="0071735F">
              <w:rPr>
                <w:rFonts w:ascii="Times New Roman" w:eastAsia="Batang" w:hAnsi="Times New Roman" w:cs="Times New Roman"/>
                <w:bCs/>
                <w:sz w:val="24"/>
                <w:szCs w:val="24"/>
                <w:lang w:val="ro-MD" w:eastAsia="ja-JP"/>
              </w:rPr>
              <w:t>rilor.</w:t>
            </w:r>
          </w:p>
          <w:p w14:paraId="755D75E6" w14:textId="05C87935" w:rsidR="003A502F" w:rsidRPr="0071735F" w:rsidRDefault="00BC20B5" w:rsidP="00C83758">
            <w:pPr>
              <w:tabs>
                <w:tab w:val="left" w:pos="1418"/>
              </w:tabs>
              <w:spacing w:after="6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Acolo unde sunt instalate contoare sau repartitoare de cost, furnizorul de servicii trebuie să își bazeze factura și informațiile aferente pe consumul real și corect înregistrat sau pe citirea repartitoarelor de cost.</w:t>
            </w:r>
          </w:p>
        </w:tc>
      </w:tr>
      <w:tr w:rsidR="00B468B6" w:rsidRPr="0071735F" w14:paraId="5C0C1AC2" w14:textId="77777777" w:rsidTr="00125D3C">
        <w:trPr>
          <w:jc w:val="center"/>
        </w:trPr>
        <w:tc>
          <w:tcPr>
            <w:tcW w:w="5000" w:type="pct"/>
            <w:gridSpan w:val="2"/>
            <w:shd w:val="clear" w:color="auto" w:fill="auto"/>
            <w:tcMar>
              <w:top w:w="15" w:type="dxa"/>
              <w:left w:w="45" w:type="dxa"/>
              <w:bottom w:w="15" w:type="dxa"/>
              <w:right w:w="45" w:type="dxa"/>
            </w:tcMar>
          </w:tcPr>
          <w:p w14:paraId="746183D9" w14:textId="454D9039"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c) </w:t>
            </w:r>
            <w:r w:rsidR="001D4C66"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w:t>
            </w:r>
            <w:r w:rsidR="001D4C66" w:rsidRPr="0071735F">
              <w:rPr>
                <w:rFonts w:ascii="Times New Roman" w:eastAsia="Calibri" w:hAnsi="Times New Roman" w:cs="Times New Roman"/>
                <w:b/>
                <w:sz w:val="24"/>
                <w:szCs w:val="24"/>
                <w:lang w:val="ro-MD" w:eastAsia="en-GB"/>
              </w:rPr>
              <w:t>opțiunile</w:t>
            </w:r>
            <w:r w:rsidRPr="0071735F">
              <w:rPr>
                <w:rFonts w:ascii="Times New Roman" w:eastAsia="Calibri" w:hAnsi="Times New Roman" w:cs="Times New Roman"/>
                <w:b/>
                <w:sz w:val="24"/>
                <w:szCs w:val="24"/>
                <w:lang w:val="ro-MD" w:eastAsia="en-GB"/>
              </w:rPr>
              <w:t xml:space="preserve"> alternative analizate sau </w:t>
            </w:r>
            <w:r w:rsidR="001D4C66" w:rsidRPr="0071735F">
              <w:rPr>
                <w:rFonts w:ascii="Times New Roman" w:eastAsia="Calibri" w:hAnsi="Times New Roman" w:cs="Times New Roman"/>
                <w:b/>
                <w:sz w:val="24"/>
                <w:szCs w:val="24"/>
                <w:lang w:val="ro-MD" w:eastAsia="en-GB"/>
              </w:rPr>
              <w:t>explicați</w:t>
            </w:r>
            <w:r w:rsidRPr="0071735F">
              <w:rPr>
                <w:rFonts w:ascii="Times New Roman" w:eastAsia="Calibri" w:hAnsi="Times New Roman" w:cs="Times New Roman"/>
                <w:b/>
                <w:sz w:val="24"/>
                <w:szCs w:val="24"/>
                <w:lang w:val="ro-MD" w:eastAsia="en-GB"/>
              </w:rPr>
              <w:t xml:space="preserve"> motivul de ce acestea nu au fost luate în considerare</w:t>
            </w:r>
            <w:r w:rsidR="001D4C66" w:rsidRPr="0071735F">
              <w:rPr>
                <w:rFonts w:ascii="Times New Roman" w:eastAsia="Calibri" w:hAnsi="Times New Roman" w:cs="Times New Roman"/>
                <w:b/>
                <w:sz w:val="24"/>
                <w:szCs w:val="24"/>
                <w:lang w:val="ro-MD" w:eastAsia="en-GB"/>
              </w:rPr>
              <w:t>.</w:t>
            </w:r>
          </w:p>
        </w:tc>
      </w:tr>
      <w:tr w:rsidR="00B468B6" w:rsidRPr="00D22310" w14:paraId="5118EC8A" w14:textId="77777777" w:rsidTr="00125D3C">
        <w:trPr>
          <w:jc w:val="center"/>
        </w:trPr>
        <w:tc>
          <w:tcPr>
            <w:tcW w:w="5000" w:type="pct"/>
            <w:gridSpan w:val="2"/>
            <w:tcMar>
              <w:top w:w="15" w:type="dxa"/>
              <w:left w:w="45" w:type="dxa"/>
              <w:bottom w:w="15" w:type="dxa"/>
              <w:right w:w="45" w:type="dxa"/>
            </w:tcMar>
          </w:tcPr>
          <w:p w14:paraId="576B794A" w14:textId="5B485D2A" w:rsidR="00C83758" w:rsidRPr="0071735F" w:rsidRDefault="00281175" w:rsidP="00615C7E">
            <w:pPr>
              <w:spacing w:before="120" w:after="120"/>
              <w:jc w:val="both"/>
              <w:rPr>
                <w:rFonts w:ascii="Times New Roman" w:eastAsia="Times New Roman" w:hAnsi="Times New Roman" w:cs="Times New Roman"/>
                <w:sz w:val="24"/>
                <w:szCs w:val="24"/>
                <w:lang w:val="ro-MD" w:eastAsia="ru-RU"/>
              </w:rPr>
            </w:pPr>
            <w:r w:rsidRPr="0071735F">
              <w:rPr>
                <w:rFonts w:ascii="Times New Roman" w:eastAsia="Times New Roman" w:hAnsi="Times New Roman" w:cs="Times New Roman"/>
                <w:sz w:val="24"/>
                <w:szCs w:val="24"/>
                <w:lang w:val="ro-MD" w:eastAsia="ru-RU"/>
              </w:rPr>
              <w:t xml:space="preserve">Obligația de aliniere a legislației naționale la </w:t>
            </w:r>
            <w:r w:rsidRPr="0071735F">
              <w:rPr>
                <w:rFonts w:ascii="Times New Roman" w:eastAsia="Times New Roman" w:hAnsi="Times New Roman" w:cs="Times New Roman"/>
                <w:i/>
                <w:iCs/>
                <w:sz w:val="24"/>
                <w:szCs w:val="24"/>
                <w:lang w:val="ro-MD" w:eastAsia="ru-RU"/>
              </w:rPr>
              <w:t>acquis</w:t>
            </w:r>
            <w:r w:rsidRPr="0071735F">
              <w:rPr>
                <w:rFonts w:ascii="Times New Roman" w:eastAsia="Times New Roman" w:hAnsi="Times New Roman" w:cs="Times New Roman"/>
                <w:sz w:val="24"/>
                <w:szCs w:val="24"/>
                <w:lang w:val="ro-MD" w:eastAsia="ru-RU"/>
              </w:rPr>
              <w:t xml:space="preserve">-ul comunitar este un </w:t>
            </w:r>
            <w:r w:rsidR="005B564D" w:rsidRPr="0071735F">
              <w:rPr>
                <w:rFonts w:ascii="Times New Roman" w:eastAsia="Times New Roman" w:hAnsi="Times New Roman" w:cs="Times New Roman"/>
                <w:sz w:val="24"/>
                <w:szCs w:val="24"/>
                <w:lang w:val="ro-MD" w:eastAsia="ru-RU"/>
              </w:rPr>
              <w:t>angajament</w:t>
            </w:r>
            <w:r w:rsidRPr="0071735F">
              <w:rPr>
                <w:rFonts w:ascii="Times New Roman" w:eastAsia="Times New Roman" w:hAnsi="Times New Roman" w:cs="Times New Roman"/>
                <w:sz w:val="24"/>
                <w:szCs w:val="24"/>
                <w:lang w:val="ro-MD" w:eastAsia="ru-RU"/>
              </w:rPr>
              <w:t xml:space="preserve"> al statului, și pr</w:t>
            </w:r>
            <w:r w:rsidR="005B564D" w:rsidRPr="0071735F">
              <w:rPr>
                <w:rFonts w:ascii="Times New Roman" w:eastAsia="Times New Roman" w:hAnsi="Times New Roman" w:cs="Times New Roman"/>
                <w:sz w:val="24"/>
                <w:szCs w:val="24"/>
                <w:lang w:val="ro-MD" w:eastAsia="ru-RU"/>
              </w:rPr>
              <w:t>i</w:t>
            </w:r>
            <w:r w:rsidRPr="0071735F">
              <w:rPr>
                <w:rFonts w:ascii="Times New Roman" w:eastAsia="Times New Roman" w:hAnsi="Times New Roman" w:cs="Times New Roman"/>
                <w:sz w:val="24"/>
                <w:szCs w:val="24"/>
                <w:lang w:val="ro-MD" w:eastAsia="ru-RU"/>
              </w:rPr>
              <w:t>n urmare,</w:t>
            </w:r>
            <w:r w:rsidR="005B564D" w:rsidRPr="0071735F">
              <w:rPr>
                <w:rFonts w:ascii="Times New Roman" w:eastAsia="Times New Roman" w:hAnsi="Times New Roman" w:cs="Times New Roman"/>
                <w:sz w:val="24"/>
                <w:szCs w:val="24"/>
                <w:lang w:val="ro-MD" w:eastAsia="ru-RU"/>
              </w:rPr>
              <w:t xml:space="preserve"> nu are opțiuni alternative.</w:t>
            </w:r>
            <w:r w:rsidRPr="0071735F">
              <w:rPr>
                <w:rFonts w:ascii="Times New Roman" w:eastAsia="Times New Roman" w:hAnsi="Times New Roman" w:cs="Times New Roman"/>
                <w:sz w:val="24"/>
                <w:szCs w:val="24"/>
                <w:lang w:val="ro-MD" w:eastAsia="ru-RU"/>
              </w:rPr>
              <w:t xml:space="preserve"> </w:t>
            </w:r>
            <w:r w:rsidR="00615C7E" w:rsidRPr="0071735F">
              <w:rPr>
                <w:rFonts w:ascii="Times New Roman" w:eastAsia="Times New Roman" w:hAnsi="Times New Roman" w:cs="Times New Roman"/>
                <w:sz w:val="24"/>
                <w:szCs w:val="24"/>
                <w:lang w:val="ro-MD" w:eastAsia="ru-RU"/>
              </w:rPr>
              <w:t xml:space="preserve"> </w:t>
            </w:r>
          </w:p>
        </w:tc>
      </w:tr>
      <w:tr w:rsidR="00B468B6" w:rsidRPr="0071735F" w14:paraId="1909242E" w14:textId="77777777" w:rsidTr="00125D3C">
        <w:trPr>
          <w:jc w:val="center"/>
        </w:trPr>
        <w:tc>
          <w:tcPr>
            <w:tcW w:w="5000" w:type="pct"/>
            <w:gridSpan w:val="2"/>
            <w:shd w:val="clear" w:color="auto" w:fill="auto"/>
            <w:tcMar>
              <w:top w:w="15" w:type="dxa"/>
              <w:left w:w="45" w:type="dxa"/>
              <w:bottom w:w="15" w:type="dxa"/>
              <w:right w:w="45" w:type="dxa"/>
            </w:tcMar>
          </w:tcPr>
          <w:p w14:paraId="4437501C" w14:textId="057A5A73" w:rsidR="00AD1A52" w:rsidRPr="0071735F" w:rsidRDefault="00B468B6" w:rsidP="00DA5F81">
            <w:pPr>
              <w:spacing w:before="120" w:after="120"/>
              <w:rPr>
                <w:rFonts w:ascii="Times New Roman" w:eastAsia="Times New Roman" w:hAnsi="Times New Roman" w:cs="Times New Roman"/>
                <w:b/>
                <w:sz w:val="24"/>
                <w:szCs w:val="24"/>
                <w:lang w:val="ro-MD" w:eastAsia="ru-RU"/>
              </w:rPr>
            </w:pPr>
            <w:r w:rsidRPr="0071735F">
              <w:rPr>
                <w:rFonts w:ascii="Times New Roman" w:eastAsia="Times New Roman" w:hAnsi="Times New Roman" w:cs="Times New Roman"/>
                <w:b/>
                <w:bCs/>
                <w:sz w:val="24"/>
                <w:szCs w:val="24"/>
                <w:lang w:val="ro-MD" w:eastAsia="ru-RU"/>
              </w:rPr>
              <w:t>4. ANALIZA IMPACTURILOR OPȚIUNILOR</w:t>
            </w:r>
          </w:p>
        </w:tc>
      </w:tr>
      <w:tr w:rsidR="00B468B6" w:rsidRPr="0071735F" w14:paraId="20E1D850" w14:textId="77777777" w:rsidTr="00125D3C">
        <w:trPr>
          <w:jc w:val="center"/>
        </w:trPr>
        <w:tc>
          <w:tcPr>
            <w:tcW w:w="5000" w:type="pct"/>
            <w:gridSpan w:val="2"/>
            <w:shd w:val="clear" w:color="auto" w:fill="auto"/>
            <w:tcMar>
              <w:top w:w="15" w:type="dxa"/>
              <w:left w:w="45" w:type="dxa"/>
              <w:bottom w:w="15" w:type="dxa"/>
              <w:right w:w="45" w:type="dxa"/>
            </w:tcMar>
          </w:tcPr>
          <w:p w14:paraId="0EBDC2AB" w14:textId="27EABF2B"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a) </w:t>
            </w:r>
            <w:r w:rsidR="000E05A6"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efectele negative </w:t>
            </w:r>
            <w:r w:rsidR="000E05A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pozitive ale stării actuale </w:t>
            </w:r>
            <w:r w:rsidR="000E05A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w:t>
            </w:r>
            <w:r w:rsidR="000E05A6" w:rsidRPr="0071735F">
              <w:rPr>
                <w:rFonts w:ascii="Times New Roman" w:eastAsia="Calibri" w:hAnsi="Times New Roman" w:cs="Times New Roman"/>
                <w:b/>
                <w:sz w:val="24"/>
                <w:szCs w:val="24"/>
                <w:lang w:val="ro-MD" w:eastAsia="en-GB"/>
              </w:rPr>
              <w:t>evoluția</w:t>
            </w:r>
            <w:r w:rsidRPr="0071735F">
              <w:rPr>
                <w:rFonts w:ascii="Times New Roman" w:eastAsia="Calibri" w:hAnsi="Times New Roman" w:cs="Times New Roman"/>
                <w:b/>
                <w:sz w:val="24"/>
                <w:szCs w:val="24"/>
                <w:lang w:val="ro-MD" w:eastAsia="en-GB"/>
              </w:rPr>
              <w:t xml:space="preserve"> acestora în viitor, care vor sta la baza calculării impacturilor </w:t>
            </w:r>
            <w:r w:rsidR="000E05A6" w:rsidRPr="0071735F">
              <w:rPr>
                <w:rFonts w:ascii="Times New Roman" w:eastAsia="Calibri" w:hAnsi="Times New Roman" w:cs="Times New Roman"/>
                <w:b/>
                <w:sz w:val="24"/>
                <w:szCs w:val="24"/>
                <w:lang w:val="ro-MD" w:eastAsia="en-GB"/>
              </w:rPr>
              <w:t>opțiunii</w:t>
            </w:r>
            <w:r w:rsidRPr="0071735F">
              <w:rPr>
                <w:rFonts w:ascii="Times New Roman" w:eastAsia="Calibri" w:hAnsi="Times New Roman" w:cs="Times New Roman"/>
                <w:b/>
                <w:sz w:val="24"/>
                <w:szCs w:val="24"/>
                <w:lang w:val="ro-MD" w:eastAsia="en-GB"/>
              </w:rPr>
              <w:t xml:space="preserve"> recomandate</w:t>
            </w:r>
          </w:p>
        </w:tc>
      </w:tr>
      <w:tr w:rsidR="00B468B6" w:rsidRPr="00D22310" w14:paraId="5BF19495" w14:textId="77777777" w:rsidTr="00125D3C">
        <w:trPr>
          <w:jc w:val="center"/>
        </w:trPr>
        <w:tc>
          <w:tcPr>
            <w:tcW w:w="5000" w:type="pct"/>
            <w:gridSpan w:val="2"/>
            <w:tcMar>
              <w:top w:w="15" w:type="dxa"/>
              <w:left w:w="45" w:type="dxa"/>
              <w:bottom w:w="15" w:type="dxa"/>
              <w:right w:w="45" w:type="dxa"/>
            </w:tcMar>
          </w:tcPr>
          <w:p w14:paraId="4E55C3ED" w14:textId="35258BEE" w:rsidR="00B57321" w:rsidRPr="0071735F" w:rsidRDefault="003164AF" w:rsidP="006341B0">
            <w:pPr>
              <w:pStyle w:val="ListParagraph"/>
              <w:tabs>
                <w:tab w:val="left" w:pos="1418"/>
              </w:tabs>
              <w:spacing w:after="0"/>
              <w:ind w:left="0"/>
              <w:contextualSpacing w:val="0"/>
              <w:jc w:val="both"/>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b/>
                <w:i/>
                <w:iCs/>
                <w:sz w:val="24"/>
                <w:szCs w:val="24"/>
                <w:lang w:val="ro-MD" w:eastAsia="ro-RO"/>
              </w:rPr>
              <w:lastRenderedPageBreak/>
              <w:t>Efecte pozitive</w:t>
            </w:r>
            <w:r w:rsidRPr="0071735F">
              <w:rPr>
                <w:rFonts w:ascii="Times New Roman" w:eastAsia="Times New Roman" w:hAnsi="Times New Roman" w:cs="Times New Roman"/>
                <w:sz w:val="24"/>
                <w:szCs w:val="24"/>
                <w:lang w:val="ro-MD" w:eastAsia="ro-RO"/>
              </w:rPr>
              <w:t xml:space="preserve"> – </w:t>
            </w:r>
            <w:r w:rsidR="006B02D7" w:rsidRPr="0071735F">
              <w:rPr>
                <w:rFonts w:ascii="Times New Roman" w:eastAsia="Times New Roman" w:hAnsi="Times New Roman" w:cs="Times New Roman"/>
                <w:sz w:val="24"/>
                <w:szCs w:val="24"/>
                <w:lang w:val="ro-MD" w:eastAsia="ro-RO"/>
              </w:rPr>
              <w:t>scenariul de referință (business as usual)</w:t>
            </w:r>
            <w:r w:rsidR="00323B4B" w:rsidRPr="0071735F">
              <w:rPr>
                <w:rFonts w:ascii="Times New Roman" w:eastAsia="Times New Roman" w:hAnsi="Times New Roman" w:cs="Times New Roman"/>
                <w:sz w:val="24"/>
                <w:szCs w:val="24"/>
                <w:lang w:val="ro-MD" w:eastAsia="ro-RO"/>
              </w:rPr>
              <w:t>, după cum a fost descris în detaliu mai sus,</w:t>
            </w:r>
            <w:r w:rsidR="006B02D7" w:rsidRPr="0071735F">
              <w:rPr>
                <w:rFonts w:ascii="Times New Roman" w:eastAsia="Times New Roman" w:hAnsi="Times New Roman" w:cs="Times New Roman"/>
                <w:sz w:val="24"/>
                <w:szCs w:val="24"/>
                <w:lang w:val="ro-MD" w:eastAsia="ro-RO"/>
              </w:rPr>
              <w:t xml:space="preserve"> nu poate fi caracterizat ca și având careva efecte </w:t>
            </w:r>
            <w:r w:rsidR="00323B4B" w:rsidRPr="0071735F">
              <w:rPr>
                <w:rFonts w:ascii="Times New Roman" w:eastAsia="Times New Roman" w:hAnsi="Times New Roman" w:cs="Times New Roman"/>
                <w:sz w:val="24"/>
                <w:szCs w:val="24"/>
                <w:lang w:val="ro-MD" w:eastAsia="ro-RO"/>
              </w:rPr>
              <w:t>pozitive</w:t>
            </w:r>
            <w:r w:rsidR="00D3066C" w:rsidRPr="0071735F">
              <w:rPr>
                <w:rFonts w:ascii="Times New Roman" w:eastAsia="Times New Roman" w:hAnsi="Times New Roman" w:cs="Times New Roman"/>
                <w:sz w:val="24"/>
                <w:szCs w:val="24"/>
                <w:lang w:val="ro-MD" w:eastAsia="ro-RO"/>
              </w:rPr>
              <w:t>.</w:t>
            </w:r>
          </w:p>
          <w:p w14:paraId="55CB59C2" w14:textId="77777777" w:rsidR="00D3066C" w:rsidRPr="0071735F" w:rsidRDefault="00D3066C" w:rsidP="006341B0">
            <w:pPr>
              <w:pStyle w:val="ListParagraph"/>
              <w:tabs>
                <w:tab w:val="left" w:pos="1418"/>
              </w:tabs>
              <w:spacing w:after="0"/>
              <w:ind w:left="0"/>
              <w:contextualSpacing w:val="0"/>
              <w:jc w:val="both"/>
              <w:rPr>
                <w:rFonts w:ascii="Times New Roman" w:eastAsia="Times New Roman" w:hAnsi="Times New Roman" w:cs="Times New Roman"/>
                <w:b/>
                <w:sz w:val="24"/>
                <w:szCs w:val="24"/>
                <w:lang w:val="ro-MD" w:eastAsia="ro-RO"/>
              </w:rPr>
            </w:pPr>
          </w:p>
          <w:p w14:paraId="0EF46B26" w14:textId="162418D3" w:rsidR="006341B0" w:rsidRPr="0071735F" w:rsidRDefault="002549CF" w:rsidP="006341B0">
            <w:pPr>
              <w:pStyle w:val="ListParagraph"/>
              <w:tabs>
                <w:tab w:val="left" w:pos="1418"/>
              </w:tabs>
              <w:spacing w:after="0"/>
              <w:ind w:left="0"/>
              <w:contextualSpacing w:val="0"/>
              <w:jc w:val="both"/>
              <w:rPr>
                <w:rFonts w:ascii="Times New Roman" w:eastAsia="Times New Roman" w:hAnsi="Times New Roman" w:cs="Times New Roman"/>
                <w:b/>
                <w:i/>
                <w:iCs/>
                <w:sz w:val="24"/>
                <w:szCs w:val="24"/>
                <w:lang w:val="ro-MD" w:eastAsia="ro-RO"/>
              </w:rPr>
            </w:pPr>
            <w:r w:rsidRPr="0071735F">
              <w:rPr>
                <w:rFonts w:ascii="Times New Roman" w:eastAsia="Times New Roman" w:hAnsi="Times New Roman" w:cs="Times New Roman"/>
                <w:b/>
                <w:i/>
                <w:iCs/>
                <w:sz w:val="24"/>
                <w:szCs w:val="24"/>
                <w:lang w:val="ro-MD" w:eastAsia="ro-RO"/>
              </w:rPr>
              <w:t>Efecte negative</w:t>
            </w:r>
          </w:p>
          <w:p w14:paraId="38D126DD" w14:textId="77777777" w:rsidR="00690069" w:rsidRPr="0071735F" w:rsidRDefault="00F16946" w:rsidP="001C7A97">
            <w:p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După cum a fost descris mai sus, </w:t>
            </w:r>
            <w:r w:rsidR="00384109" w:rsidRPr="0071735F">
              <w:rPr>
                <w:rFonts w:ascii="Times New Roman" w:eastAsia="Batang" w:hAnsi="Times New Roman" w:cs="Times New Roman"/>
                <w:bCs/>
                <w:sz w:val="24"/>
                <w:szCs w:val="24"/>
                <w:lang w:val="ro-MD" w:eastAsia="ja-JP"/>
              </w:rPr>
              <w:t xml:space="preserve">principalele efecte negative ale neaprobării setului propus de modificări la Legea 139/2018, ar </w:t>
            </w:r>
            <w:r w:rsidR="00690069" w:rsidRPr="0071735F">
              <w:rPr>
                <w:rFonts w:ascii="Times New Roman" w:eastAsia="Batang" w:hAnsi="Times New Roman" w:cs="Times New Roman"/>
                <w:bCs/>
                <w:sz w:val="24"/>
                <w:szCs w:val="24"/>
                <w:lang w:val="ro-MD" w:eastAsia="ja-JP"/>
              </w:rPr>
              <w:t>fi următoarele:</w:t>
            </w:r>
          </w:p>
          <w:p w14:paraId="2647A9CE" w14:textId="3D9A3EF3" w:rsidR="00764EBD" w:rsidRPr="0071735F" w:rsidRDefault="00690069"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Republica Moldova nu ar avea o viziune de sectorul energetic, în special componenta eficiență energetică, pentru orizontul de timp 2030</w:t>
            </w:r>
            <w:r w:rsidR="00384109" w:rsidRPr="0071735F">
              <w:rPr>
                <w:rFonts w:ascii="Times New Roman" w:eastAsia="Batang" w:hAnsi="Times New Roman" w:cs="Times New Roman"/>
                <w:bCs/>
                <w:sz w:val="24"/>
                <w:szCs w:val="24"/>
                <w:lang w:val="ro-MD" w:eastAsia="ja-JP"/>
              </w:rPr>
              <w:t xml:space="preserve"> </w:t>
            </w:r>
          </w:p>
          <w:p w14:paraId="38D2973D" w14:textId="71DD7ACB" w:rsidR="00690069" w:rsidRPr="0071735F" w:rsidRDefault="00690069"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Republica Moldova nu </w:t>
            </w:r>
            <w:r w:rsidR="007607C9" w:rsidRPr="0071735F">
              <w:rPr>
                <w:rFonts w:ascii="Times New Roman" w:eastAsia="Batang" w:hAnsi="Times New Roman" w:cs="Times New Roman"/>
                <w:bCs/>
                <w:sz w:val="24"/>
                <w:szCs w:val="24"/>
                <w:lang w:val="ro-MD" w:eastAsia="ja-JP"/>
              </w:rPr>
              <w:t>ar avea un document de planificare strategică pentru următorii 10 ani pentru domeniul eficienței energetice, energiei regenerabile și emisiilor de gaze cu efect de seră</w:t>
            </w:r>
          </w:p>
          <w:p w14:paraId="7503AC03" w14:textId="5DBCA040" w:rsidR="0004501C" w:rsidRPr="0071735F" w:rsidRDefault="00F408A0"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Economia națională ar fi lipsită de o </w:t>
            </w:r>
            <w:r w:rsidR="0061294F" w:rsidRPr="0071735F">
              <w:rPr>
                <w:rFonts w:ascii="Times New Roman" w:eastAsia="Batang" w:hAnsi="Times New Roman" w:cs="Times New Roman"/>
                <w:bCs/>
                <w:sz w:val="24"/>
                <w:szCs w:val="24"/>
                <w:lang w:val="ro-MD" w:eastAsia="ja-JP"/>
              </w:rPr>
              <w:t>„</w:t>
            </w:r>
            <w:r w:rsidRPr="0071735F">
              <w:rPr>
                <w:rFonts w:ascii="Times New Roman" w:eastAsia="Batang" w:hAnsi="Times New Roman" w:cs="Times New Roman"/>
                <w:bCs/>
                <w:sz w:val="24"/>
                <w:szCs w:val="24"/>
                <w:lang w:val="ro-MD" w:eastAsia="ja-JP"/>
              </w:rPr>
              <w:t>forță motrice</w:t>
            </w:r>
            <w:r w:rsidR="0061294F" w:rsidRPr="0071735F">
              <w:rPr>
                <w:rFonts w:ascii="Times New Roman" w:eastAsia="Batang" w:hAnsi="Times New Roman" w:cs="Times New Roman"/>
                <w:bCs/>
                <w:sz w:val="24"/>
                <w:szCs w:val="24"/>
                <w:lang w:val="ro-MD" w:eastAsia="ja-JP"/>
              </w:rPr>
              <w:t xml:space="preserve">” care </w:t>
            </w:r>
            <w:r w:rsidR="00BA32C4" w:rsidRPr="0071735F">
              <w:rPr>
                <w:rFonts w:ascii="Times New Roman" w:eastAsia="Batang" w:hAnsi="Times New Roman" w:cs="Times New Roman"/>
                <w:bCs/>
                <w:sz w:val="24"/>
                <w:szCs w:val="24"/>
                <w:lang w:val="ro-MD" w:eastAsia="ja-JP"/>
              </w:rPr>
              <w:t xml:space="preserve">ar </w:t>
            </w:r>
            <w:r w:rsidR="0061294F" w:rsidRPr="0071735F">
              <w:rPr>
                <w:rFonts w:ascii="Times New Roman" w:eastAsia="Batang" w:hAnsi="Times New Roman" w:cs="Times New Roman"/>
                <w:bCs/>
                <w:sz w:val="24"/>
                <w:szCs w:val="24"/>
                <w:lang w:val="ro-MD" w:eastAsia="ja-JP"/>
              </w:rPr>
              <w:t>încuraj</w:t>
            </w:r>
            <w:r w:rsidR="00BA32C4" w:rsidRPr="0071735F">
              <w:rPr>
                <w:rFonts w:ascii="Times New Roman" w:eastAsia="Batang" w:hAnsi="Times New Roman" w:cs="Times New Roman"/>
                <w:bCs/>
                <w:sz w:val="24"/>
                <w:szCs w:val="24"/>
                <w:lang w:val="ro-MD" w:eastAsia="ja-JP"/>
              </w:rPr>
              <w:t xml:space="preserve">a </w:t>
            </w:r>
            <w:r w:rsidR="0061294F" w:rsidRPr="0071735F">
              <w:rPr>
                <w:rFonts w:ascii="Times New Roman" w:eastAsia="Batang" w:hAnsi="Times New Roman" w:cs="Times New Roman"/>
                <w:bCs/>
                <w:sz w:val="24"/>
                <w:szCs w:val="24"/>
                <w:lang w:val="ro-MD" w:eastAsia="ja-JP"/>
              </w:rPr>
              <w:t xml:space="preserve">investițiile în măsuri de eficiență energetică, precum </w:t>
            </w:r>
            <w:r w:rsidR="0004501C" w:rsidRPr="0071735F">
              <w:rPr>
                <w:rFonts w:ascii="Times New Roman" w:eastAsia="Batang" w:hAnsi="Times New Roman" w:cs="Times New Roman"/>
                <w:bCs/>
                <w:sz w:val="24"/>
                <w:szCs w:val="24"/>
                <w:lang w:val="ro-MD" w:eastAsia="ja-JP"/>
              </w:rPr>
              <w:t>ar fi economiile anuale obligatorii de energie</w:t>
            </w:r>
          </w:p>
          <w:p w14:paraId="0335A633" w14:textId="2B7B671A" w:rsidR="0053449B" w:rsidRPr="0071735F" w:rsidRDefault="0004501C"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Statul ar fi privat de instrumentul „schema de obligații de eficiență energetică”, care trebuie privit ca un principal instrument național de colectare a resurselor financiare pentru sprijinirea </w:t>
            </w:r>
            <w:r w:rsidR="0053449B" w:rsidRPr="0071735F">
              <w:rPr>
                <w:rFonts w:ascii="Times New Roman" w:eastAsia="Batang" w:hAnsi="Times New Roman" w:cs="Times New Roman"/>
                <w:bCs/>
                <w:sz w:val="24"/>
                <w:szCs w:val="24"/>
                <w:lang w:val="ro-MD" w:eastAsia="ja-JP"/>
              </w:rPr>
              <w:t>eforturilor de eficientizare a consumului de energie</w:t>
            </w:r>
            <w:r w:rsidR="00064D2A" w:rsidRPr="0071735F">
              <w:rPr>
                <w:rFonts w:ascii="Times New Roman" w:eastAsia="Batang" w:hAnsi="Times New Roman" w:cs="Times New Roman"/>
                <w:bCs/>
                <w:sz w:val="24"/>
                <w:szCs w:val="24"/>
                <w:lang w:val="ro-MD" w:eastAsia="ja-JP"/>
              </w:rPr>
              <w:t xml:space="preserve">, sau de </w:t>
            </w:r>
            <w:r w:rsidR="00F5206D" w:rsidRPr="0071735F">
              <w:rPr>
                <w:rFonts w:ascii="Times New Roman" w:eastAsia="Batang" w:hAnsi="Times New Roman" w:cs="Times New Roman"/>
                <w:bCs/>
                <w:sz w:val="24"/>
                <w:szCs w:val="24"/>
                <w:lang w:val="ro-MD" w:eastAsia="ja-JP"/>
              </w:rPr>
              <w:t>măsurile</w:t>
            </w:r>
            <w:r w:rsidR="00BA32C4" w:rsidRPr="0071735F">
              <w:rPr>
                <w:rFonts w:ascii="Times New Roman" w:eastAsia="Batang" w:hAnsi="Times New Roman" w:cs="Times New Roman"/>
                <w:bCs/>
                <w:sz w:val="24"/>
                <w:szCs w:val="24"/>
                <w:lang w:val="ro-MD" w:eastAsia="ja-JP"/>
              </w:rPr>
              <w:t xml:space="preserve"> alternative de politici</w:t>
            </w:r>
            <w:r w:rsidR="00F5206D" w:rsidRPr="0071735F">
              <w:rPr>
                <w:rFonts w:ascii="Times New Roman" w:eastAsia="Batang" w:hAnsi="Times New Roman" w:cs="Times New Roman"/>
                <w:bCs/>
                <w:sz w:val="24"/>
                <w:szCs w:val="24"/>
                <w:lang w:val="ro-MD" w:eastAsia="ja-JP"/>
              </w:rPr>
              <w:t xml:space="preserve"> </w:t>
            </w:r>
          </w:p>
          <w:p w14:paraId="2F914B49" w14:textId="66600C98" w:rsidR="00C126B5" w:rsidRPr="0071735F" w:rsidRDefault="0053449B"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Clădirile </w:t>
            </w:r>
            <w:r w:rsidR="00C126B5" w:rsidRPr="0071735F">
              <w:rPr>
                <w:rFonts w:ascii="Times New Roman" w:eastAsia="Batang" w:hAnsi="Times New Roman" w:cs="Times New Roman"/>
                <w:bCs/>
                <w:sz w:val="24"/>
                <w:szCs w:val="24"/>
                <w:lang w:val="ro-MD" w:eastAsia="ja-JP"/>
              </w:rPr>
              <w:t>publice nu ar mai avea un rol exemplar în sectorul construcțiilor</w:t>
            </w:r>
          </w:p>
          <w:p w14:paraId="0DD01051" w14:textId="0FDEA88C" w:rsidR="00C126B5" w:rsidRPr="0071735F" w:rsidRDefault="004B4C47"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Normele cu privire la contorizare și facturare ar rămâne neschimbate</w:t>
            </w:r>
          </w:p>
          <w:p w14:paraId="6BF4BB6E" w14:textId="5FFD4BA9" w:rsidR="00DD028F" w:rsidRPr="0071735F" w:rsidRDefault="00DD028F"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 xml:space="preserve">Obligația cu privire la citirea la distanță a contoarelor </w:t>
            </w:r>
            <w:r w:rsidR="00E83C80" w:rsidRPr="0071735F">
              <w:rPr>
                <w:rFonts w:ascii="Times New Roman" w:eastAsia="Batang" w:hAnsi="Times New Roman" w:cs="Times New Roman"/>
                <w:bCs/>
                <w:sz w:val="24"/>
                <w:szCs w:val="24"/>
                <w:lang w:val="ro-MD" w:eastAsia="ja-JP"/>
              </w:rPr>
              <w:t>de energie termică și repartitoarele de costuri</w:t>
            </w:r>
            <w:r w:rsidR="00810BB8" w:rsidRPr="0071735F">
              <w:rPr>
                <w:rFonts w:ascii="Times New Roman" w:eastAsia="Batang" w:hAnsi="Times New Roman" w:cs="Times New Roman"/>
                <w:bCs/>
                <w:sz w:val="24"/>
                <w:szCs w:val="24"/>
                <w:lang w:val="ro-MD" w:eastAsia="ja-JP"/>
              </w:rPr>
              <w:t xml:space="preserve"> nu ar surveni</w:t>
            </w:r>
          </w:p>
          <w:p w14:paraId="134C7873" w14:textId="71DFD761" w:rsidR="00810BB8" w:rsidRDefault="00810BB8"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sidRPr="0071735F">
              <w:rPr>
                <w:rFonts w:ascii="Times New Roman" w:eastAsia="Batang" w:hAnsi="Times New Roman" w:cs="Times New Roman"/>
                <w:bCs/>
                <w:sz w:val="24"/>
                <w:szCs w:val="24"/>
                <w:lang w:val="ro-MD" w:eastAsia="ja-JP"/>
              </w:rPr>
              <w:t>Accesul consumatorului la date cu privire la consum, inclusiv date istorice, nu ar fi asigurat.</w:t>
            </w:r>
          </w:p>
          <w:p w14:paraId="3356A8F0" w14:textId="517AD2DD" w:rsidR="0016393E" w:rsidRPr="0071735F" w:rsidRDefault="0016393E" w:rsidP="00690069">
            <w:pPr>
              <w:pStyle w:val="ListParagraph"/>
              <w:numPr>
                <w:ilvl w:val="0"/>
                <w:numId w:val="33"/>
              </w:numPr>
              <w:tabs>
                <w:tab w:val="left" w:pos="1418"/>
              </w:tabs>
              <w:spacing w:after="0"/>
              <w:jc w:val="both"/>
              <w:rPr>
                <w:rFonts w:ascii="Times New Roman" w:eastAsia="Batang" w:hAnsi="Times New Roman" w:cs="Times New Roman"/>
                <w:bCs/>
                <w:sz w:val="24"/>
                <w:szCs w:val="24"/>
                <w:lang w:val="ro-MD" w:eastAsia="ja-JP"/>
              </w:rPr>
            </w:pPr>
            <w:r>
              <w:rPr>
                <w:rFonts w:ascii="Times New Roman" w:eastAsia="Batang" w:hAnsi="Times New Roman" w:cs="Times New Roman"/>
                <w:bCs/>
                <w:sz w:val="24"/>
                <w:szCs w:val="24"/>
                <w:lang w:val="ro-MD" w:eastAsia="ja-JP"/>
              </w:rPr>
              <w:t>Intarzierea procesului de adererare la Uniunea Europeana.</w:t>
            </w:r>
          </w:p>
          <w:p w14:paraId="5765155E" w14:textId="522D1BF4" w:rsidR="0094378E" w:rsidRPr="0071735F" w:rsidRDefault="0094378E" w:rsidP="00810BB8">
            <w:pPr>
              <w:tabs>
                <w:tab w:val="left" w:pos="1418"/>
              </w:tabs>
              <w:spacing w:after="0"/>
              <w:jc w:val="both"/>
              <w:rPr>
                <w:rFonts w:ascii="Times New Roman" w:eastAsia="Batang" w:hAnsi="Times New Roman" w:cs="Times New Roman"/>
                <w:bCs/>
                <w:sz w:val="24"/>
                <w:szCs w:val="24"/>
                <w:lang w:val="ro-MD" w:eastAsia="ja-JP"/>
              </w:rPr>
            </w:pPr>
          </w:p>
        </w:tc>
      </w:tr>
      <w:tr w:rsidR="00B468B6" w:rsidRPr="00D22310" w14:paraId="29810746" w14:textId="77777777" w:rsidTr="00125D3C">
        <w:trPr>
          <w:jc w:val="center"/>
        </w:trPr>
        <w:tc>
          <w:tcPr>
            <w:tcW w:w="5000" w:type="pct"/>
            <w:gridSpan w:val="2"/>
            <w:shd w:val="clear" w:color="auto" w:fill="auto"/>
            <w:tcMar>
              <w:top w:w="15" w:type="dxa"/>
              <w:left w:w="45" w:type="dxa"/>
              <w:bottom w:w="15" w:type="dxa"/>
              <w:right w:w="45" w:type="dxa"/>
            </w:tcMar>
          </w:tcPr>
          <w:p w14:paraId="5DDE055F" w14:textId="30E415E5"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b</w:t>
            </w:r>
            <w:r w:rsidRPr="0071735F">
              <w:rPr>
                <w:rFonts w:ascii="Times New Roman" w:eastAsia="Calibri" w:hAnsi="Times New Roman" w:cs="Times New Roman"/>
                <w:b/>
                <w:sz w:val="24"/>
                <w:szCs w:val="24"/>
                <w:vertAlign w:val="superscript"/>
                <w:lang w:val="ro-MD" w:eastAsia="en-GB"/>
              </w:rPr>
              <w:t>1</w:t>
            </w:r>
            <w:r w:rsidRPr="0071735F">
              <w:rPr>
                <w:rFonts w:ascii="Times New Roman" w:eastAsia="Calibri" w:hAnsi="Times New Roman" w:cs="Times New Roman"/>
                <w:b/>
                <w:sz w:val="24"/>
                <w:szCs w:val="24"/>
                <w:lang w:val="ro-MD" w:eastAsia="en-GB"/>
              </w:rPr>
              <w:t xml:space="preserve">) Pentru </w:t>
            </w:r>
            <w:r w:rsidR="00402DC8" w:rsidRPr="0071735F">
              <w:rPr>
                <w:rFonts w:ascii="Times New Roman" w:eastAsia="Calibri" w:hAnsi="Times New Roman" w:cs="Times New Roman"/>
                <w:b/>
                <w:sz w:val="24"/>
                <w:szCs w:val="24"/>
                <w:lang w:val="ro-MD" w:eastAsia="en-GB"/>
              </w:rPr>
              <w:t>opțiunea</w:t>
            </w:r>
            <w:r w:rsidRPr="0071735F">
              <w:rPr>
                <w:rFonts w:ascii="Times New Roman" w:eastAsia="Calibri" w:hAnsi="Times New Roman" w:cs="Times New Roman"/>
                <w:b/>
                <w:sz w:val="24"/>
                <w:szCs w:val="24"/>
                <w:lang w:val="ro-MD" w:eastAsia="en-GB"/>
              </w:rPr>
              <w:t xml:space="preserve"> recomandată, </w:t>
            </w:r>
            <w:r w:rsidR="00402DC8"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impacturile </w:t>
            </w:r>
            <w:r w:rsidR="00402DC8" w:rsidRPr="0071735F">
              <w:rPr>
                <w:rFonts w:ascii="Times New Roman" w:eastAsia="Calibri" w:hAnsi="Times New Roman" w:cs="Times New Roman"/>
                <w:b/>
                <w:sz w:val="24"/>
                <w:szCs w:val="24"/>
                <w:lang w:val="ro-MD" w:eastAsia="en-GB"/>
              </w:rPr>
              <w:t>completând</w:t>
            </w:r>
            <w:r w:rsidRPr="0071735F">
              <w:rPr>
                <w:rFonts w:ascii="Times New Roman" w:eastAsia="Calibri" w:hAnsi="Times New Roman" w:cs="Times New Roman"/>
                <w:b/>
                <w:sz w:val="24"/>
                <w:szCs w:val="24"/>
                <w:lang w:val="ro-MD" w:eastAsia="en-GB"/>
              </w:rPr>
              <w:t xml:space="preserve"> tabelul din anexa la prezentul formular. </w:t>
            </w:r>
            <w:r w:rsidR="00402DC8"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pe larg impacturile sub formă de costuri sau beneficii, inclusiv </w:t>
            </w:r>
            <w:r w:rsidR="00402DC8" w:rsidRPr="0071735F">
              <w:rPr>
                <w:rFonts w:ascii="Times New Roman" w:eastAsia="Calibri" w:hAnsi="Times New Roman" w:cs="Times New Roman"/>
                <w:b/>
                <w:sz w:val="24"/>
                <w:szCs w:val="24"/>
                <w:lang w:val="ro-MD" w:eastAsia="en-GB"/>
              </w:rPr>
              <w:t>părțile</w:t>
            </w:r>
            <w:r w:rsidRPr="0071735F">
              <w:rPr>
                <w:rFonts w:ascii="Times New Roman" w:eastAsia="Calibri" w:hAnsi="Times New Roman" w:cs="Times New Roman"/>
                <w:b/>
                <w:sz w:val="24"/>
                <w:szCs w:val="24"/>
                <w:lang w:val="ro-MD" w:eastAsia="en-GB"/>
              </w:rPr>
              <w:t xml:space="preserve"> interesate care ar putea fi afectate pozitiv </w:t>
            </w:r>
            <w:r w:rsidR="00402DC8"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negativ de acestea</w:t>
            </w:r>
          </w:p>
        </w:tc>
      </w:tr>
      <w:tr w:rsidR="00B468B6" w:rsidRPr="0071735F" w14:paraId="7629D9F5" w14:textId="77777777" w:rsidTr="00125D3C">
        <w:trPr>
          <w:jc w:val="center"/>
        </w:trPr>
        <w:tc>
          <w:tcPr>
            <w:tcW w:w="5000" w:type="pct"/>
            <w:gridSpan w:val="2"/>
            <w:tcMar>
              <w:top w:w="15" w:type="dxa"/>
              <w:left w:w="45" w:type="dxa"/>
              <w:bottom w:w="15" w:type="dxa"/>
              <w:right w:w="45" w:type="dxa"/>
            </w:tcMar>
          </w:tcPr>
          <w:p w14:paraId="5A084803" w14:textId="150A4C1E" w:rsidR="008F2193" w:rsidRPr="0071735F" w:rsidRDefault="00744954"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Opțiunea recomandată de prezenta Analiză este aprobarea</w:t>
            </w:r>
            <w:r w:rsidR="00FF101C" w:rsidRPr="0071735F">
              <w:rPr>
                <w:rFonts w:ascii="Times New Roman" w:eastAsia="Calibri" w:hAnsi="Times New Roman" w:cs="Times New Roman"/>
                <w:sz w:val="24"/>
                <w:szCs w:val="24"/>
                <w:lang w:val="ro-MD" w:eastAsia="ja-JP"/>
              </w:rPr>
              <w:t xml:space="preserve"> modificărilor la Legea 139/2018 cu privire la eficiența energetică. Mai jos este prezentat</w:t>
            </w:r>
            <w:r w:rsidR="00ED7AD6" w:rsidRPr="0071735F">
              <w:rPr>
                <w:rFonts w:ascii="Times New Roman" w:eastAsia="Calibri" w:hAnsi="Times New Roman" w:cs="Times New Roman"/>
                <w:sz w:val="24"/>
                <w:szCs w:val="24"/>
                <w:lang w:val="ro-MD" w:eastAsia="ja-JP"/>
              </w:rPr>
              <w:t xml:space="preserve"> impactul unei astfel de decizii, sub aspectul costurilor și beneficiilor</w:t>
            </w:r>
            <w:r w:rsidR="000C4CC7" w:rsidRPr="0071735F">
              <w:rPr>
                <w:rFonts w:ascii="Times New Roman" w:eastAsia="Calibri" w:hAnsi="Times New Roman" w:cs="Times New Roman"/>
                <w:sz w:val="24"/>
                <w:szCs w:val="24"/>
                <w:lang w:val="ro-MD" w:eastAsia="ja-JP"/>
              </w:rPr>
              <w:t>.</w:t>
            </w:r>
          </w:p>
          <w:p w14:paraId="4716DD23" w14:textId="6D4F2309" w:rsidR="000C4CC7" w:rsidRPr="0071735F" w:rsidRDefault="008467F6"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Astfel, </w:t>
            </w:r>
            <w:r w:rsidRPr="0071735F">
              <w:rPr>
                <w:rFonts w:ascii="Times New Roman" w:eastAsia="Calibri" w:hAnsi="Times New Roman" w:cs="Times New Roman"/>
                <w:b/>
                <w:bCs/>
                <w:sz w:val="24"/>
                <w:szCs w:val="24"/>
                <w:lang w:val="ro-MD" w:eastAsia="ja-JP"/>
              </w:rPr>
              <w:t>stabilirea un</w:t>
            </w:r>
            <w:r w:rsidR="00F20B29" w:rsidRPr="0071735F">
              <w:rPr>
                <w:rFonts w:ascii="Times New Roman" w:eastAsia="Calibri" w:hAnsi="Times New Roman" w:cs="Times New Roman"/>
                <w:b/>
                <w:bCs/>
                <w:sz w:val="24"/>
                <w:szCs w:val="24"/>
                <w:lang w:val="ro-MD" w:eastAsia="ja-JP"/>
              </w:rPr>
              <w:t>ei</w:t>
            </w:r>
            <w:r w:rsidRPr="0071735F">
              <w:rPr>
                <w:rFonts w:ascii="Times New Roman" w:eastAsia="Calibri" w:hAnsi="Times New Roman" w:cs="Times New Roman"/>
                <w:b/>
                <w:bCs/>
                <w:sz w:val="24"/>
                <w:szCs w:val="24"/>
                <w:lang w:val="ro-MD" w:eastAsia="ja-JP"/>
              </w:rPr>
              <w:t xml:space="preserve"> ținte de eficiență energetică</w:t>
            </w:r>
            <w:r w:rsidR="00F20B29" w:rsidRPr="0071735F">
              <w:rPr>
                <w:rFonts w:ascii="Times New Roman" w:eastAsia="Calibri" w:hAnsi="Times New Roman" w:cs="Times New Roman"/>
                <w:b/>
                <w:bCs/>
                <w:sz w:val="24"/>
                <w:szCs w:val="24"/>
                <w:lang w:val="ro-MD" w:eastAsia="ja-JP"/>
              </w:rPr>
              <w:t xml:space="preserve"> pentru anul 2030</w:t>
            </w:r>
            <w:r w:rsidR="00F20B29" w:rsidRPr="0071735F">
              <w:rPr>
                <w:rFonts w:ascii="Times New Roman" w:eastAsia="Calibri" w:hAnsi="Times New Roman" w:cs="Times New Roman"/>
                <w:sz w:val="24"/>
                <w:szCs w:val="24"/>
                <w:lang w:val="ro-MD" w:eastAsia="ja-JP"/>
              </w:rPr>
              <w:t xml:space="preserve">, în sine, </w:t>
            </w:r>
            <w:r w:rsidR="00E71A76" w:rsidRPr="0071735F">
              <w:rPr>
                <w:rFonts w:ascii="Times New Roman" w:eastAsia="Calibri" w:hAnsi="Times New Roman" w:cs="Times New Roman"/>
                <w:sz w:val="24"/>
                <w:szCs w:val="24"/>
                <w:lang w:val="ro-MD" w:eastAsia="ja-JP"/>
              </w:rPr>
              <w:t xml:space="preserve">presupune că Guvernul va </w:t>
            </w:r>
            <w:r w:rsidR="00F00F48" w:rsidRPr="0071735F">
              <w:rPr>
                <w:rFonts w:ascii="Times New Roman" w:eastAsia="Calibri" w:hAnsi="Times New Roman" w:cs="Times New Roman"/>
                <w:sz w:val="24"/>
                <w:szCs w:val="24"/>
                <w:lang w:val="ro-MD" w:eastAsia="ja-JP"/>
              </w:rPr>
              <w:t xml:space="preserve">crea instrumente, programe de finanțare și proiecte, va depune eforturi pentru mobilizarea unor investiții suficiente pentru atingerea țintei </w:t>
            </w:r>
            <w:r w:rsidR="00505C97" w:rsidRPr="0071735F">
              <w:rPr>
                <w:rFonts w:ascii="Times New Roman" w:eastAsia="Calibri" w:hAnsi="Times New Roman" w:cs="Times New Roman"/>
                <w:sz w:val="24"/>
                <w:szCs w:val="24"/>
                <w:lang w:val="ro-MD" w:eastAsia="ja-JP"/>
              </w:rPr>
              <w:t>stabilite.</w:t>
            </w:r>
          </w:p>
          <w:p w14:paraId="208F2C37" w14:textId="77777777" w:rsidR="009B2DB2" w:rsidRPr="0071735F" w:rsidRDefault="008D55CF"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Cât privește măsurile de eficiență energetică, acestea, prin definiție, se răscumpără pe durata</w:t>
            </w:r>
            <w:r w:rsidR="00113148" w:rsidRPr="0071735F">
              <w:rPr>
                <w:rFonts w:ascii="Times New Roman" w:eastAsia="Calibri" w:hAnsi="Times New Roman" w:cs="Times New Roman"/>
                <w:sz w:val="24"/>
                <w:szCs w:val="24"/>
                <w:lang w:val="ro-MD" w:eastAsia="ja-JP"/>
              </w:rPr>
              <w:t xml:space="preserve"> vieții</w:t>
            </w:r>
            <w:r w:rsidRPr="0071735F">
              <w:rPr>
                <w:rFonts w:ascii="Times New Roman" w:eastAsia="Calibri" w:hAnsi="Times New Roman" w:cs="Times New Roman"/>
                <w:sz w:val="24"/>
                <w:szCs w:val="24"/>
                <w:lang w:val="ro-MD" w:eastAsia="ja-JP"/>
              </w:rPr>
              <w:t xml:space="preserve"> unei tehnologii, unui echipament, din contul </w:t>
            </w:r>
            <w:r w:rsidR="00A92D6A" w:rsidRPr="0071735F">
              <w:rPr>
                <w:rFonts w:ascii="Times New Roman" w:eastAsia="Calibri" w:hAnsi="Times New Roman" w:cs="Times New Roman"/>
                <w:sz w:val="24"/>
                <w:szCs w:val="24"/>
                <w:lang w:val="ro-MD" w:eastAsia="ja-JP"/>
              </w:rPr>
              <w:t>economiilor de energie și monetare generate. Având însă în vedere că provocarea de bază în problematica eficienței energetice este identificarea investiției inițiale</w:t>
            </w:r>
            <w:r w:rsidR="00F07D3F" w:rsidRPr="0071735F">
              <w:rPr>
                <w:rFonts w:ascii="Times New Roman" w:eastAsia="Calibri" w:hAnsi="Times New Roman" w:cs="Times New Roman"/>
                <w:sz w:val="24"/>
                <w:szCs w:val="24"/>
                <w:lang w:val="ro-MD" w:eastAsia="ja-JP"/>
              </w:rPr>
              <w:t xml:space="preserve">, rolul Guvernului este tocmai de a mobiliza </w:t>
            </w:r>
            <w:r w:rsidR="009B2DB2" w:rsidRPr="0071735F">
              <w:rPr>
                <w:rFonts w:ascii="Times New Roman" w:eastAsia="Calibri" w:hAnsi="Times New Roman" w:cs="Times New Roman"/>
                <w:sz w:val="24"/>
                <w:szCs w:val="24"/>
                <w:lang w:val="ro-MD" w:eastAsia="ja-JP"/>
              </w:rPr>
              <w:t xml:space="preserve">mijloacele bănești necesare </w:t>
            </w:r>
            <w:r w:rsidR="00F07D3F" w:rsidRPr="0071735F">
              <w:rPr>
                <w:rFonts w:ascii="Times New Roman" w:eastAsia="Calibri" w:hAnsi="Times New Roman" w:cs="Times New Roman"/>
                <w:sz w:val="24"/>
                <w:szCs w:val="24"/>
                <w:lang w:val="ro-MD" w:eastAsia="ja-JP"/>
              </w:rPr>
              <w:t xml:space="preserve">sau </w:t>
            </w:r>
            <w:r w:rsidR="009B2DB2" w:rsidRPr="0071735F">
              <w:rPr>
                <w:rFonts w:ascii="Times New Roman" w:eastAsia="Calibri" w:hAnsi="Times New Roman" w:cs="Times New Roman"/>
                <w:sz w:val="24"/>
                <w:szCs w:val="24"/>
                <w:lang w:val="ro-MD" w:eastAsia="ja-JP"/>
              </w:rPr>
              <w:t xml:space="preserve">de a </w:t>
            </w:r>
            <w:r w:rsidR="00F07D3F" w:rsidRPr="0071735F">
              <w:rPr>
                <w:rFonts w:ascii="Times New Roman" w:eastAsia="Calibri" w:hAnsi="Times New Roman" w:cs="Times New Roman"/>
                <w:sz w:val="24"/>
                <w:szCs w:val="24"/>
                <w:lang w:val="ro-MD" w:eastAsia="ja-JP"/>
              </w:rPr>
              <w:t xml:space="preserve">crea condițiile necesare pentru apariția </w:t>
            </w:r>
            <w:r w:rsidR="009B2DB2" w:rsidRPr="0071735F">
              <w:rPr>
                <w:rFonts w:ascii="Times New Roman" w:eastAsia="Calibri" w:hAnsi="Times New Roman" w:cs="Times New Roman"/>
                <w:sz w:val="24"/>
                <w:szCs w:val="24"/>
                <w:lang w:val="ro-MD" w:eastAsia="ja-JP"/>
              </w:rPr>
              <w:t>programelor</w:t>
            </w:r>
            <w:r w:rsidR="00F07D3F" w:rsidRPr="0071735F">
              <w:rPr>
                <w:rFonts w:ascii="Times New Roman" w:eastAsia="Calibri" w:hAnsi="Times New Roman" w:cs="Times New Roman"/>
                <w:sz w:val="24"/>
                <w:szCs w:val="24"/>
                <w:lang w:val="ro-MD" w:eastAsia="ja-JP"/>
              </w:rPr>
              <w:t xml:space="preserve"> </w:t>
            </w:r>
            <w:r w:rsidR="009B2DB2" w:rsidRPr="0071735F">
              <w:rPr>
                <w:rFonts w:ascii="Times New Roman" w:eastAsia="Calibri" w:hAnsi="Times New Roman" w:cs="Times New Roman"/>
                <w:sz w:val="24"/>
                <w:szCs w:val="24"/>
                <w:lang w:val="ro-MD" w:eastAsia="ja-JP"/>
              </w:rPr>
              <w:t xml:space="preserve">de </w:t>
            </w:r>
            <w:r w:rsidR="00F07D3F" w:rsidRPr="0071735F">
              <w:rPr>
                <w:rFonts w:ascii="Times New Roman" w:eastAsia="Calibri" w:hAnsi="Times New Roman" w:cs="Times New Roman"/>
                <w:sz w:val="24"/>
                <w:szCs w:val="24"/>
                <w:lang w:val="ro-MD" w:eastAsia="ja-JP"/>
              </w:rPr>
              <w:t>finan</w:t>
            </w:r>
            <w:r w:rsidR="009B2DB2" w:rsidRPr="0071735F">
              <w:rPr>
                <w:rFonts w:ascii="Times New Roman" w:eastAsia="Calibri" w:hAnsi="Times New Roman" w:cs="Times New Roman"/>
                <w:sz w:val="24"/>
                <w:szCs w:val="24"/>
                <w:lang w:val="ro-MD" w:eastAsia="ja-JP"/>
              </w:rPr>
              <w:t>țare ce se impun.</w:t>
            </w:r>
          </w:p>
          <w:p w14:paraId="1E6EA8E6" w14:textId="77777777" w:rsidR="004860B7" w:rsidRPr="0071735F" w:rsidRDefault="009B2DB2"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Astăzi, acest AIR nu poate stabili care este efortul investițional necesar pentru </w:t>
            </w:r>
            <w:r w:rsidR="00A1019B" w:rsidRPr="0071735F">
              <w:rPr>
                <w:rFonts w:ascii="Times New Roman" w:eastAsia="Calibri" w:hAnsi="Times New Roman" w:cs="Times New Roman"/>
                <w:sz w:val="24"/>
                <w:szCs w:val="24"/>
                <w:lang w:val="ro-MD" w:eastAsia="ja-JP"/>
              </w:rPr>
              <w:t xml:space="preserve">atingerea unei anumite ținte de eficiență energetică, întrucât ministerul de resort nu a definitivat deocamdată exercițiul de modelare și prognozare a consumului de energie pentru anul 2030. Acest lucru va fi însă </w:t>
            </w:r>
            <w:r w:rsidR="004860B7" w:rsidRPr="0071735F">
              <w:rPr>
                <w:rFonts w:ascii="Times New Roman" w:eastAsia="Calibri" w:hAnsi="Times New Roman" w:cs="Times New Roman"/>
                <w:sz w:val="24"/>
                <w:szCs w:val="24"/>
                <w:lang w:val="ro-MD" w:eastAsia="ja-JP"/>
              </w:rPr>
              <w:t>posibil la o etapă mai înaintată.</w:t>
            </w:r>
          </w:p>
          <w:p w14:paraId="4C6A7252" w14:textId="0BA1A8AF" w:rsidR="00DD5C0D" w:rsidRPr="0071735F" w:rsidRDefault="004860B7"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lastRenderedPageBreak/>
              <w:t xml:space="preserve">Similar, </w:t>
            </w:r>
            <w:r w:rsidRPr="0071735F">
              <w:rPr>
                <w:rFonts w:ascii="Times New Roman" w:eastAsia="Calibri" w:hAnsi="Times New Roman" w:cs="Times New Roman"/>
                <w:b/>
                <w:bCs/>
                <w:sz w:val="24"/>
                <w:szCs w:val="24"/>
                <w:lang w:val="ro-MD" w:eastAsia="ja-JP"/>
              </w:rPr>
              <w:t>stabilirea obligației de elaborare a PNIEC</w:t>
            </w:r>
            <w:r w:rsidRPr="0071735F">
              <w:rPr>
                <w:rFonts w:ascii="Times New Roman" w:eastAsia="Calibri" w:hAnsi="Times New Roman" w:cs="Times New Roman"/>
                <w:sz w:val="24"/>
                <w:szCs w:val="24"/>
                <w:lang w:val="ro-MD" w:eastAsia="ja-JP"/>
              </w:rPr>
              <w:t xml:space="preserve"> </w:t>
            </w:r>
            <w:r w:rsidR="00CF2257" w:rsidRPr="0071735F">
              <w:rPr>
                <w:rFonts w:ascii="Times New Roman" w:eastAsia="Calibri" w:hAnsi="Times New Roman" w:cs="Times New Roman"/>
                <w:sz w:val="24"/>
                <w:szCs w:val="24"/>
                <w:lang w:val="ro-MD" w:eastAsia="ja-JP"/>
              </w:rPr>
              <w:t>nu</w:t>
            </w:r>
            <w:r w:rsidRPr="0071735F">
              <w:rPr>
                <w:rFonts w:ascii="Times New Roman" w:eastAsia="Calibri" w:hAnsi="Times New Roman" w:cs="Times New Roman"/>
                <w:sz w:val="24"/>
                <w:szCs w:val="24"/>
                <w:lang w:val="ro-MD" w:eastAsia="ja-JP"/>
              </w:rPr>
              <w:t xml:space="preserve"> im</w:t>
            </w:r>
            <w:r w:rsidR="00931898" w:rsidRPr="0071735F">
              <w:rPr>
                <w:rFonts w:ascii="Times New Roman" w:eastAsia="Calibri" w:hAnsi="Times New Roman" w:cs="Times New Roman"/>
                <w:sz w:val="24"/>
                <w:szCs w:val="24"/>
                <w:lang w:val="ro-MD" w:eastAsia="ja-JP"/>
              </w:rPr>
              <w:t>plică costuri. Măsurile planificate de Plan însă</w:t>
            </w:r>
            <w:r w:rsidR="00CF2257" w:rsidRPr="0071735F">
              <w:rPr>
                <w:rFonts w:ascii="Times New Roman" w:eastAsia="Calibri" w:hAnsi="Times New Roman" w:cs="Times New Roman"/>
                <w:sz w:val="24"/>
                <w:szCs w:val="24"/>
                <w:lang w:val="ro-MD" w:eastAsia="ja-JP"/>
              </w:rPr>
              <w:t>,</w:t>
            </w:r>
            <w:r w:rsidR="00931898" w:rsidRPr="0071735F">
              <w:rPr>
                <w:rFonts w:ascii="Times New Roman" w:eastAsia="Calibri" w:hAnsi="Times New Roman" w:cs="Times New Roman"/>
                <w:sz w:val="24"/>
                <w:szCs w:val="24"/>
                <w:lang w:val="ro-MD" w:eastAsia="ja-JP"/>
              </w:rPr>
              <w:t xml:space="preserve"> vor necesita resurse financiare considerabile, iar</w:t>
            </w:r>
            <w:r w:rsidR="00CF2257" w:rsidRPr="0071735F">
              <w:rPr>
                <w:rFonts w:ascii="Times New Roman" w:eastAsia="Calibri" w:hAnsi="Times New Roman" w:cs="Times New Roman"/>
                <w:sz w:val="24"/>
                <w:szCs w:val="24"/>
                <w:lang w:val="ro-MD" w:eastAsia="ja-JP"/>
              </w:rPr>
              <w:t xml:space="preserve"> autorul documentului va avea obligația să estimeze cu maximă precizie și să justifice necesitatea măsurilor de eficiență energetică incluse în plan.</w:t>
            </w:r>
          </w:p>
          <w:p w14:paraId="6DB2B91F" w14:textId="0119C232" w:rsidR="001800FA" w:rsidRPr="0071735F" w:rsidRDefault="00797328"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Introducerea</w:t>
            </w:r>
            <w:r w:rsidRPr="0071735F">
              <w:rPr>
                <w:rFonts w:ascii="Times New Roman" w:eastAsia="Calibri" w:hAnsi="Times New Roman" w:cs="Times New Roman"/>
                <w:b/>
                <w:bCs/>
                <w:sz w:val="24"/>
                <w:szCs w:val="24"/>
                <w:lang w:val="ro-MD" w:eastAsia="ja-JP"/>
              </w:rPr>
              <w:t xml:space="preserve"> obligației </w:t>
            </w:r>
            <w:r w:rsidR="0092046E" w:rsidRPr="0071735F">
              <w:rPr>
                <w:rFonts w:ascii="Times New Roman" w:eastAsia="Calibri" w:hAnsi="Times New Roman" w:cs="Times New Roman"/>
                <w:b/>
                <w:bCs/>
                <w:sz w:val="24"/>
                <w:szCs w:val="24"/>
                <w:lang w:val="ro-MD" w:eastAsia="ja-JP"/>
              </w:rPr>
              <w:t>cu privire la economiile noi de energie</w:t>
            </w:r>
            <w:r w:rsidR="00063A11">
              <w:rPr>
                <w:rFonts w:ascii="Times New Roman" w:eastAsia="Calibri" w:hAnsi="Times New Roman" w:cs="Times New Roman"/>
                <w:b/>
                <w:bCs/>
                <w:sz w:val="24"/>
                <w:szCs w:val="24"/>
                <w:lang w:val="ro-MD" w:eastAsia="ja-JP"/>
              </w:rPr>
              <w:t xml:space="preserve"> </w:t>
            </w:r>
            <w:r w:rsidR="007E0501" w:rsidRPr="0071735F">
              <w:rPr>
                <w:rFonts w:ascii="Times New Roman" w:eastAsia="Calibri" w:hAnsi="Times New Roman" w:cs="Times New Roman"/>
                <w:sz w:val="24"/>
                <w:szCs w:val="24"/>
                <w:lang w:val="ro-MD" w:eastAsia="ja-JP"/>
              </w:rPr>
              <w:t>impune Guvernul să întreprindă acțiuni concrete de eficientizare și raționalizare a consumului de energie. Totodată</w:t>
            </w:r>
            <w:r w:rsidR="001800FA" w:rsidRPr="0071735F">
              <w:rPr>
                <w:rFonts w:ascii="Times New Roman" w:eastAsia="Calibri" w:hAnsi="Times New Roman" w:cs="Times New Roman"/>
                <w:sz w:val="24"/>
                <w:szCs w:val="24"/>
                <w:lang w:val="ro-MD" w:eastAsia="ja-JP"/>
              </w:rPr>
              <w:t xml:space="preserve">, este posibilă </w:t>
            </w:r>
            <w:r w:rsidR="00BF5274" w:rsidRPr="0071735F">
              <w:rPr>
                <w:rFonts w:ascii="Times New Roman" w:eastAsia="Calibri" w:hAnsi="Times New Roman" w:cs="Times New Roman"/>
                <w:sz w:val="24"/>
                <w:szCs w:val="24"/>
                <w:lang w:val="ro-MD" w:eastAsia="ja-JP"/>
              </w:rPr>
              <w:t>estimarea cu aproximație a efortului investiționale necesar</w:t>
            </w:r>
            <w:r w:rsidR="001E23A2" w:rsidRPr="0071735F">
              <w:rPr>
                <w:rFonts w:ascii="Times New Roman" w:eastAsia="Calibri" w:hAnsi="Times New Roman" w:cs="Times New Roman"/>
                <w:sz w:val="24"/>
                <w:szCs w:val="24"/>
                <w:lang w:val="ro-MD" w:eastAsia="ja-JP"/>
              </w:rPr>
              <w:t xml:space="preserve">. </w:t>
            </w:r>
            <w:r w:rsidR="004B2B93" w:rsidRPr="0071735F">
              <w:rPr>
                <w:rFonts w:ascii="Times New Roman" w:eastAsia="Calibri" w:hAnsi="Times New Roman" w:cs="Times New Roman"/>
                <w:sz w:val="24"/>
                <w:szCs w:val="24"/>
                <w:lang w:val="ro-MD" w:eastAsia="ja-JP"/>
              </w:rPr>
              <w:t xml:space="preserve">După cum a fost prezentat mai sus, 0,8%/an </w:t>
            </w:r>
            <w:r w:rsidR="00FC308F" w:rsidRPr="0071735F">
              <w:rPr>
                <w:rFonts w:ascii="Times New Roman" w:eastAsia="Calibri" w:hAnsi="Times New Roman" w:cs="Times New Roman"/>
                <w:sz w:val="24"/>
                <w:szCs w:val="24"/>
                <w:lang w:val="ro-MD" w:eastAsia="ja-JP"/>
              </w:rPr>
              <w:t xml:space="preserve">reprezintă </w:t>
            </w:r>
            <w:r w:rsidR="00FC308F" w:rsidRPr="00F93F4A">
              <w:rPr>
                <w:rFonts w:ascii="Times New Roman" w:eastAsia="Calibri" w:hAnsi="Times New Roman" w:cs="Times New Roman"/>
                <w:sz w:val="24"/>
                <w:szCs w:val="24"/>
                <w:lang w:val="ro-MD" w:eastAsia="ja-JP"/>
              </w:rPr>
              <w:t>2</w:t>
            </w:r>
            <w:r w:rsidR="00F93F4A" w:rsidRPr="00F93F4A">
              <w:rPr>
                <w:rFonts w:ascii="Times New Roman" w:eastAsia="Calibri" w:hAnsi="Times New Roman" w:cs="Times New Roman"/>
                <w:sz w:val="24"/>
                <w:szCs w:val="24"/>
                <w:lang w:val="ro-MD" w:eastAsia="ja-JP"/>
              </w:rPr>
              <w:t>1</w:t>
            </w:r>
            <w:r w:rsidR="00FC308F" w:rsidRPr="00F93F4A">
              <w:rPr>
                <w:rFonts w:ascii="Times New Roman" w:eastAsia="Calibri" w:hAnsi="Times New Roman" w:cs="Times New Roman"/>
                <w:sz w:val="24"/>
                <w:szCs w:val="24"/>
                <w:lang w:val="ro-MD" w:eastAsia="ja-JP"/>
              </w:rPr>
              <w:t xml:space="preserve"> kt</w:t>
            </w:r>
            <w:r w:rsidR="00243F7E" w:rsidRPr="00F93F4A">
              <w:rPr>
                <w:rFonts w:ascii="Times New Roman" w:eastAsia="Calibri" w:hAnsi="Times New Roman" w:cs="Times New Roman"/>
                <w:sz w:val="24"/>
                <w:szCs w:val="24"/>
                <w:lang w:val="ro-MD" w:eastAsia="ja-JP"/>
              </w:rPr>
              <w:t>ep</w:t>
            </w:r>
            <w:r w:rsidR="00FC308F" w:rsidRPr="0071735F">
              <w:rPr>
                <w:rFonts w:ascii="Times New Roman" w:eastAsia="Calibri" w:hAnsi="Times New Roman" w:cs="Times New Roman"/>
                <w:sz w:val="24"/>
                <w:szCs w:val="24"/>
                <w:lang w:val="ro-MD" w:eastAsia="ja-JP"/>
              </w:rPr>
              <w:t xml:space="preserve"> de economii de energie care trebuie atinse de Guvern prin intermediul </w:t>
            </w:r>
            <w:r w:rsidR="000524BB" w:rsidRPr="0071735F">
              <w:rPr>
                <w:rFonts w:ascii="Times New Roman" w:eastAsia="Calibri" w:hAnsi="Times New Roman" w:cs="Times New Roman"/>
                <w:sz w:val="24"/>
                <w:szCs w:val="24"/>
                <w:lang w:val="ro-MD" w:eastAsia="ja-JP"/>
              </w:rPr>
              <w:t xml:space="preserve">instrumentelor create de acesta. </w:t>
            </w:r>
          </w:p>
          <w:p w14:paraId="073A6948" w14:textId="3DEB8D81" w:rsidR="008A388F" w:rsidRPr="0071735F" w:rsidRDefault="000524BB"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În termeni monetari, în condițiile unei investiții specifice de </w:t>
            </w:r>
            <w:r w:rsidR="00243F7E" w:rsidRPr="0071735F">
              <w:rPr>
                <w:rFonts w:ascii="Times New Roman" w:eastAsia="Calibri" w:hAnsi="Times New Roman" w:cs="Times New Roman"/>
                <w:sz w:val="24"/>
                <w:szCs w:val="24"/>
                <w:lang w:val="ro-MD" w:eastAsia="ja-JP"/>
              </w:rPr>
              <w:t>ca. 5.000 EUR/tep</w:t>
            </w:r>
            <w:r w:rsidR="001800FA" w:rsidRPr="0071735F">
              <w:rPr>
                <w:rFonts w:ascii="Times New Roman" w:eastAsia="Calibri" w:hAnsi="Times New Roman" w:cs="Times New Roman"/>
                <w:sz w:val="24"/>
                <w:szCs w:val="24"/>
                <w:lang w:val="ro-MD" w:eastAsia="ja-JP"/>
              </w:rPr>
              <w:t xml:space="preserve"> (conform </w:t>
            </w:r>
            <w:r w:rsidR="008A388F" w:rsidRPr="0071735F">
              <w:rPr>
                <w:rFonts w:ascii="Times New Roman" w:eastAsia="Calibri" w:hAnsi="Times New Roman" w:cs="Times New Roman"/>
                <w:sz w:val="24"/>
                <w:szCs w:val="24"/>
                <w:lang w:val="ro-MD" w:eastAsia="ja-JP"/>
              </w:rPr>
              <w:t>statisticilor disponibile pentru proiectele și programele de finanțare implementate anterior</w:t>
            </w:r>
            <w:r w:rsidR="001800FA" w:rsidRPr="0071735F">
              <w:rPr>
                <w:rFonts w:ascii="Times New Roman" w:eastAsia="Calibri" w:hAnsi="Times New Roman" w:cs="Times New Roman"/>
                <w:sz w:val="24"/>
                <w:szCs w:val="24"/>
                <w:lang w:val="ro-MD" w:eastAsia="ja-JP"/>
              </w:rPr>
              <w:t>)</w:t>
            </w:r>
            <w:r w:rsidR="00243F7E" w:rsidRPr="0071735F">
              <w:rPr>
                <w:rFonts w:ascii="Times New Roman" w:eastAsia="Calibri" w:hAnsi="Times New Roman" w:cs="Times New Roman"/>
                <w:sz w:val="24"/>
                <w:szCs w:val="24"/>
                <w:lang w:val="ro-MD" w:eastAsia="ja-JP"/>
              </w:rPr>
              <w:t xml:space="preserve">, </w:t>
            </w:r>
            <w:r w:rsidR="00830352" w:rsidRPr="0071735F">
              <w:rPr>
                <w:rFonts w:ascii="Times New Roman" w:eastAsia="Calibri" w:hAnsi="Times New Roman" w:cs="Times New Roman"/>
                <w:sz w:val="24"/>
                <w:szCs w:val="24"/>
                <w:lang w:val="ro-MD" w:eastAsia="ja-JP"/>
              </w:rPr>
              <w:t>obligația respectivă ar presupune</w:t>
            </w:r>
            <w:r w:rsidR="008A388F" w:rsidRPr="0071735F">
              <w:rPr>
                <w:rFonts w:ascii="Times New Roman" w:eastAsia="Calibri" w:hAnsi="Times New Roman" w:cs="Times New Roman"/>
                <w:sz w:val="24"/>
                <w:szCs w:val="24"/>
                <w:lang w:val="ro-MD" w:eastAsia="ja-JP"/>
              </w:rPr>
              <w:t xml:space="preserve"> mobilizarea a cca. </w:t>
            </w:r>
            <w:r w:rsidR="008A388F" w:rsidRPr="0099554D">
              <w:rPr>
                <w:rFonts w:ascii="Times New Roman" w:eastAsia="Calibri" w:hAnsi="Times New Roman" w:cs="Times New Roman"/>
                <w:sz w:val="24"/>
                <w:szCs w:val="24"/>
                <w:lang w:val="ro-MD" w:eastAsia="ja-JP"/>
              </w:rPr>
              <w:t>10</w:t>
            </w:r>
            <w:r w:rsidR="0099554D" w:rsidRPr="0099554D">
              <w:rPr>
                <w:rFonts w:ascii="Times New Roman" w:eastAsia="Calibri" w:hAnsi="Times New Roman" w:cs="Times New Roman"/>
                <w:sz w:val="24"/>
                <w:szCs w:val="24"/>
                <w:lang w:val="ro-MD" w:eastAsia="ja-JP"/>
              </w:rPr>
              <w:t>5</w:t>
            </w:r>
            <w:r w:rsidR="008A388F" w:rsidRPr="0099554D">
              <w:rPr>
                <w:rFonts w:ascii="Times New Roman" w:eastAsia="Calibri" w:hAnsi="Times New Roman" w:cs="Times New Roman"/>
                <w:sz w:val="24"/>
                <w:szCs w:val="24"/>
                <w:lang w:val="ro-MD" w:eastAsia="ja-JP"/>
              </w:rPr>
              <w:t xml:space="preserve"> milioane EUR anual.</w:t>
            </w:r>
          </w:p>
          <w:p w14:paraId="10000C21" w14:textId="48747B02" w:rsidR="008D55CF" w:rsidRPr="0071735F" w:rsidRDefault="0081463F"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Conform proiectului de lege, Guvernul deține două instrumente </w:t>
            </w:r>
            <w:r w:rsidR="000E2050" w:rsidRPr="0071735F">
              <w:rPr>
                <w:rFonts w:ascii="Times New Roman" w:eastAsia="Calibri" w:hAnsi="Times New Roman" w:cs="Times New Roman"/>
                <w:sz w:val="24"/>
                <w:szCs w:val="24"/>
                <w:lang w:val="ro-MD" w:eastAsia="ja-JP"/>
              </w:rPr>
              <w:t>pe care le poate pune în aplicare în vederea atingerii țintei respective,</w:t>
            </w:r>
            <w:r w:rsidR="00DE29F6" w:rsidRPr="0071735F">
              <w:rPr>
                <w:rFonts w:ascii="Times New Roman" w:eastAsia="Calibri" w:hAnsi="Times New Roman" w:cs="Times New Roman"/>
                <w:sz w:val="24"/>
                <w:szCs w:val="24"/>
                <w:lang w:val="ro-MD" w:eastAsia="ja-JP"/>
              </w:rPr>
              <w:t xml:space="preserve"> individual ori în combinație,</w:t>
            </w:r>
            <w:r w:rsidR="000E2050" w:rsidRPr="0071735F">
              <w:rPr>
                <w:rFonts w:ascii="Times New Roman" w:eastAsia="Calibri" w:hAnsi="Times New Roman" w:cs="Times New Roman"/>
                <w:sz w:val="24"/>
                <w:szCs w:val="24"/>
                <w:lang w:val="ro-MD" w:eastAsia="ja-JP"/>
              </w:rPr>
              <w:t xml:space="preserve"> și anume:</w:t>
            </w:r>
          </w:p>
          <w:p w14:paraId="61B858CF" w14:textId="0A2F787D" w:rsidR="000E2050" w:rsidRPr="0071735F" w:rsidRDefault="000E2050" w:rsidP="000E2050">
            <w:pPr>
              <w:pStyle w:val="ListParagraph"/>
              <w:numPr>
                <w:ilvl w:val="0"/>
                <w:numId w:val="33"/>
              </w:numPr>
              <w:spacing w:before="120" w:after="0"/>
              <w:jc w:val="both"/>
              <w:rPr>
                <w:rFonts w:ascii="Times New Roman" w:eastAsia="Calibri" w:hAnsi="Times New Roman" w:cs="Times New Roman"/>
                <w:i/>
                <w:iCs/>
                <w:sz w:val="24"/>
                <w:szCs w:val="24"/>
                <w:lang w:val="ro-MD" w:eastAsia="ja-JP"/>
              </w:rPr>
            </w:pPr>
            <w:r w:rsidRPr="0071735F">
              <w:rPr>
                <w:rFonts w:ascii="Times New Roman" w:eastAsia="Calibri" w:hAnsi="Times New Roman" w:cs="Times New Roman"/>
                <w:i/>
                <w:iCs/>
                <w:sz w:val="24"/>
                <w:szCs w:val="24"/>
                <w:lang w:val="ro-MD" w:eastAsia="ja-JP"/>
              </w:rPr>
              <w:t>Schema de obligații de eficiență energetică</w:t>
            </w:r>
          </w:p>
          <w:p w14:paraId="781BED2A" w14:textId="38F1E09C" w:rsidR="007C1FC8" w:rsidRPr="0071735F" w:rsidRDefault="00A26FAF"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Guvernul </w:t>
            </w:r>
            <w:r w:rsidR="00DE29F6" w:rsidRPr="0071735F">
              <w:rPr>
                <w:rFonts w:ascii="Times New Roman" w:eastAsia="Calibri" w:hAnsi="Times New Roman" w:cs="Times New Roman"/>
                <w:sz w:val="24"/>
                <w:szCs w:val="24"/>
                <w:lang w:val="ro-MD" w:eastAsia="ja-JP"/>
              </w:rPr>
              <w:t xml:space="preserve">poate impune </w:t>
            </w:r>
            <w:r w:rsidR="00061BD3" w:rsidRPr="0071735F">
              <w:rPr>
                <w:rFonts w:ascii="Times New Roman" w:eastAsia="Calibri" w:hAnsi="Times New Roman" w:cs="Times New Roman"/>
                <w:sz w:val="24"/>
                <w:szCs w:val="24"/>
                <w:lang w:val="ro-MD" w:eastAsia="ja-JP"/>
              </w:rPr>
              <w:t>părțile obligate – operatorii sistemelor de distribuție</w:t>
            </w:r>
            <w:r w:rsidR="007E6E9D" w:rsidRPr="0071735F">
              <w:rPr>
                <w:rFonts w:ascii="Times New Roman" w:eastAsia="Calibri" w:hAnsi="Times New Roman" w:cs="Times New Roman"/>
                <w:sz w:val="24"/>
                <w:szCs w:val="24"/>
                <w:lang w:val="ro-MD" w:eastAsia="ja-JP"/>
              </w:rPr>
              <w:t xml:space="preserve"> a energiei electrice și gaze naturale, importatorii de produse petroliere, să contribuie financiar la formarea bugetului </w:t>
            </w:r>
            <w:r w:rsidR="00ED3E87" w:rsidRPr="0071735F">
              <w:rPr>
                <w:rFonts w:ascii="Times New Roman" w:eastAsia="Calibri" w:hAnsi="Times New Roman" w:cs="Times New Roman"/>
                <w:sz w:val="24"/>
                <w:szCs w:val="24"/>
                <w:lang w:val="ro-MD" w:eastAsia="ja-JP"/>
              </w:rPr>
              <w:t>fondului de eficiență energetică</w:t>
            </w:r>
            <w:r w:rsidR="001D521B" w:rsidRPr="0071735F">
              <w:rPr>
                <w:rFonts w:ascii="Times New Roman" w:eastAsia="Calibri" w:hAnsi="Times New Roman" w:cs="Times New Roman"/>
                <w:sz w:val="24"/>
                <w:szCs w:val="24"/>
                <w:lang w:val="ro-MD" w:eastAsia="ja-JP"/>
              </w:rPr>
              <w:t xml:space="preserve">. Acesta din urmă decide cu privire la instrumentul financiar aplicat în raport cu sectoarele economiei naționale. </w:t>
            </w:r>
            <w:r w:rsidR="005E648D" w:rsidRPr="0071735F">
              <w:rPr>
                <w:rFonts w:ascii="Times New Roman" w:eastAsia="Calibri" w:hAnsi="Times New Roman" w:cs="Times New Roman"/>
                <w:sz w:val="24"/>
                <w:szCs w:val="24"/>
                <w:lang w:val="ro-MD" w:eastAsia="ja-JP"/>
              </w:rPr>
              <w:t xml:space="preserve">Mai jos </w:t>
            </w:r>
            <w:r w:rsidR="00F3086C">
              <w:rPr>
                <w:rFonts w:ascii="Times New Roman" w:eastAsia="Calibri" w:hAnsi="Times New Roman" w:cs="Times New Roman"/>
                <w:sz w:val="24"/>
                <w:szCs w:val="24"/>
                <w:lang w:val="ro-MD" w:eastAsia="ja-JP"/>
              </w:rPr>
              <w:t>este</w:t>
            </w:r>
            <w:r w:rsidR="005E648D" w:rsidRPr="0071735F">
              <w:rPr>
                <w:rFonts w:ascii="Times New Roman" w:eastAsia="Calibri" w:hAnsi="Times New Roman" w:cs="Times New Roman"/>
                <w:sz w:val="24"/>
                <w:szCs w:val="24"/>
                <w:lang w:val="ro-MD" w:eastAsia="ja-JP"/>
              </w:rPr>
              <w:t xml:space="preserve"> prezentat</w:t>
            </w:r>
            <w:r w:rsidR="00F3086C">
              <w:rPr>
                <w:rFonts w:ascii="Times New Roman" w:eastAsia="Calibri" w:hAnsi="Times New Roman" w:cs="Times New Roman"/>
                <w:sz w:val="24"/>
                <w:szCs w:val="24"/>
                <w:lang w:val="ro-MD" w:eastAsia="ja-JP"/>
              </w:rPr>
              <w:t xml:space="preserve"> un scenariu posibil de</w:t>
            </w:r>
            <w:r w:rsidR="005E648D" w:rsidRPr="0071735F">
              <w:rPr>
                <w:rFonts w:ascii="Times New Roman" w:eastAsia="Calibri" w:hAnsi="Times New Roman" w:cs="Times New Roman"/>
                <w:sz w:val="24"/>
                <w:szCs w:val="24"/>
                <w:lang w:val="ro-MD" w:eastAsia="ja-JP"/>
              </w:rPr>
              <w:t xml:space="preserve"> </w:t>
            </w:r>
            <w:r w:rsidR="0043285B" w:rsidRPr="0071735F">
              <w:rPr>
                <w:rFonts w:ascii="Times New Roman" w:eastAsia="Calibri" w:hAnsi="Times New Roman" w:cs="Times New Roman"/>
                <w:sz w:val="24"/>
                <w:szCs w:val="24"/>
                <w:lang w:val="ro-MD" w:eastAsia="ja-JP"/>
              </w:rPr>
              <w:t xml:space="preserve">finanțare a proiectelor în mai multe sectoare, acestea din urmă </w:t>
            </w:r>
            <w:r w:rsidR="00A17D2D" w:rsidRPr="0071735F">
              <w:rPr>
                <w:rFonts w:ascii="Times New Roman" w:eastAsia="Calibri" w:hAnsi="Times New Roman" w:cs="Times New Roman"/>
                <w:sz w:val="24"/>
                <w:szCs w:val="24"/>
                <w:lang w:val="ro-MD" w:eastAsia="ja-JP"/>
              </w:rPr>
              <w:t>urmând a fi considerate la etapa operaționalizării SOEE.</w:t>
            </w:r>
          </w:p>
          <w:p w14:paraId="265241B9" w14:textId="284D9386" w:rsidR="00F3086C" w:rsidRPr="00F3086C" w:rsidRDefault="00F3086C" w:rsidP="00F3086C">
            <w:pPr>
              <w:pStyle w:val="Caption"/>
              <w:keepNext/>
              <w:spacing w:before="240" w:after="120"/>
              <w:rPr>
                <w:rFonts w:ascii="Times New Roman" w:hAnsi="Times New Roman" w:cs="Times New Roman"/>
                <w:i w:val="0"/>
                <w:iCs w:val="0"/>
                <w:color w:val="000000" w:themeColor="text1"/>
                <w:sz w:val="22"/>
                <w:szCs w:val="22"/>
              </w:rPr>
            </w:pPr>
            <w:r w:rsidRPr="00F3086C">
              <w:rPr>
                <w:rFonts w:ascii="Times New Roman" w:hAnsi="Times New Roman" w:cs="Times New Roman"/>
                <w:b/>
                <w:bCs/>
                <w:i w:val="0"/>
                <w:iCs w:val="0"/>
                <w:color w:val="000000" w:themeColor="text1"/>
                <w:sz w:val="22"/>
                <w:szCs w:val="22"/>
              </w:rPr>
              <w:t xml:space="preserve">Tabel </w:t>
            </w:r>
            <w:r w:rsidRPr="00F3086C">
              <w:rPr>
                <w:rFonts w:ascii="Times New Roman" w:hAnsi="Times New Roman" w:cs="Times New Roman"/>
                <w:b/>
                <w:bCs/>
                <w:i w:val="0"/>
                <w:iCs w:val="0"/>
                <w:color w:val="000000" w:themeColor="text1"/>
                <w:sz w:val="22"/>
                <w:szCs w:val="22"/>
              </w:rPr>
              <w:fldChar w:fldCharType="begin"/>
            </w:r>
            <w:r w:rsidRPr="00F3086C">
              <w:rPr>
                <w:rFonts w:ascii="Times New Roman" w:hAnsi="Times New Roman" w:cs="Times New Roman"/>
                <w:b/>
                <w:bCs/>
                <w:i w:val="0"/>
                <w:iCs w:val="0"/>
                <w:color w:val="000000" w:themeColor="text1"/>
                <w:sz w:val="22"/>
                <w:szCs w:val="22"/>
              </w:rPr>
              <w:instrText xml:space="preserve"> SEQ Tabel \* ARABIC </w:instrText>
            </w:r>
            <w:r w:rsidRPr="00F3086C">
              <w:rPr>
                <w:rFonts w:ascii="Times New Roman" w:hAnsi="Times New Roman" w:cs="Times New Roman"/>
                <w:b/>
                <w:bCs/>
                <w:i w:val="0"/>
                <w:iCs w:val="0"/>
                <w:color w:val="000000" w:themeColor="text1"/>
                <w:sz w:val="22"/>
                <w:szCs w:val="22"/>
              </w:rPr>
              <w:fldChar w:fldCharType="separate"/>
            </w:r>
            <w:r w:rsidR="00B16F17">
              <w:rPr>
                <w:rFonts w:ascii="Times New Roman" w:hAnsi="Times New Roman" w:cs="Times New Roman"/>
                <w:b/>
                <w:bCs/>
                <w:i w:val="0"/>
                <w:iCs w:val="0"/>
                <w:noProof/>
                <w:color w:val="000000" w:themeColor="text1"/>
                <w:sz w:val="22"/>
                <w:szCs w:val="22"/>
              </w:rPr>
              <w:t>3</w:t>
            </w:r>
            <w:r w:rsidRPr="00F3086C">
              <w:rPr>
                <w:rFonts w:ascii="Times New Roman" w:hAnsi="Times New Roman" w:cs="Times New Roman"/>
                <w:b/>
                <w:bCs/>
                <w:i w:val="0"/>
                <w:iCs w:val="0"/>
                <w:color w:val="000000" w:themeColor="text1"/>
                <w:sz w:val="22"/>
                <w:szCs w:val="22"/>
              </w:rPr>
              <w:fldChar w:fldCharType="end"/>
            </w:r>
            <w:r w:rsidRPr="00F3086C">
              <w:rPr>
                <w:rFonts w:ascii="Times New Roman" w:hAnsi="Times New Roman" w:cs="Times New Roman"/>
                <w:b/>
                <w:bCs/>
                <w:i w:val="0"/>
                <w:iCs w:val="0"/>
                <w:color w:val="000000" w:themeColor="text1"/>
                <w:sz w:val="22"/>
                <w:szCs w:val="22"/>
                <w:lang w:val="ro-MD"/>
              </w:rPr>
              <w:t>.</w:t>
            </w:r>
            <w:r w:rsidRPr="00F3086C">
              <w:rPr>
                <w:rFonts w:ascii="Times New Roman" w:hAnsi="Times New Roman" w:cs="Times New Roman"/>
                <w:i w:val="0"/>
                <w:iCs w:val="0"/>
                <w:color w:val="000000" w:themeColor="text1"/>
                <w:sz w:val="22"/>
                <w:szCs w:val="22"/>
                <w:lang w:val="ro-MD"/>
              </w:rPr>
              <w:t xml:space="preserve"> Scenariu posibil de finanțare a măsurilor de eficiență energetică în sectoarele economiei RM</w:t>
            </w:r>
          </w:p>
          <w:tbl>
            <w:tblPr>
              <w:tblStyle w:val="TableGrid"/>
              <w:tblW w:w="3727" w:type="pct"/>
              <w:jc w:val="center"/>
              <w:tblLook w:val="04A0" w:firstRow="1" w:lastRow="0" w:firstColumn="1" w:lastColumn="0" w:noHBand="0" w:noVBand="1"/>
            </w:tblPr>
            <w:tblGrid>
              <w:gridCol w:w="730"/>
              <w:gridCol w:w="1829"/>
              <w:gridCol w:w="1530"/>
              <w:gridCol w:w="2880"/>
            </w:tblGrid>
            <w:tr w:rsidR="00DC6BAE" w:rsidRPr="00D22310" w14:paraId="7EF09B0F" w14:textId="77777777" w:rsidTr="00EC12E1">
              <w:trPr>
                <w:jc w:val="center"/>
              </w:trPr>
              <w:tc>
                <w:tcPr>
                  <w:tcW w:w="524" w:type="pct"/>
                  <w:shd w:val="clear" w:color="auto" w:fill="DAEEF3" w:themeFill="accent5" w:themeFillTint="33"/>
                  <w:vAlign w:val="center"/>
                </w:tcPr>
                <w:p w14:paraId="4BE6AC10" w14:textId="7941C22B" w:rsidR="00DC6BAE" w:rsidRPr="0071735F" w:rsidRDefault="00DC6BAE"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w:t>
                  </w:r>
                </w:p>
              </w:tc>
              <w:tc>
                <w:tcPr>
                  <w:tcW w:w="1312" w:type="pct"/>
                  <w:shd w:val="clear" w:color="auto" w:fill="DAEEF3" w:themeFill="accent5" w:themeFillTint="33"/>
                  <w:vAlign w:val="center"/>
                </w:tcPr>
                <w:p w14:paraId="6B63C0F8" w14:textId="6F2E07F0" w:rsidR="00DC6BAE" w:rsidRPr="0071735F" w:rsidRDefault="00DC6BAE" w:rsidP="00060DDD">
                  <w:pPr>
                    <w:jc w:val="center"/>
                    <w:rPr>
                      <w:rFonts w:ascii="Times New Roman" w:eastAsia="Calibri" w:hAnsi="Times New Roman" w:cs="Times New Roman"/>
                      <w:b/>
                      <w:bCs/>
                      <w:lang w:val="ro-MD" w:eastAsia="ja-JP"/>
                    </w:rPr>
                  </w:pPr>
                  <w:r w:rsidRPr="0071735F">
                    <w:rPr>
                      <w:rFonts w:ascii="Times New Roman" w:eastAsia="Calibri" w:hAnsi="Times New Roman" w:cs="Times New Roman"/>
                      <w:b/>
                      <w:bCs/>
                      <w:lang w:val="ro-MD" w:eastAsia="ja-JP"/>
                    </w:rPr>
                    <w:t>Sector</w:t>
                  </w:r>
                </w:p>
              </w:tc>
              <w:tc>
                <w:tcPr>
                  <w:tcW w:w="1098" w:type="pct"/>
                  <w:shd w:val="clear" w:color="auto" w:fill="DAEEF3" w:themeFill="accent5" w:themeFillTint="33"/>
                  <w:vAlign w:val="center"/>
                </w:tcPr>
                <w:p w14:paraId="6CEEDE28" w14:textId="4A7A804E" w:rsidR="00DC6BAE" w:rsidRPr="0071735F" w:rsidRDefault="00DC6BAE" w:rsidP="00060DDD">
                  <w:pPr>
                    <w:jc w:val="center"/>
                    <w:rPr>
                      <w:rFonts w:ascii="Times New Roman" w:eastAsia="Calibri" w:hAnsi="Times New Roman" w:cs="Times New Roman"/>
                      <w:b/>
                      <w:bCs/>
                      <w:lang w:val="ro-MD" w:eastAsia="ja-JP"/>
                    </w:rPr>
                  </w:pPr>
                  <w:r w:rsidRPr="0071735F">
                    <w:rPr>
                      <w:rFonts w:ascii="Times New Roman" w:eastAsia="Calibri" w:hAnsi="Times New Roman" w:cs="Times New Roman"/>
                      <w:b/>
                      <w:bCs/>
                      <w:lang w:val="ro-MD" w:eastAsia="ja-JP"/>
                    </w:rPr>
                    <w:t>Componenta de grant</w:t>
                  </w:r>
                </w:p>
              </w:tc>
              <w:tc>
                <w:tcPr>
                  <w:tcW w:w="2066" w:type="pct"/>
                  <w:shd w:val="clear" w:color="auto" w:fill="DAEEF3" w:themeFill="accent5" w:themeFillTint="33"/>
                  <w:vAlign w:val="center"/>
                </w:tcPr>
                <w:p w14:paraId="22CD8C4F" w14:textId="56A75C94" w:rsidR="00DC6BAE" w:rsidRPr="0071735F" w:rsidRDefault="00DC6BAE" w:rsidP="00060DDD">
                  <w:pPr>
                    <w:jc w:val="center"/>
                    <w:rPr>
                      <w:rFonts w:ascii="Times New Roman" w:eastAsia="Calibri" w:hAnsi="Times New Roman" w:cs="Times New Roman"/>
                      <w:b/>
                      <w:bCs/>
                      <w:lang w:val="ro-MD" w:eastAsia="ja-JP"/>
                    </w:rPr>
                  </w:pPr>
                  <w:r w:rsidRPr="0071735F">
                    <w:rPr>
                      <w:rFonts w:ascii="Times New Roman" w:eastAsia="Calibri" w:hAnsi="Times New Roman" w:cs="Times New Roman"/>
                      <w:b/>
                      <w:bCs/>
                      <w:lang w:val="ro-MD" w:eastAsia="ja-JP"/>
                    </w:rPr>
                    <w:t>Componenta de împrumut sau contribuție proprie</w:t>
                  </w:r>
                </w:p>
              </w:tc>
            </w:tr>
            <w:tr w:rsidR="00DC6BAE" w:rsidRPr="00D22310" w14:paraId="59E0219A" w14:textId="77777777" w:rsidTr="00F3086C">
              <w:trPr>
                <w:trHeight w:val="288"/>
                <w:jc w:val="center"/>
              </w:trPr>
              <w:tc>
                <w:tcPr>
                  <w:tcW w:w="524" w:type="pct"/>
                  <w:vAlign w:val="center"/>
                </w:tcPr>
                <w:p w14:paraId="6F797E17" w14:textId="3F506F63" w:rsidR="00DC6BAE" w:rsidRPr="0071735F" w:rsidRDefault="00E120EF"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1</w:t>
                  </w:r>
                </w:p>
              </w:tc>
              <w:tc>
                <w:tcPr>
                  <w:tcW w:w="1312" w:type="pct"/>
                </w:tcPr>
                <w:p w14:paraId="22E72B13" w14:textId="43C812EF" w:rsidR="00DC6BAE" w:rsidRPr="0071735F" w:rsidRDefault="00DC6BAE"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S. public</w:t>
                  </w:r>
                </w:p>
              </w:tc>
              <w:tc>
                <w:tcPr>
                  <w:tcW w:w="1098" w:type="pct"/>
                  <w:vAlign w:val="center"/>
                </w:tcPr>
                <w:p w14:paraId="196C2EFA" w14:textId="77E80DD4" w:rsidR="00DC6BAE" w:rsidRPr="0071735F" w:rsidRDefault="00E120EF"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50-80%</w:t>
                  </w:r>
                </w:p>
              </w:tc>
              <w:tc>
                <w:tcPr>
                  <w:tcW w:w="2066" w:type="pct"/>
                  <w:vAlign w:val="center"/>
                </w:tcPr>
                <w:p w14:paraId="6652F3B3" w14:textId="0147ECB4" w:rsidR="00DC6BAE" w:rsidRPr="0071735F" w:rsidRDefault="00E120EF"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20-50%</w:t>
                  </w:r>
                </w:p>
              </w:tc>
            </w:tr>
            <w:tr w:rsidR="00DC6BAE" w:rsidRPr="00D22310" w14:paraId="299C7A9A" w14:textId="77777777" w:rsidTr="00F3086C">
              <w:trPr>
                <w:trHeight w:val="288"/>
                <w:jc w:val="center"/>
              </w:trPr>
              <w:tc>
                <w:tcPr>
                  <w:tcW w:w="524" w:type="pct"/>
                  <w:vAlign w:val="center"/>
                </w:tcPr>
                <w:p w14:paraId="0675E552" w14:textId="0BCDF313" w:rsidR="00DC6BAE" w:rsidRPr="0071735F" w:rsidRDefault="00E120EF"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2</w:t>
                  </w:r>
                </w:p>
              </w:tc>
              <w:tc>
                <w:tcPr>
                  <w:tcW w:w="1312" w:type="pct"/>
                </w:tcPr>
                <w:p w14:paraId="73EB1C21" w14:textId="7BFC52FF" w:rsidR="00DC6BAE" w:rsidRPr="0071735F" w:rsidRDefault="00E120EF"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S. industrial</w:t>
                  </w:r>
                </w:p>
              </w:tc>
              <w:tc>
                <w:tcPr>
                  <w:tcW w:w="1098" w:type="pct"/>
                  <w:vAlign w:val="center"/>
                </w:tcPr>
                <w:p w14:paraId="1DA317AD" w14:textId="3B9CDCA5" w:rsidR="00DC6BAE" w:rsidRPr="0071735F" w:rsidRDefault="00344933"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5-20%</w:t>
                  </w:r>
                </w:p>
              </w:tc>
              <w:tc>
                <w:tcPr>
                  <w:tcW w:w="2066" w:type="pct"/>
                  <w:vAlign w:val="center"/>
                </w:tcPr>
                <w:p w14:paraId="14CFFABA" w14:textId="4F39D354" w:rsidR="00DC6BAE" w:rsidRPr="0071735F" w:rsidRDefault="00344933"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80-95%</w:t>
                  </w:r>
                </w:p>
              </w:tc>
            </w:tr>
            <w:tr w:rsidR="00DC6BAE" w:rsidRPr="00D22310" w14:paraId="52A9FDB8" w14:textId="77777777" w:rsidTr="00F3086C">
              <w:trPr>
                <w:jc w:val="center"/>
              </w:trPr>
              <w:tc>
                <w:tcPr>
                  <w:tcW w:w="524" w:type="pct"/>
                  <w:vAlign w:val="center"/>
                </w:tcPr>
                <w:p w14:paraId="73182781" w14:textId="486EB3BE" w:rsidR="00DC6BAE" w:rsidRPr="0071735F" w:rsidRDefault="00D83C5B"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3</w:t>
                  </w:r>
                </w:p>
              </w:tc>
              <w:tc>
                <w:tcPr>
                  <w:tcW w:w="1312" w:type="pct"/>
                </w:tcPr>
                <w:p w14:paraId="00B07D99" w14:textId="52932737" w:rsidR="00DC6BAE" w:rsidRPr="0071735F" w:rsidRDefault="00344933"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 xml:space="preserve">s. </w:t>
                  </w:r>
                  <w:r w:rsidR="00D83C5B" w:rsidRPr="0071735F">
                    <w:rPr>
                      <w:rFonts w:ascii="Times New Roman" w:eastAsia="Calibri" w:hAnsi="Times New Roman" w:cs="Times New Roman"/>
                      <w:lang w:val="ro-MD" w:eastAsia="ja-JP"/>
                    </w:rPr>
                    <w:t>utilităților</w:t>
                  </w:r>
                  <w:r w:rsidR="00190FBC" w:rsidRPr="0071735F">
                    <w:rPr>
                      <w:rFonts w:ascii="Times New Roman" w:eastAsia="Calibri" w:hAnsi="Times New Roman" w:cs="Times New Roman"/>
                      <w:lang w:val="ro-MD" w:eastAsia="ja-JP"/>
                    </w:rPr>
                    <w:t xml:space="preserve"> </w:t>
                  </w:r>
                  <w:r w:rsidR="00D83C5B" w:rsidRPr="0071735F">
                    <w:rPr>
                      <w:rFonts w:ascii="Times New Roman" w:eastAsia="Calibri" w:hAnsi="Times New Roman" w:cs="Times New Roman"/>
                      <w:lang w:val="ro-MD" w:eastAsia="ja-JP"/>
                    </w:rPr>
                    <w:t xml:space="preserve"> (servicii publice)</w:t>
                  </w:r>
                </w:p>
              </w:tc>
              <w:tc>
                <w:tcPr>
                  <w:tcW w:w="1098" w:type="pct"/>
                  <w:vAlign w:val="center"/>
                </w:tcPr>
                <w:p w14:paraId="0DCF0245" w14:textId="347A2F0F" w:rsidR="00DC6BAE"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15-</w:t>
                  </w:r>
                  <w:r w:rsidR="00D83C5B" w:rsidRPr="0071735F">
                    <w:rPr>
                      <w:rFonts w:ascii="Times New Roman" w:eastAsia="Calibri" w:hAnsi="Times New Roman" w:cs="Times New Roman"/>
                      <w:lang w:val="ro-MD" w:eastAsia="ja-JP"/>
                    </w:rPr>
                    <w:t>2</w:t>
                  </w:r>
                  <w:r w:rsidRPr="0071735F">
                    <w:rPr>
                      <w:rFonts w:ascii="Times New Roman" w:eastAsia="Calibri" w:hAnsi="Times New Roman" w:cs="Times New Roman"/>
                      <w:lang w:val="ro-MD" w:eastAsia="ja-JP"/>
                    </w:rPr>
                    <w:t>5</w:t>
                  </w:r>
                  <w:r w:rsidR="00D83C5B" w:rsidRPr="0071735F">
                    <w:rPr>
                      <w:rFonts w:ascii="Times New Roman" w:eastAsia="Calibri" w:hAnsi="Times New Roman" w:cs="Times New Roman"/>
                      <w:lang w:val="ro-MD" w:eastAsia="ja-JP"/>
                    </w:rPr>
                    <w:t>%</w:t>
                  </w:r>
                </w:p>
              </w:tc>
              <w:tc>
                <w:tcPr>
                  <w:tcW w:w="2066" w:type="pct"/>
                  <w:vAlign w:val="center"/>
                </w:tcPr>
                <w:p w14:paraId="5996C092" w14:textId="7FFB7EEF" w:rsidR="00DC6BAE"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75</w:t>
                  </w:r>
                  <w:r w:rsidR="00D83C5B" w:rsidRPr="0071735F">
                    <w:rPr>
                      <w:rFonts w:ascii="Times New Roman" w:eastAsia="Calibri" w:hAnsi="Times New Roman" w:cs="Times New Roman"/>
                      <w:lang w:val="ro-MD" w:eastAsia="ja-JP"/>
                    </w:rPr>
                    <w:t>-</w:t>
                  </w:r>
                  <w:r w:rsidRPr="0071735F">
                    <w:rPr>
                      <w:rFonts w:ascii="Times New Roman" w:eastAsia="Calibri" w:hAnsi="Times New Roman" w:cs="Times New Roman"/>
                      <w:lang w:val="ro-MD" w:eastAsia="ja-JP"/>
                    </w:rPr>
                    <w:t>85</w:t>
                  </w:r>
                  <w:r w:rsidR="00D83C5B" w:rsidRPr="0071735F">
                    <w:rPr>
                      <w:rFonts w:ascii="Times New Roman" w:eastAsia="Calibri" w:hAnsi="Times New Roman" w:cs="Times New Roman"/>
                      <w:lang w:val="ro-MD" w:eastAsia="ja-JP"/>
                    </w:rPr>
                    <w:t>%</w:t>
                  </w:r>
                </w:p>
              </w:tc>
            </w:tr>
            <w:tr w:rsidR="00DC6BAE" w:rsidRPr="00D22310" w14:paraId="7669F965" w14:textId="77777777" w:rsidTr="00F3086C">
              <w:trPr>
                <w:jc w:val="center"/>
              </w:trPr>
              <w:tc>
                <w:tcPr>
                  <w:tcW w:w="524" w:type="pct"/>
                  <w:vAlign w:val="center"/>
                </w:tcPr>
                <w:p w14:paraId="5E7766B1" w14:textId="59F26015" w:rsidR="00DC6BAE" w:rsidRPr="0071735F" w:rsidRDefault="00D83C5B"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4</w:t>
                  </w:r>
                </w:p>
              </w:tc>
              <w:tc>
                <w:tcPr>
                  <w:tcW w:w="1312" w:type="pct"/>
                </w:tcPr>
                <w:p w14:paraId="25AB6EE4" w14:textId="6CE2AB9B" w:rsidR="00DC6BAE" w:rsidRPr="0071735F" w:rsidRDefault="00D83C5B"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s. transporturi</w:t>
                  </w:r>
                  <w:r w:rsidR="00ED5035" w:rsidRPr="0071735F">
                    <w:rPr>
                      <w:rFonts w:ascii="Times New Roman" w:eastAsia="Calibri" w:hAnsi="Times New Roman" w:cs="Times New Roman"/>
                      <w:lang w:val="ro-MD" w:eastAsia="ja-JP"/>
                    </w:rPr>
                    <w:t xml:space="preserve"> </w:t>
                  </w:r>
                  <w:r w:rsidR="00F3086C">
                    <w:rPr>
                      <w:rFonts w:ascii="Times New Roman" w:eastAsia="Calibri" w:hAnsi="Times New Roman" w:cs="Times New Roman"/>
                      <w:lang w:val="ro-MD" w:eastAsia="ja-JP"/>
                    </w:rPr>
                    <w:t>/</w:t>
                  </w:r>
                  <w:r w:rsidR="00ED5035" w:rsidRPr="0071735F">
                    <w:rPr>
                      <w:rFonts w:ascii="Times New Roman" w:eastAsia="Calibri" w:hAnsi="Times New Roman" w:cs="Times New Roman"/>
                      <w:lang w:val="ro-MD" w:eastAsia="ja-JP"/>
                    </w:rPr>
                    <w:t>privat</w:t>
                  </w:r>
                  <w:r w:rsidR="00F3086C">
                    <w:rPr>
                      <w:rFonts w:ascii="Times New Roman" w:eastAsia="Calibri" w:hAnsi="Times New Roman" w:cs="Times New Roman"/>
                      <w:lang w:val="ro-MD" w:eastAsia="ja-JP"/>
                    </w:rPr>
                    <w:t>/</w:t>
                  </w:r>
                </w:p>
              </w:tc>
              <w:tc>
                <w:tcPr>
                  <w:tcW w:w="1098" w:type="pct"/>
                  <w:vAlign w:val="center"/>
                </w:tcPr>
                <w:p w14:paraId="3CC9EB75" w14:textId="3544336F" w:rsidR="00DC6BAE"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0-10%</w:t>
                  </w:r>
                </w:p>
              </w:tc>
              <w:tc>
                <w:tcPr>
                  <w:tcW w:w="2066" w:type="pct"/>
                  <w:vAlign w:val="center"/>
                </w:tcPr>
                <w:p w14:paraId="295ABE0C" w14:textId="4CC47631" w:rsidR="00DC6BAE"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90-100%</w:t>
                  </w:r>
                </w:p>
              </w:tc>
            </w:tr>
            <w:tr w:rsidR="00190FBC" w:rsidRPr="00D22310" w14:paraId="05E33D75" w14:textId="77777777" w:rsidTr="00F3086C">
              <w:trPr>
                <w:jc w:val="center"/>
              </w:trPr>
              <w:tc>
                <w:tcPr>
                  <w:tcW w:w="524" w:type="pct"/>
                  <w:vAlign w:val="center"/>
                </w:tcPr>
                <w:p w14:paraId="094C34BA" w14:textId="79B95C36" w:rsidR="00190FBC" w:rsidRPr="0071735F" w:rsidRDefault="00190FBC"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5</w:t>
                  </w:r>
                </w:p>
              </w:tc>
              <w:tc>
                <w:tcPr>
                  <w:tcW w:w="1312" w:type="pct"/>
                </w:tcPr>
                <w:p w14:paraId="4B8F825C" w14:textId="65CDD50E" w:rsidR="00190FBC" w:rsidRPr="0071735F" w:rsidRDefault="00190FBC"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 xml:space="preserve">s. transporturi </w:t>
                  </w:r>
                  <w:r w:rsidR="00F3086C">
                    <w:rPr>
                      <w:rFonts w:ascii="Times New Roman" w:eastAsia="Calibri" w:hAnsi="Times New Roman" w:cs="Times New Roman"/>
                      <w:lang w:val="ro-MD" w:eastAsia="ja-JP"/>
                    </w:rPr>
                    <w:t>/</w:t>
                  </w:r>
                  <w:r w:rsidRPr="0071735F">
                    <w:rPr>
                      <w:rFonts w:ascii="Times New Roman" w:eastAsia="Calibri" w:hAnsi="Times New Roman" w:cs="Times New Roman"/>
                      <w:lang w:val="ro-MD" w:eastAsia="ja-JP"/>
                    </w:rPr>
                    <w:t>public</w:t>
                  </w:r>
                  <w:r w:rsidR="00F3086C">
                    <w:rPr>
                      <w:rFonts w:ascii="Times New Roman" w:eastAsia="Calibri" w:hAnsi="Times New Roman" w:cs="Times New Roman"/>
                      <w:lang w:val="ro-MD" w:eastAsia="ja-JP"/>
                    </w:rPr>
                    <w:t>/</w:t>
                  </w:r>
                </w:p>
              </w:tc>
              <w:tc>
                <w:tcPr>
                  <w:tcW w:w="1098" w:type="pct"/>
                  <w:vAlign w:val="center"/>
                </w:tcPr>
                <w:p w14:paraId="5B88E580" w14:textId="5B6B563E" w:rsidR="00190FBC"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15-25%</w:t>
                  </w:r>
                </w:p>
              </w:tc>
              <w:tc>
                <w:tcPr>
                  <w:tcW w:w="2066" w:type="pct"/>
                  <w:vAlign w:val="center"/>
                </w:tcPr>
                <w:p w14:paraId="2DD956CA" w14:textId="3FD87180" w:rsidR="00190FBC" w:rsidRPr="0071735F" w:rsidRDefault="00190FBC"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75-85%</w:t>
                  </w:r>
                </w:p>
              </w:tc>
            </w:tr>
            <w:tr w:rsidR="00DC6BAE" w:rsidRPr="00D22310" w14:paraId="38361691" w14:textId="77777777" w:rsidTr="00F3086C">
              <w:trPr>
                <w:trHeight w:val="288"/>
                <w:jc w:val="center"/>
              </w:trPr>
              <w:tc>
                <w:tcPr>
                  <w:tcW w:w="524" w:type="pct"/>
                  <w:vAlign w:val="center"/>
                </w:tcPr>
                <w:p w14:paraId="5A918B4E" w14:textId="4403B9A7" w:rsidR="00DC6BAE" w:rsidRPr="0071735F" w:rsidRDefault="00060DDD" w:rsidP="00F3086C">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6</w:t>
                  </w:r>
                </w:p>
              </w:tc>
              <w:tc>
                <w:tcPr>
                  <w:tcW w:w="1312" w:type="pct"/>
                </w:tcPr>
                <w:p w14:paraId="1C9A13AB" w14:textId="65C856BF" w:rsidR="00DC6BAE" w:rsidRPr="0071735F" w:rsidRDefault="00D3149C" w:rsidP="00060DDD">
                  <w:pP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s. rezidențial</w:t>
                  </w:r>
                </w:p>
              </w:tc>
              <w:tc>
                <w:tcPr>
                  <w:tcW w:w="1098" w:type="pct"/>
                  <w:vAlign w:val="center"/>
                </w:tcPr>
                <w:p w14:paraId="5DF142EA" w14:textId="15BE608D" w:rsidR="00DC6BAE" w:rsidRPr="0071735F" w:rsidRDefault="00060DDD"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50-80%</w:t>
                  </w:r>
                </w:p>
              </w:tc>
              <w:tc>
                <w:tcPr>
                  <w:tcW w:w="2066" w:type="pct"/>
                  <w:vAlign w:val="center"/>
                </w:tcPr>
                <w:p w14:paraId="0BA0E2E7" w14:textId="15BF35B0" w:rsidR="00DC6BAE" w:rsidRPr="0071735F" w:rsidRDefault="00060DDD" w:rsidP="00060DDD">
                  <w:pPr>
                    <w:jc w:val="center"/>
                    <w:rPr>
                      <w:rFonts w:ascii="Times New Roman" w:eastAsia="Calibri" w:hAnsi="Times New Roman" w:cs="Times New Roman"/>
                      <w:lang w:val="ro-MD" w:eastAsia="ja-JP"/>
                    </w:rPr>
                  </w:pPr>
                  <w:r w:rsidRPr="0071735F">
                    <w:rPr>
                      <w:rFonts w:ascii="Times New Roman" w:eastAsia="Calibri" w:hAnsi="Times New Roman" w:cs="Times New Roman"/>
                      <w:lang w:val="ro-MD" w:eastAsia="ja-JP"/>
                    </w:rPr>
                    <w:t>20-50%</w:t>
                  </w:r>
                </w:p>
              </w:tc>
            </w:tr>
          </w:tbl>
          <w:p w14:paraId="010DD9B0" w14:textId="77777777" w:rsidR="00781D2C" w:rsidRPr="0071735F" w:rsidRDefault="005C6DDD" w:rsidP="00A769BE">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 xml:space="preserve">Informația prezentată mai sus ar veni </w:t>
            </w:r>
            <w:r w:rsidR="00F30903" w:rsidRPr="0071735F">
              <w:rPr>
                <w:rFonts w:ascii="Times New Roman" w:eastAsia="Calibri" w:hAnsi="Times New Roman" w:cs="Times New Roman"/>
                <w:sz w:val="24"/>
                <w:szCs w:val="24"/>
                <w:lang w:val="ro-MD" w:eastAsia="ja-JP"/>
              </w:rPr>
              <w:t xml:space="preserve">să </w:t>
            </w:r>
            <w:r w:rsidRPr="0071735F">
              <w:rPr>
                <w:rFonts w:ascii="Times New Roman" w:eastAsia="Calibri" w:hAnsi="Times New Roman" w:cs="Times New Roman"/>
                <w:sz w:val="24"/>
                <w:szCs w:val="24"/>
                <w:lang w:val="ro-MD" w:eastAsia="ja-JP"/>
              </w:rPr>
              <w:t>explic</w:t>
            </w:r>
            <w:r w:rsidR="00F30903" w:rsidRPr="0071735F">
              <w:rPr>
                <w:rFonts w:ascii="Times New Roman" w:eastAsia="Calibri" w:hAnsi="Times New Roman" w:cs="Times New Roman"/>
                <w:sz w:val="24"/>
                <w:szCs w:val="24"/>
                <w:lang w:val="ro-MD" w:eastAsia="ja-JP"/>
              </w:rPr>
              <w:t>e</w:t>
            </w:r>
            <w:r w:rsidRPr="0071735F">
              <w:rPr>
                <w:rFonts w:ascii="Times New Roman" w:eastAsia="Calibri" w:hAnsi="Times New Roman" w:cs="Times New Roman"/>
                <w:sz w:val="24"/>
                <w:szCs w:val="24"/>
                <w:lang w:val="ro-MD" w:eastAsia="ja-JP"/>
              </w:rPr>
              <w:t xml:space="preserve"> faptul că </w:t>
            </w:r>
            <w:r w:rsidR="008567F0" w:rsidRPr="0071735F">
              <w:rPr>
                <w:rFonts w:ascii="Times New Roman" w:eastAsia="Calibri" w:hAnsi="Times New Roman" w:cs="Times New Roman"/>
                <w:sz w:val="24"/>
                <w:szCs w:val="24"/>
                <w:lang w:val="ro-MD" w:eastAsia="ja-JP"/>
              </w:rPr>
              <w:t xml:space="preserve">la operaționalizarea SOEE, nu este necesară colectarea prin tarif a </w:t>
            </w:r>
            <w:r w:rsidR="00A77C6B" w:rsidRPr="0071735F">
              <w:rPr>
                <w:rFonts w:ascii="Times New Roman" w:eastAsia="Calibri" w:hAnsi="Times New Roman" w:cs="Times New Roman"/>
                <w:sz w:val="24"/>
                <w:szCs w:val="24"/>
                <w:lang w:val="ro-MD" w:eastAsia="ja-JP"/>
              </w:rPr>
              <w:t>valorii întregi de 100 milioane EUR estimate mai sus. Astfel,</w:t>
            </w:r>
            <w:r w:rsidR="002D5EA8" w:rsidRPr="0071735F">
              <w:rPr>
                <w:rFonts w:ascii="Times New Roman" w:eastAsia="Calibri" w:hAnsi="Times New Roman" w:cs="Times New Roman"/>
                <w:sz w:val="24"/>
                <w:szCs w:val="24"/>
                <w:lang w:val="ro-MD" w:eastAsia="ja-JP"/>
              </w:rPr>
              <w:t xml:space="preserve"> în condițiile în care statul și-ar propune subvenționarea intervențiilor în mai multe sectoare, impactul </w:t>
            </w:r>
            <w:r w:rsidR="00B16A60" w:rsidRPr="0071735F">
              <w:rPr>
                <w:rFonts w:ascii="Times New Roman" w:eastAsia="Calibri" w:hAnsi="Times New Roman" w:cs="Times New Roman"/>
                <w:sz w:val="24"/>
                <w:szCs w:val="24"/>
                <w:lang w:val="ro-MD" w:eastAsia="ja-JP"/>
              </w:rPr>
              <w:t xml:space="preserve"> SOEE ar fi unul redus. Tabelul de mai jos prezintă o estimare a impactului asupra tarifelor la energie electrică</w:t>
            </w:r>
            <w:r w:rsidR="00224C86" w:rsidRPr="0071735F">
              <w:rPr>
                <w:rFonts w:ascii="Times New Roman" w:eastAsia="Calibri" w:hAnsi="Times New Roman" w:cs="Times New Roman"/>
                <w:sz w:val="24"/>
                <w:szCs w:val="24"/>
                <w:lang w:val="ro-MD" w:eastAsia="ja-JP"/>
              </w:rPr>
              <w:t xml:space="preserve"> gaze naturale și prețului produselor petroliere pentru fiecare </w:t>
            </w:r>
            <w:r w:rsidR="00781D2C" w:rsidRPr="0071735F">
              <w:rPr>
                <w:rFonts w:ascii="Times New Roman" w:eastAsia="Calibri" w:hAnsi="Times New Roman" w:cs="Times New Roman"/>
                <w:sz w:val="24"/>
                <w:szCs w:val="24"/>
                <w:lang w:val="ro-MD" w:eastAsia="ja-JP"/>
              </w:rPr>
              <w:t>100 milioane MDL a fi colectate.</w:t>
            </w:r>
          </w:p>
          <w:p w14:paraId="2848E87E" w14:textId="54BC3E23" w:rsidR="00A17D2D" w:rsidRDefault="00A17D2D" w:rsidP="00A769BE">
            <w:pPr>
              <w:spacing w:before="120" w:after="0"/>
              <w:jc w:val="both"/>
              <w:rPr>
                <w:rFonts w:ascii="Times New Roman" w:eastAsia="Calibri" w:hAnsi="Times New Roman" w:cs="Times New Roman"/>
                <w:sz w:val="24"/>
                <w:szCs w:val="24"/>
                <w:lang w:val="ro-MD" w:eastAsia="ja-JP"/>
              </w:rPr>
            </w:pPr>
          </w:p>
          <w:p w14:paraId="67CE319B" w14:textId="77777777" w:rsidR="003032BD" w:rsidRDefault="003032BD" w:rsidP="00A769BE">
            <w:pPr>
              <w:spacing w:before="120" w:after="0"/>
              <w:jc w:val="both"/>
              <w:rPr>
                <w:rFonts w:ascii="Times New Roman" w:eastAsia="Calibri" w:hAnsi="Times New Roman" w:cs="Times New Roman"/>
                <w:sz w:val="24"/>
                <w:szCs w:val="24"/>
                <w:lang w:val="ro-MD" w:eastAsia="ja-JP"/>
              </w:rPr>
            </w:pPr>
          </w:p>
          <w:p w14:paraId="7350F04E" w14:textId="77777777" w:rsidR="00B55426" w:rsidRDefault="00B55426" w:rsidP="00A769BE">
            <w:pPr>
              <w:spacing w:before="120" w:after="0"/>
              <w:jc w:val="both"/>
              <w:rPr>
                <w:rFonts w:ascii="Times New Roman" w:eastAsia="Calibri" w:hAnsi="Times New Roman" w:cs="Times New Roman"/>
                <w:sz w:val="24"/>
                <w:szCs w:val="24"/>
                <w:lang w:val="ro-MD" w:eastAsia="ja-JP"/>
              </w:rPr>
            </w:pPr>
          </w:p>
          <w:p w14:paraId="4E708324" w14:textId="372F569D" w:rsidR="00B16F17" w:rsidRPr="00EE6E62" w:rsidRDefault="00B16F17" w:rsidP="00B16F17">
            <w:pPr>
              <w:pStyle w:val="Caption"/>
              <w:keepNext/>
              <w:rPr>
                <w:rFonts w:ascii="Times New Roman" w:hAnsi="Times New Roman" w:cs="Times New Roman"/>
                <w:b/>
                <w:bCs/>
                <w:i w:val="0"/>
                <w:iCs w:val="0"/>
                <w:color w:val="000000" w:themeColor="text1"/>
                <w:sz w:val="22"/>
                <w:szCs w:val="22"/>
                <w:lang w:val="ro-MD"/>
              </w:rPr>
            </w:pPr>
            <w:r w:rsidRPr="00D22310">
              <w:rPr>
                <w:rFonts w:ascii="Times New Roman" w:hAnsi="Times New Roman" w:cs="Times New Roman"/>
                <w:b/>
                <w:bCs/>
                <w:i w:val="0"/>
                <w:iCs w:val="0"/>
                <w:color w:val="000000" w:themeColor="text1"/>
                <w:sz w:val="22"/>
                <w:szCs w:val="22"/>
                <w:lang w:val="ro-MD"/>
              </w:rPr>
              <w:lastRenderedPageBreak/>
              <w:t xml:space="preserve">Tabel </w:t>
            </w:r>
            <w:r w:rsidRPr="00EE6E62">
              <w:rPr>
                <w:rFonts w:ascii="Times New Roman" w:hAnsi="Times New Roman" w:cs="Times New Roman"/>
                <w:b/>
                <w:bCs/>
                <w:i w:val="0"/>
                <w:iCs w:val="0"/>
                <w:color w:val="000000" w:themeColor="text1"/>
                <w:sz w:val="22"/>
                <w:szCs w:val="22"/>
              </w:rPr>
              <w:fldChar w:fldCharType="begin"/>
            </w:r>
            <w:r w:rsidRPr="00D22310">
              <w:rPr>
                <w:rFonts w:ascii="Times New Roman" w:hAnsi="Times New Roman" w:cs="Times New Roman"/>
                <w:b/>
                <w:bCs/>
                <w:i w:val="0"/>
                <w:iCs w:val="0"/>
                <w:color w:val="000000" w:themeColor="text1"/>
                <w:sz w:val="22"/>
                <w:szCs w:val="22"/>
                <w:lang w:val="ro-MD"/>
              </w:rPr>
              <w:instrText xml:space="preserve"> SEQ Tabel \* ARABIC </w:instrText>
            </w:r>
            <w:r w:rsidRPr="00EE6E62">
              <w:rPr>
                <w:rFonts w:ascii="Times New Roman" w:hAnsi="Times New Roman" w:cs="Times New Roman"/>
                <w:b/>
                <w:bCs/>
                <w:i w:val="0"/>
                <w:iCs w:val="0"/>
                <w:color w:val="000000" w:themeColor="text1"/>
                <w:sz w:val="22"/>
                <w:szCs w:val="22"/>
              </w:rPr>
              <w:fldChar w:fldCharType="separate"/>
            </w:r>
            <w:r w:rsidRPr="00D22310">
              <w:rPr>
                <w:rFonts w:ascii="Times New Roman" w:hAnsi="Times New Roman" w:cs="Times New Roman"/>
                <w:b/>
                <w:bCs/>
                <w:i w:val="0"/>
                <w:iCs w:val="0"/>
                <w:noProof/>
                <w:color w:val="000000" w:themeColor="text1"/>
                <w:sz w:val="22"/>
                <w:szCs w:val="22"/>
                <w:lang w:val="ro-MD"/>
              </w:rPr>
              <w:t>4</w:t>
            </w:r>
            <w:r w:rsidRPr="00EE6E62">
              <w:rPr>
                <w:rFonts w:ascii="Times New Roman" w:hAnsi="Times New Roman" w:cs="Times New Roman"/>
                <w:b/>
                <w:bCs/>
                <w:i w:val="0"/>
                <w:iCs w:val="0"/>
                <w:color w:val="000000" w:themeColor="text1"/>
                <w:sz w:val="22"/>
                <w:szCs w:val="22"/>
              </w:rPr>
              <w:fldChar w:fldCharType="end"/>
            </w:r>
            <w:r w:rsidRPr="00EE6E62">
              <w:rPr>
                <w:rFonts w:ascii="Times New Roman" w:hAnsi="Times New Roman" w:cs="Times New Roman"/>
                <w:b/>
                <w:bCs/>
                <w:i w:val="0"/>
                <w:iCs w:val="0"/>
                <w:color w:val="000000" w:themeColor="text1"/>
                <w:sz w:val="22"/>
                <w:szCs w:val="22"/>
                <w:lang w:val="ro-MD"/>
              </w:rPr>
              <w:t xml:space="preserve">. </w:t>
            </w:r>
            <w:r w:rsidRPr="00EE6E62">
              <w:rPr>
                <w:rFonts w:ascii="Times New Roman" w:hAnsi="Times New Roman" w:cs="Times New Roman"/>
                <w:i w:val="0"/>
                <w:iCs w:val="0"/>
                <w:color w:val="000000" w:themeColor="text1"/>
                <w:sz w:val="22"/>
                <w:szCs w:val="22"/>
                <w:lang w:val="ro-MD"/>
              </w:rPr>
              <w:t>Estimarea impactului SOEE</w:t>
            </w:r>
            <w:r w:rsidR="006274B8">
              <w:rPr>
                <w:rFonts w:ascii="Times New Roman" w:hAnsi="Times New Roman" w:cs="Times New Roman"/>
                <w:i w:val="0"/>
                <w:iCs w:val="0"/>
                <w:color w:val="000000" w:themeColor="text1"/>
                <w:sz w:val="22"/>
                <w:szCs w:val="22"/>
                <w:lang w:val="ro-MD"/>
              </w:rPr>
              <w:t xml:space="preserve"> (</w:t>
            </w:r>
            <w:r w:rsidR="00E02847">
              <w:rPr>
                <w:rFonts w:ascii="Times New Roman" w:hAnsi="Times New Roman" w:cs="Times New Roman"/>
                <w:i w:val="0"/>
                <w:iCs w:val="0"/>
                <w:color w:val="000000" w:themeColor="text1"/>
                <w:sz w:val="22"/>
                <w:szCs w:val="22"/>
                <w:lang w:val="ro-MD"/>
              </w:rPr>
              <w:t xml:space="preserve">cu un buget anual acceptat la </w:t>
            </w:r>
            <w:r w:rsidR="006274B8">
              <w:rPr>
                <w:rFonts w:ascii="Times New Roman" w:hAnsi="Times New Roman" w:cs="Times New Roman"/>
                <w:i w:val="0"/>
                <w:iCs w:val="0"/>
                <w:color w:val="000000" w:themeColor="text1"/>
                <w:sz w:val="22"/>
                <w:szCs w:val="22"/>
                <w:lang w:val="ro-MD"/>
              </w:rPr>
              <w:t>1</w:t>
            </w:r>
            <w:r w:rsidR="006274B8" w:rsidRPr="00EE6E62">
              <w:rPr>
                <w:rFonts w:ascii="Times New Roman" w:hAnsi="Times New Roman" w:cs="Times New Roman"/>
                <w:i w:val="0"/>
                <w:iCs w:val="0"/>
                <w:color w:val="000000" w:themeColor="text1"/>
                <w:sz w:val="22"/>
                <w:szCs w:val="22"/>
                <w:lang w:val="ro-MD"/>
              </w:rPr>
              <w:t>00 milioane MDL</w:t>
            </w:r>
            <w:r w:rsidR="006274B8">
              <w:rPr>
                <w:rFonts w:ascii="Times New Roman" w:hAnsi="Times New Roman" w:cs="Times New Roman"/>
                <w:i w:val="0"/>
                <w:iCs w:val="0"/>
                <w:color w:val="000000" w:themeColor="text1"/>
                <w:sz w:val="22"/>
                <w:szCs w:val="22"/>
                <w:lang w:val="ro-MD"/>
              </w:rPr>
              <w:t>)</w:t>
            </w:r>
            <w:r w:rsidR="006274B8" w:rsidRPr="00EE6E62">
              <w:rPr>
                <w:rFonts w:ascii="Times New Roman" w:hAnsi="Times New Roman" w:cs="Times New Roman"/>
                <w:b/>
                <w:bCs/>
                <w:i w:val="0"/>
                <w:iCs w:val="0"/>
                <w:color w:val="000000" w:themeColor="text1"/>
                <w:sz w:val="22"/>
                <w:szCs w:val="22"/>
                <w:lang w:val="ro-MD"/>
              </w:rPr>
              <w:t xml:space="preserve"> </w:t>
            </w:r>
            <w:r w:rsidRPr="00EE6E62">
              <w:rPr>
                <w:rFonts w:ascii="Times New Roman" w:hAnsi="Times New Roman" w:cs="Times New Roman"/>
                <w:i w:val="0"/>
                <w:iCs w:val="0"/>
                <w:color w:val="000000" w:themeColor="text1"/>
                <w:sz w:val="22"/>
                <w:szCs w:val="22"/>
                <w:lang w:val="ro-MD"/>
              </w:rPr>
              <w:t xml:space="preserve">asupra </w:t>
            </w:r>
            <w:r w:rsidR="00E04C2F" w:rsidRPr="00EE6E62">
              <w:rPr>
                <w:rFonts w:ascii="Times New Roman" w:hAnsi="Times New Roman" w:cs="Times New Roman"/>
                <w:i w:val="0"/>
                <w:iCs w:val="0"/>
                <w:color w:val="000000" w:themeColor="text1"/>
                <w:sz w:val="22"/>
                <w:szCs w:val="22"/>
                <w:lang w:val="ro-MD"/>
              </w:rPr>
              <w:t>prețului și tarifelor resurselor energetice</w:t>
            </w:r>
          </w:p>
          <w:tbl>
            <w:tblPr>
              <w:tblStyle w:val="TableGrid"/>
              <w:tblW w:w="0" w:type="auto"/>
              <w:tblLook w:val="04A0" w:firstRow="1" w:lastRow="0" w:firstColumn="1" w:lastColumn="0" w:noHBand="0" w:noVBand="1"/>
            </w:tblPr>
            <w:tblGrid>
              <w:gridCol w:w="483"/>
              <w:gridCol w:w="1982"/>
              <w:gridCol w:w="1260"/>
              <w:gridCol w:w="1415"/>
              <w:gridCol w:w="1217"/>
              <w:gridCol w:w="1050"/>
              <w:gridCol w:w="1943"/>
            </w:tblGrid>
            <w:tr w:rsidR="00B770A4" w:rsidRPr="00D22310" w14:paraId="0E7114FC" w14:textId="77777777" w:rsidTr="00D214AB">
              <w:tc>
                <w:tcPr>
                  <w:tcW w:w="483" w:type="dxa"/>
                  <w:vMerge w:val="restart"/>
                  <w:shd w:val="clear" w:color="auto" w:fill="DAEEF3" w:themeFill="accent5" w:themeFillTint="33"/>
                  <w:vAlign w:val="center"/>
                </w:tcPr>
                <w:p w14:paraId="221BCD39" w14:textId="5A8A112E" w:rsidR="00FB74F7" w:rsidRPr="00D81659" w:rsidRDefault="00FB74F7" w:rsidP="00D81659">
                  <w:pPr>
                    <w:jc w:val="center"/>
                    <w:rPr>
                      <w:rFonts w:ascii="Times New Roman" w:eastAsia="Calibri" w:hAnsi="Times New Roman" w:cs="Times New Roman"/>
                      <w:b/>
                      <w:bCs/>
                      <w:sz w:val="24"/>
                      <w:szCs w:val="24"/>
                      <w:lang w:val="ro-MD" w:eastAsia="ja-JP"/>
                    </w:rPr>
                  </w:pPr>
                  <w:r w:rsidRPr="00D81659">
                    <w:rPr>
                      <w:rFonts w:ascii="Times New Roman" w:eastAsia="Calibri" w:hAnsi="Times New Roman" w:cs="Times New Roman"/>
                      <w:b/>
                      <w:bCs/>
                      <w:sz w:val="24"/>
                      <w:szCs w:val="24"/>
                      <w:lang w:val="ro-MD" w:eastAsia="ja-JP"/>
                    </w:rPr>
                    <w:t>#</w:t>
                  </w:r>
                </w:p>
              </w:tc>
              <w:tc>
                <w:tcPr>
                  <w:tcW w:w="1982" w:type="dxa"/>
                  <w:vMerge w:val="restart"/>
                  <w:shd w:val="clear" w:color="auto" w:fill="DAEEF3" w:themeFill="accent5" w:themeFillTint="33"/>
                  <w:vAlign w:val="center"/>
                </w:tcPr>
                <w:p w14:paraId="4C1FF4CB" w14:textId="599F1F1A" w:rsidR="00FB74F7" w:rsidRPr="00D81659" w:rsidRDefault="00FB74F7" w:rsidP="00FB74F7">
                  <w:pPr>
                    <w:jc w:val="center"/>
                    <w:rPr>
                      <w:rFonts w:ascii="Times New Roman" w:eastAsia="Calibri" w:hAnsi="Times New Roman" w:cs="Times New Roman"/>
                      <w:b/>
                      <w:bCs/>
                      <w:lang w:val="ro-MD" w:eastAsia="ja-JP"/>
                    </w:rPr>
                  </w:pPr>
                  <w:r>
                    <w:rPr>
                      <w:rFonts w:ascii="Times New Roman" w:eastAsia="Calibri" w:hAnsi="Times New Roman" w:cs="Times New Roman"/>
                      <w:b/>
                      <w:bCs/>
                      <w:lang w:val="ro-MD" w:eastAsia="ja-JP"/>
                    </w:rPr>
                    <w:t>Resursa energetică</w:t>
                  </w:r>
                </w:p>
              </w:tc>
              <w:tc>
                <w:tcPr>
                  <w:tcW w:w="2675" w:type="dxa"/>
                  <w:gridSpan w:val="2"/>
                  <w:shd w:val="clear" w:color="auto" w:fill="DAEEF3" w:themeFill="accent5" w:themeFillTint="33"/>
                  <w:vAlign w:val="center"/>
                </w:tcPr>
                <w:p w14:paraId="5BAD866A" w14:textId="6BF25E7E" w:rsidR="00FB74F7" w:rsidRPr="00D81659" w:rsidRDefault="00FB74F7" w:rsidP="00D81659">
                  <w:pPr>
                    <w:jc w:val="center"/>
                    <w:rPr>
                      <w:rFonts w:ascii="Times New Roman" w:eastAsia="Calibri" w:hAnsi="Times New Roman" w:cs="Times New Roman"/>
                      <w:b/>
                      <w:bCs/>
                      <w:lang w:val="ro-MD" w:eastAsia="ja-JP"/>
                    </w:rPr>
                  </w:pPr>
                  <w:r w:rsidRPr="00D81659">
                    <w:rPr>
                      <w:rFonts w:ascii="Times New Roman" w:eastAsia="Calibri" w:hAnsi="Times New Roman" w:cs="Times New Roman"/>
                      <w:b/>
                      <w:bCs/>
                      <w:lang w:val="ro-MD" w:eastAsia="ja-JP"/>
                    </w:rPr>
                    <w:t>Consum mediu de resurse energetice</w:t>
                  </w:r>
                  <w:r w:rsidRPr="00074AD2">
                    <w:rPr>
                      <w:rFonts w:ascii="Times New Roman" w:eastAsia="Calibri" w:hAnsi="Times New Roman" w:cs="Times New Roman"/>
                      <w:b/>
                      <w:bCs/>
                      <w:vertAlign w:val="superscript"/>
                      <w:lang w:val="ro-MD" w:eastAsia="ja-JP"/>
                    </w:rPr>
                    <w:t>*</w:t>
                  </w:r>
                </w:p>
              </w:tc>
              <w:tc>
                <w:tcPr>
                  <w:tcW w:w="1217" w:type="dxa"/>
                  <w:vMerge w:val="restart"/>
                  <w:shd w:val="clear" w:color="auto" w:fill="DAEEF3" w:themeFill="accent5" w:themeFillTint="33"/>
                  <w:vAlign w:val="center"/>
                </w:tcPr>
                <w:p w14:paraId="2B0A8120" w14:textId="067C0D82" w:rsidR="00FB74F7" w:rsidRPr="00D81659" w:rsidRDefault="00FB74F7" w:rsidP="00D81659">
                  <w:pPr>
                    <w:jc w:val="center"/>
                    <w:rPr>
                      <w:rFonts w:ascii="Times New Roman" w:eastAsia="Calibri" w:hAnsi="Times New Roman" w:cs="Times New Roman"/>
                      <w:b/>
                      <w:bCs/>
                      <w:lang w:val="ro-MD" w:eastAsia="ja-JP"/>
                    </w:rPr>
                  </w:pPr>
                  <w:r w:rsidRPr="00D81659">
                    <w:rPr>
                      <w:rFonts w:ascii="Times New Roman" w:eastAsia="Calibri" w:hAnsi="Times New Roman" w:cs="Times New Roman"/>
                      <w:b/>
                      <w:bCs/>
                      <w:lang w:val="ro-MD" w:eastAsia="ja-JP"/>
                    </w:rPr>
                    <w:t>SOEE, buget</w:t>
                  </w:r>
                </w:p>
              </w:tc>
              <w:tc>
                <w:tcPr>
                  <w:tcW w:w="1050" w:type="dxa"/>
                  <w:vMerge w:val="restart"/>
                  <w:shd w:val="clear" w:color="auto" w:fill="DAEEF3" w:themeFill="accent5" w:themeFillTint="33"/>
                  <w:vAlign w:val="center"/>
                </w:tcPr>
                <w:p w14:paraId="4D0882B0" w14:textId="54DDFC62" w:rsidR="00FB74F7" w:rsidRPr="00D81659" w:rsidRDefault="00FB74F7" w:rsidP="00D81659">
                  <w:pPr>
                    <w:jc w:val="center"/>
                    <w:rPr>
                      <w:rFonts w:ascii="Times New Roman" w:eastAsia="Calibri" w:hAnsi="Times New Roman" w:cs="Times New Roman"/>
                      <w:b/>
                      <w:bCs/>
                      <w:lang w:val="ro-MD" w:eastAsia="ja-JP"/>
                    </w:rPr>
                  </w:pPr>
                  <w:r w:rsidRPr="00D81659">
                    <w:rPr>
                      <w:rFonts w:ascii="Times New Roman" w:eastAsia="Calibri" w:hAnsi="Times New Roman" w:cs="Times New Roman"/>
                      <w:b/>
                      <w:bCs/>
                      <w:lang w:val="ro-MD" w:eastAsia="ja-JP"/>
                    </w:rPr>
                    <w:t>Cost unitar</w:t>
                  </w:r>
                </w:p>
              </w:tc>
              <w:tc>
                <w:tcPr>
                  <w:tcW w:w="1943" w:type="dxa"/>
                  <w:vMerge w:val="restart"/>
                  <w:shd w:val="clear" w:color="auto" w:fill="DAEEF3" w:themeFill="accent5" w:themeFillTint="33"/>
                  <w:vAlign w:val="center"/>
                </w:tcPr>
                <w:p w14:paraId="5A8A8083" w14:textId="33B6AB82" w:rsidR="00FB74F7" w:rsidRPr="00D81659" w:rsidRDefault="00FB74F7" w:rsidP="00D81659">
                  <w:pPr>
                    <w:jc w:val="center"/>
                    <w:rPr>
                      <w:rFonts w:ascii="Times New Roman" w:eastAsia="Calibri" w:hAnsi="Times New Roman" w:cs="Times New Roman"/>
                      <w:b/>
                      <w:bCs/>
                      <w:lang w:val="ro-MD" w:eastAsia="ja-JP"/>
                    </w:rPr>
                  </w:pPr>
                  <w:r w:rsidRPr="00D81659">
                    <w:rPr>
                      <w:rFonts w:ascii="Times New Roman" w:eastAsia="Calibri" w:hAnsi="Times New Roman" w:cs="Times New Roman"/>
                      <w:b/>
                      <w:bCs/>
                      <w:lang w:val="ro-MD" w:eastAsia="ja-JP"/>
                    </w:rPr>
                    <w:t>Cost specific per unitate de produs</w:t>
                  </w:r>
                </w:p>
              </w:tc>
            </w:tr>
            <w:tr w:rsidR="00B770A4" w:rsidRPr="00D22310" w14:paraId="37AD165C" w14:textId="77777777" w:rsidTr="00D214AB">
              <w:tc>
                <w:tcPr>
                  <w:tcW w:w="483" w:type="dxa"/>
                  <w:vMerge/>
                </w:tcPr>
                <w:p w14:paraId="233EB089" w14:textId="77777777" w:rsidR="00FB74F7" w:rsidRPr="00A11CF2" w:rsidRDefault="00FB74F7" w:rsidP="00D81659">
                  <w:pPr>
                    <w:jc w:val="both"/>
                    <w:rPr>
                      <w:rFonts w:ascii="Times New Roman" w:eastAsia="Calibri" w:hAnsi="Times New Roman" w:cs="Times New Roman"/>
                      <w:lang w:val="ro-MD" w:eastAsia="ja-JP"/>
                    </w:rPr>
                  </w:pPr>
                </w:p>
              </w:tc>
              <w:tc>
                <w:tcPr>
                  <w:tcW w:w="1982" w:type="dxa"/>
                  <w:vMerge/>
                </w:tcPr>
                <w:p w14:paraId="78656500" w14:textId="77777777" w:rsidR="00FB74F7" w:rsidRDefault="00FB74F7" w:rsidP="00E7674B">
                  <w:pPr>
                    <w:jc w:val="center"/>
                    <w:rPr>
                      <w:rFonts w:ascii="Times New Roman" w:eastAsia="Calibri" w:hAnsi="Times New Roman" w:cs="Times New Roman"/>
                      <w:b/>
                      <w:bCs/>
                      <w:i/>
                      <w:iCs/>
                      <w:sz w:val="20"/>
                      <w:szCs w:val="20"/>
                      <w:lang w:val="ro-MD" w:eastAsia="ja-JP"/>
                    </w:rPr>
                  </w:pPr>
                </w:p>
              </w:tc>
              <w:tc>
                <w:tcPr>
                  <w:tcW w:w="1260" w:type="dxa"/>
                  <w:shd w:val="clear" w:color="auto" w:fill="DAEEF3" w:themeFill="accent5" w:themeFillTint="33"/>
                </w:tcPr>
                <w:p w14:paraId="370738F5" w14:textId="460CE977" w:rsidR="00FB74F7" w:rsidRPr="007E27A4" w:rsidRDefault="00FB74F7" w:rsidP="00E7674B">
                  <w:pPr>
                    <w:jc w:val="center"/>
                    <w:rPr>
                      <w:rFonts w:ascii="Times New Roman" w:eastAsia="Calibri" w:hAnsi="Times New Roman" w:cs="Times New Roman"/>
                      <w:b/>
                      <w:bCs/>
                      <w:i/>
                      <w:iCs/>
                      <w:sz w:val="20"/>
                      <w:szCs w:val="20"/>
                      <w:lang w:val="ro-MD" w:eastAsia="ja-JP"/>
                    </w:rPr>
                  </w:pPr>
                  <w:r>
                    <w:rPr>
                      <w:rFonts w:ascii="Times New Roman" w:eastAsia="Calibri" w:hAnsi="Times New Roman" w:cs="Times New Roman"/>
                      <w:b/>
                      <w:bCs/>
                      <w:i/>
                      <w:iCs/>
                      <w:sz w:val="20"/>
                      <w:szCs w:val="20"/>
                      <w:lang w:val="ro-MD" w:eastAsia="ja-JP"/>
                    </w:rPr>
                    <w:t>TJ</w:t>
                  </w:r>
                </w:p>
              </w:tc>
              <w:tc>
                <w:tcPr>
                  <w:tcW w:w="1415" w:type="dxa"/>
                  <w:shd w:val="clear" w:color="auto" w:fill="DAEEF3" w:themeFill="accent5" w:themeFillTint="33"/>
                </w:tcPr>
                <w:p w14:paraId="2B20E9E5" w14:textId="30F577A4" w:rsidR="00FB74F7" w:rsidRPr="007E27A4" w:rsidRDefault="00FB74F7" w:rsidP="00E7674B">
                  <w:pPr>
                    <w:jc w:val="center"/>
                    <w:rPr>
                      <w:rFonts w:ascii="Times New Roman" w:eastAsia="Calibri" w:hAnsi="Times New Roman" w:cs="Times New Roman"/>
                      <w:b/>
                      <w:bCs/>
                      <w:i/>
                      <w:iCs/>
                      <w:sz w:val="20"/>
                      <w:szCs w:val="20"/>
                      <w:lang w:val="ro-MD" w:eastAsia="ja-JP"/>
                    </w:rPr>
                  </w:pPr>
                  <w:r w:rsidRPr="007E27A4">
                    <w:rPr>
                      <w:rFonts w:ascii="Times New Roman" w:eastAsia="Calibri" w:hAnsi="Times New Roman" w:cs="Times New Roman"/>
                      <w:b/>
                      <w:bCs/>
                      <w:i/>
                      <w:iCs/>
                      <w:sz w:val="20"/>
                      <w:szCs w:val="20"/>
                      <w:lang w:val="ro-MD" w:eastAsia="ja-JP"/>
                    </w:rPr>
                    <w:t>TWh</w:t>
                  </w:r>
                </w:p>
              </w:tc>
              <w:tc>
                <w:tcPr>
                  <w:tcW w:w="1217" w:type="dxa"/>
                  <w:vMerge/>
                </w:tcPr>
                <w:p w14:paraId="28B9B655" w14:textId="77777777" w:rsidR="00FB74F7" w:rsidRPr="00A11CF2" w:rsidRDefault="00FB74F7" w:rsidP="00D81659">
                  <w:pPr>
                    <w:jc w:val="both"/>
                    <w:rPr>
                      <w:rFonts w:ascii="Times New Roman" w:eastAsia="Calibri" w:hAnsi="Times New Roman" w:cs="Times New Roman"/>
                      <w:lang w:val="ro-MD" w:eastAsia="ja-JP"/>
                    </w:rPr>
                  </w:pPr>
                </w:p>
              </w:tc>
              <w:tc>
                <w:tcPr>
                  <w:tcW w:w="1050" w:type="dxa"/>
                  <w:vMerge/>
                </w:tcPr>
                <w:p w14:paraId="7794A0EF" w14:textId="77777777" w:rsidR="00FB74F7" w:rsidRPr="00A11CF2" w:rsidRDefault="00FB74F7" w:rsidP="00D81659">
                  <w:pPr>
                    <w:jc w:val="both"/>
                    <w:rPr>
                      <w:rFonts w:ascii="Times New Roman" w:eastAsia="Calibri" w:hAnsi="Times New Roman" w:cs="Times New Roman"/>
                      <w:lang w:val="ro-MD" w:eastAsia="ja-JP"/>
                    </w:rPr>
                  </w:pPr>
                </w:p>
              </w:tc>
              <w:tc>
                <w:tcPr>
                  <w:tcW w:w="1943" w:type="dxa"/>
                  <w:vMerge/>
                </w:tcPr>
                <w:p w14:paraId="1BEEEAA9" w14:textId="77777777" w:rsidR="00FB74F7" w:rsidRPr="00A11CF2" w:rsidRDefault="00FB74F7" w:rsidP="00D81659">
                  <w:pPr>
                    <w:jc w:val="both"/>
                    <w:rPr>
                      <w:rFonts w:ascii="Times New Roman" w:eastAsia="Calibri" w:hAnsi="Times New Roman" w:cs="Times New Roman"/>
                      <w:lang w:val="ro-MD" w:eastAsia="ja-JP"/>
                    </w:rPr>
                  </w:pPr>
                </w:p>
              </w:tc>
            </w:tr>
            <w:tr w:rsidR="00B770A4" w:rsidRPr="00D22310" w14:paraId="3E644EDC" w14:textId="77777777" w:rsidTr="00D214AB">
              <w:trPr>
                <w:trHeight w:val="432"/>
              </w:trPr>
              <w:tc>
                <w:tcPr>
                  <w:tcW w:w="483" w:type="dxa"/>
                  <w:vAlign w:val="center"/>
                </w:tcPr>
                <w:p w14:paraId="063F8D69" w14:textId="62EDE9C0" w:rsidR="00FB74F7" w:rsidRPr="00A11CF2" w:rsidRDefault="00FB74F7" w:rsidP="00FB74F7">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1</w:t>
                  </w:r>
                </w:p>
              </w:tc>
              <w:tc>
                <w:tcPr>
                  <w:tcW w:w="1982" w:type="dxa"/>
                  <w:vAlign w:val="center"/>
                </w:tcPr>
                <w:p w14:paraId="451F50C9" w14:textId="63784F15" w:rsidR="00FB74F7" w:rsidRPr="00A11CF2" w:rsidRDefault="00FB74F7" w:rsidP="00FB74F7">
                  <w:pPr>
                    <w:rPr>
                      <w:rFonts w:ascii="Times New Roman" w:eastAsia="Calibri" w:hAnsi="Times New Roman" w:cs="Times New Roman"/>
                      <w:lang w:val="ro-MD" w:eastAsia="ja-JP"/>
                    </w:rPr>
                  </w:pPr>
                  <w:r>
                    <w:rPr>
                      <w:rFonts w:ascii="Times New Roman" w:eastAsia="Calibri" w:hAnsi="Times New Roman" w:cs="Times New Roman"/>
                      <w:lang w:val="ro-MD" w:eastAsia="ja-JP"/>
                    </w:rPr>
                    <w:t>Energie electrică</w:t>
                  </w:r>
                </w:p>
              </w:tc>
              <w:tc>
                <w:tcPr>
                  <w:tcW w:w="1260" w:type="dxa"/>
                  <w:vAlign w:val="center"/>
                </w:tcPr>
                <w:p w14:paraId="4F209B48" w14:textId="1328563A" w:rsidR="00FB74F7" w:rsidRPr="00A11CF2" w:rsidRDefault="00D1786D"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13</w:t>
                  </w:r>
                  <w:r w:rsidR="00864FE6">
                    <w:rPr>
                      <w:rFonts w:ascii="Times New Roman" w:eastAsia="Calibri" w:hAnsi="Times New Roman" w:cs="Times New Roman"/>
                      <w:lang w:val="ro-MD" w:eastAsia="ja-JP"/>
                    </w:rPr>
                    <w:t>.</w:t>
                  </w:r>
                  <w:r>
                    <w:rPr>
                      <w:rFonts w:ascii="Times New Roman" w:eastAsia="Calibri" w:hAnsi="Times New Roman" w:cs="Times New Roman"/>
                      <w:lang w:val="ro-MD" w:eastAsia="ja-JP"/>
                    </w:rPr>
                    <w:t>726</w:t>
                  </w:r>
                </w:p>
              </w:tc>
              <w:tc>
                <w:tcPr>
                  <w:tcW w:w="1415" w:type="dxa"/>
                  <w:vAlign w:val="center"/>
                </w:tcPr>
                <w:p w14:paraId="30F20474" w14:textId="3B3D7D19" w:rsidR="00FB74F7" w:rsidRPr="00A11CF2" w:rsidRDefault="00A578A1"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3,813</w:t>
                  </w:r>
                </w:p>
              </w:tc>
              <w:tc>
                <w:tcPr>
                  <w:tcW w:w="1217" w:type="dxa"/>
                  <w:vMerge w:val="restart"/>
                  <w:vAlign w:val="center"/>
                </w:tcPr>
                <w:p w14:paraId="4FA1B42D" w14:textId="5B22404F" w:rsidR="00FB74F7" w:rsidRPr="00A11CF2" w:rsidRDefault="00FB74F7" w:rsidP="00B770A4">
                  <w:pPr>
                    <w:ind w:left="-144" w:right="-144"/>
                    <w:jc w:val="center"/>
                    <w:rPr>
                      <w:rFonts w:ascii="Times New Roman" w:eastAsia="Calibri" w:hAnsi="Times New Roman" w:cs="Times New Roman"/>
                      <w:lang w:val="ro-MD" w:eastAsia="ja-JP"/>
                    </w:rPr>
                  </w:pPr>
                  <w:r w:rsidRPr="00A11CF2">
                    <w:rPr>
                      <w:rFonts w:ascii="Times New Roman" w:eastAsia="Calibri" w:hAnsi="Times New Roman" w:cs="Times New Roman"/>
                      <w:lang w:val="ro-MD" w:eastAsia="ja-JP"/>
                    </w:rPr>
                    <w:t>100</w:t>
                  </w:r>
                  <w:r>
                    <w:rPr>
                      <w:rFonts w:ascii="Times New Roman" w:eastAsia="Calibri" w:hAnsi="Times New Roman" w:cs="Times New Roman"/>
                      <w:lang w:val="ro-MD" w:eastAsia="ja-JP"/>
                    </w:rPr>
                    <w:t xml:space="preserve"> milioane</w:t>
                  </w:r>
                  <w:r w:rsidRPr="00A11CF2">
                    <w:rPr>
                      <w:rFonts w:ascii="Times New Roman" w:eastAsia="Calibri" w:hAnsi="Times New Roman" w:cs="Times New Roman"/>
                      <w:lang w:val="ro-MD" w:eastAsia="ja-JP"/>
                    </w:rPr>
                    <w:t xml:space="preserve"> MDL</w:t>
                  </w:r>
                </w:p>
              </w:tc>
              <w:tc>
                <w:tcPr>
                  <w:tcW w:w="1050" w:type="dxa"/>
                  <w:vMerge w:val="restart"/>
                  <w:vAlign w:val="center"/>
                </w:tcPr>
                <w:p w14:paraId="0989FA9E" w14:textId="57640D8A" w:rsidR="00FB74F7" w:rsidRPr="00A11CF2" w:rsidRDefault="003A13D0" w:rsidP="00B770A4">
                  <w:pPr>
                    <w:ind w:left="-144" w:right="-144"/>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0,005</w:t>
                  </w:r>
                  <w:r w:rsidR="000C61D0">
                    <w:rPr>
                      <w:rFonts w:ascii="Times New Roman" w:eastAsia="Calibri" w:hAnsi="Times New Roman" w:cs="Times New Roman"/>
                      <w:lang w:val="ro-MD" w:eastAsia="ja-JP"/>
                    </w:rPr>
                    <w:t xml:space="preserve"> </w:t>
                  </w:r>
                  <w:r w:rsidR="000C61D0">
                    <w:rPr>
                      <w:rFonts w:ascii="Times New Roman" w:eastAsia="Calibri" w:hAnsi="Times New Roman" w:cs="Times New Roman"/>
                      <w:lang w:val="ro-MD" w:eastAsia="ja-JP"/>
                    </w:rPr>
                    <w:br/>
                    <w:t>MDL/kWh</w:t>
                  </w:r>
                </w:p>
              </w:tc>
              <w:tc>
                <w:tcPr>
                  <w:tcW w:w="1943" w:type="dxa"/>
                  <w:vAlign w:val="center"/>
                </w:tcPr>
                <w:p w14:paraId="0D6031D4" w14:textId="0A1950F9" w:rsidR="00FB74F7" w:rsidRPr="00A11CF2" w:rsidRDefault="00B770A4" w:rsidP="00B770A4">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0,005 MDL/kWh</w:t>
                  </w:r>
                </w:p>
              </w:tc>
            </w:tr>
            <w:tr w:rsidR="00B770A4" w:rsidRPr="00D22310" w14:paraId="1C7D2049" w14:textId="77777777" w:rsidTr="00D214AB">
              <w:trPr>
                <w:trHeight w:val="432"/>
              </w:trPr>
              <w:tc>
                <w:tcPr>
                  <w:tcW w:w="483" w:type="dxa"/>
                  <w:vAlign w:val="center"/>
                </w:tcPr>
                <w:p w14:paraId="29321448" w14:textId="5C2D6721" w:rsidR="00FB74F7" w:rsidRPr="00A11CF2" w:rsidRDefault="00FB74F7" w:rsidP="00FB74F7">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2</w:t>
                  </w:r>
                </w:p>
              </w:tc>
              <w:tc>
                <w:tcPr>
                  <w:tcW w:w="1982" w:type="dxa"/>
                  <w:vAlign w:val="center"/>
                </w:tcPr>
                <w:p w14:paraId="0EF8B235" w14:textId="3C707072" w:rsidR="00FB74F7" w:rsidRPr="00A11CF2" w:rsidRDefault="00FB74F7" w:rsidP="00FB74F7">
                  <w:pPr>
                    <w:rPr>
                      <w:rFonts w:ascii="Times New Roman" w:eastAsia="Calibri" w:hAnsi="Times New Roman" w:cs="Times New Roman"/>
                      <w:lang w:val="ro-MD" w:eastAsia="ja-JP"/>
                    </w:rPr>
                  </w:pPr>
                  <w:r>
                    <w:rPr>
                      <w:rFonts w:ascii="Times New Roman" w:eastAsia="Calibri" w:hAnsi="Times New Roman" w:cs="Times New Roman"/>
                      <w:lang w:val="ro-MD" w:eastAsia="ja-JP"/>
                    </w:rPr>
                    <w:t>Gaze naturale</w:t>
                  </w:r>
                </w:p>
              </w:tc>
              <w:tc>
                <w:tcPr>
                  <w:tcW w:w="1260" w:type="dxa"/>
                  <w:vAlign w:val="center"/>
                </w:tcPr>
                <w:p w14:paraId="0140D724" w14:textId="0D80AE50" w:rsidR="00FB74F7" w:rsidRPr="00A11CF2" w:rsidRDefault="00864FE6"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20.409</w:t>
                  </w:r>
                </w:p>
              </w:tc>
              <w:tc>
                <w:tcPr>
                  <w:tcW w:w="1415" w:type="dxa"/>
                  <w:vAlign w:val="center"/>
                </w:tcPr>
                <w:p w14:paraId="2F8A3069" w14:textId="249DA92D" w:rsidR="00FB74F7" w:rsidRPr="00A11CF2" w:rsidRDefault="00382721"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5,669</w:t>
                  </w:r>
                </w:p>
              </w:tc>
              <w:tc>
                <w:tcPr>
                  <w:tcW w:w="1217" w:type="dxa"/>
                  <w:vMerge/>
                </w:tcPr>
                <w:p w14:paraId="636FE5B0" w14:textId="77777777" w:rsidR="00FB74F7" w:rsidRPr="00A11CF2" w:rsidRDefault="00FB74F7" w:rsidP="00D81659">
                  <w:pPr>
                    <w:jc w:val="both"/>
                    <w:rPr>
                      <w:rFonts w:ascii="Times New Roman" w:eastAsia="Calibri" w:hAnsi="Times New Roman" w:cs="Times New Roman"/>
                      <w:lang w:val="ro-MD" w:eastAsia="ja-JP"/>
                    </w:rPr>
                  </w:pPr>
                </w:p>
              </w:tc>
              <w:tc>
                <w:tcPr>
                  <w:tcW w:w="1050" w:type="dxa"/>
                  <w:vMerge/>
                </w:tcPr>
                <w:p w14:paraId="56CB8975" w14:textId="77777777" w:rsidR="00FB74F7" w:rsidRPr="00A11CF2" w:rsidRDefault="00FB74F7" w:rsidP="00D81659">
                  <w:pPr>
                    <w:jc w:val="both"/>
                    <w:rPr>
                      <w:rFonts w:ascii="Times New Roman" w:eastAsia="Calibri" w:hAnsi="Times New Roman" w:cs="Times New Roman"/>
                      <w:lang w:val="ro-MD" w:eastAsia="ja-JP"/>
                    </w:rPr>
                  </w:pPr>
                </w:p>
              </w:tc>
              <w:tc>
                <w:tcPr>
                  <w:tcW w:w="1943" w:type="dxa"/>
                  <w:vAlign w:val="center"/>
                </w:tcPr>
                <w:p w14:paraId="5965410B" w14:textId="1F5CFABB" w:rsidR="00FB74F7" w:rsidRPr="00A11CF2" w:rsidRDefault="001A0BBE" w:rsidP="00B770A4">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0,047 MDL/</w:t>
                  </w:r>
                  <w:r w:rsidR="00005FB7">
                    <w:rPr>
                      <w:rFonts w:ascii="Times New Roman" w:eastAsia="Calibri" w:hAnsi="Times New Roman" w:cs="Times New Roman"/>
                      <w:lang w:val="ro-MD" w:eastAsia="ja-JP"/>
                    </w:rPr>
                    <w:t>m</w:t>
                  </w:r>
                  <w:r w:rsidR="00005FB7" w:rsidRPr="00005FB7">
                    <w:rPr>
                      <w:rFonts w:ascii="Times New Roman" w:eastAsia="Calibri" w:hAnsi="Times New Roman" w:cs="Times New Roman"/>
                      <w:vertAlign w:val="superscript"/>
                      <w:lang w:val="ro-MD" w:eastAsia="ja-JP"/>
                    </w:rPr>
                    <w:t>3</w:t>
                  </w:r>
                </w:p>
              </w:tc>
            </w:tr>
            <w:tr w:rsidR="00B770A4" w:rsidRPr="00D22310" w14:paraId="4E9E4388" w14:textId="77777777" w:rsidTr="00D214AB">
              <w:tc>
                <w:tcPr>
                  <w:tcW w:w="483" w:type="dxa"/>
                  <w:vAlign w:val="center"/>
                </w:tcPr>
                <w:p w14:paraId="38CD344D" w14:textId="54DA4AE8" w:rsidR="00FB74F7" w:rsidRPr="00A11CF2" w:rsidRDefault="00FB74F7" w:rsidP="00FB74F7">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3</w:t>
                  </w:r>
                </w:p>
              </w:tc>
              <w:tc>
                <w:tcPr>
                  <w:tcW w:w="1982" w:type="dxa"/>
                  <w:vAlign w:val="center"/>
                </w:tcPr>
                <w:p w14:paraId="159E7D25" w14:textId="2C57CDFE" w:rsidR="00FB74F7" w:rsidRPr="00A11CF2" w:rsidRDefault="00FB74F7" w:rsidP="00FB74F7">
                  <w:pPr>
                    <w:rPr>
                      <w:rFonts w:ascii="Times New Roman" w:eastAsia="Calibri" w:hAnsi="Times New Roman" w:cs="Times New Roman"/>
                      <w:lang w:val="ro-MD" w:eastAsia="ja-JP"/>
                    </w:rPr>
                  </w:pPr>
                  <w:r>
                    <w:rPr>
                      <w:rFonts w:ascii="Times New Roman" w:eastAsia="Calibri" w:hAnsi="Times New Roman" w:cs="Times New Roman"/>
                      <w:lang w:val="ro-MD" w:eastAsia="ja-JP"/>
                    </w:rPr>
                    <w:t>Produse petroliere principale</w:t>
                  </w:r>
                  <w:r w:rsidR="00292EC7" w:rsidRPr="00292EC7">
                    <w:rPr>
                      <w:rFonts w:ascii="Times New Roman" w:eastAsia="Calibri" w:hAnsi="Times New Roman" w:cs="Times New Roman"/>
                      <w:vertAlign w:val="superscript"/>
                      <w:lang w:val="ro-MD" w:eastAsia="ja-JP"/>
                    </w:rPr>
                    <w:t>**</w:t>
                  </w:r>
                </w:p>
              </w:tc>
              <w:tc>
                <w:tcPr>
                  <w:tcW w:w="1260" w:type="dxa"/>
                  <w:vAlign w:val="center"/>
                </w:tcPr>
                <w:p w14:paraId="335C4245" w14:textId="0F8DF432" w:rsidR="00FB74F7" w:rsidRPr="00A11CF2" w:rsidRDefault="00AF178E"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38.194</w:t>
                  </w:r>
                </w:p>
              </w:tc>
              <w:tc>
                <w:tcPr>
                  <w:tcW w:w="1415" w:type="dxa"/>
                  <w:vAlign w:val="center"/>
                </w:tcPr>
                <w:p w14:paraId="756711CD" w14:textId="151A3A74" w:rsidR="00FB74F7" w:rsidRPr="00A11CF2" w:rsidRDefault="00A30040"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10,609</w:t>
                  </w:r>
                </w:p>
              </w:tc>
              <w:tc>
                <w:tcPr>
                  <w:tcW w:w="1217" w:type="dxa"/>
                  <w:vMerge/>
                  <w:tcBorders>
                    <w:bottom w:val="single" w:sz="4" w:space="0" w:color="auto"/>
                  </w:tcBorders>
                </w:tcPr>
                <w:p w14:paraId="0E22E348" w14:textId="77777777" w:rsidR="00FB74F7" w:rsidRPr="00A11CF2" w:rsidRDefault="00FB74F7" w:rsidP="00D81659">
                  <w:pPr>
                    <w:jc w:val="both"/>
                    <w:rPr>
                      <w:rFonts w:ascii="Times New Roman" w:eastAsia="Calibri" w:hAnsi="Times New Roman" w:cs="Times New Roman"/>
                      <w:lang w:val="ro-MD" w:eastAsia="ja-JP"/>
                    </w:rPr>
                  </w:pPr>
                </w:p>
              </w:tc>
              <w:tc>
                <w:tcPr>
                  <w:tcW w:w="1050" w:type="dxa"/>
                  <w:vMerge/>
                  <w:tcBorders>
                    <w:bottom w:val="single" w:sz="4" w:space="0" w:color="auto"/>
                  </w:tcBorders>
                </w:tcPr>
                <w:p w14:paraId="6B75F3BB" w14:textId="77777777" w:rsidR="00FB74F7" w:rsidRPr="00A11CF2" w:rsidRDefault="00FB74F7" w:rsidP="00D81659">
                  <w:pPr>
                    <w:jc w:val="both"/>
                    <w:rPr>
                      <w:rFonts w:ascii="Times New Roman" w:eastAsia="Calibri" w:hAnsi="Times New Roman" w:cs="Times New Roman"/>
                      <w:lang w:val="ro-MD" w:eastAsia="ja-JP"/>
                    </w:rPr>
                  </w:pPr>
                </w:p>
              </w:tc>
              <w:tc>
                <w:tcPr>
                  <w:tcW w:w="1943" w:type="dxa"/>
                  <w:vAlign w:val="center"/>
                </w:tcPr>
                <w:p w14:paraId="27143E14" w14:textId="1F552305" w:rsidR="00FB74F7" w:rsidRPr="00A11CF2" w:rsidRDefault="00005FB7" w:rsidP="00B770A4">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0,05 MDL/litru</w:t>
                  </w:r>
                </w:p>
              </w:tc>
            </w:tr>
            <w:tr w:rsidR="00D214AB" w:rsidRPr="00D22310" w14:paraId="0388AA84" w14:textId="77777777" w:rsidTr="001D2BC8">
              <w:trPr>
                <w:trHeight w:val="432"/>
              </w:trPr>
              <w:tc>
                <w:tcPr>
                  <w:tcW w:w="483" w:type="dxa"/>
                  <w:vAlign w:val="center"/>
                </w:tcPr>
                <w:p w14:paraId="5C66F86D" w14:textId="55789207" w:rsidR="00D214AB" w:rsidRPr="00A11CF2" w:rsidRDefault="00D214AB" w:rsidP="00FB74F7">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4</w:t>
                  </w:r>
                </w:p>
              </w:tc>
              <w:tc>
                <w:tcPr>
                  <w:tcW w:w="1982" w:type="dxa"/>
                  <w:vAlign w:val="center"/>
                </w:tcPr>
                <w:p w14:paraId="56D1B751" w14:textId="558FD460" w:rsidR="00D214AB" w:rsidRPr="00FB74F7" w:rsidRDefault="00D214AB" w:rsidP="00FB74F7">
                  <w:pPr>
                    <w:rPr>
                      <w:rFonts w:ascii="Times New Roman" w:eastAsia="Calibri" w:hAnsi="Times New Roman" w:cs="Times New Roman"/>
                      <w:b/>
                      <w:bCs/>
                      <w:lang w:val="ro-MD" w:eastAsia="ja-JP"/>
                    </w:rPr>
                  </w:pPr>
                  <w:r w:rsidRPr="00FB74F7">
                    <w:rPr>
                      <w:rFonts w:ascii="Times New Roman" w:eastAsia="Calibri" w:hAnsi="Times New Roman" w:cs="Times New Roman"/>
                      <w:b/>
                      <w:bCs/>
                      <w:lang w:val="ro-MD" w:eastAsia="ja-JP"/>
                    </w:rPr>
                    <w:t>Sub-TOTAL</w:t>
                  </w:r>
                </w:p>
              </w:tc>
              <w:tc>
                <w:tcPr>
                  <w:tcW w:w="1260" w:type="dxa"/>
                  <w:vAlign w:val="center"/>
                </w:tcPr>
                <w:p w14:paraId="75554FC0" w14:textId="395C7300" w:rsidR="00D214AB" w:rsidRPr="00A11CF2" w:rsidRDefault="00D214AB"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72.329</w:t>
                  </w:r>
                </w:p>
              </w:tc>
              <w:tc>
                <w:tcPr>
                  <w:tcW w:w="1415" w:type="dxa"/>
                  <w:vAlign w:val="center"/>
                </w:tcPr>
                <w:p w14:paraId="64E17701" w14:textId="758537F1" w:rsidR="00D214AB" w:rsidRPr="00A11CF2" w:rsidRDefault="00D214AB" w:rsidP="00AF178E">
                  <w:pPr>
                    <w:jc w:val="center"/>
                    <w:rPr>
                      <w:rFonts w:ascii="Times New Roman" w:eastAsia="Calibri" w:hAnsi="Times New Roman" w:cs="Times New Roman"/>
                      <w:lang w:val="ro-MD" w:eastAsia="ja-JP"/>
                    </w:rPr>
                  </w:pPr>
                  <w:r>
                    <w:rPr>
                      <w:rFonts w:ascii="Times New Roman" w:eastAsia="Calibri" w:hAnsi="Times New Roman" w:cs="Times New Roman"/>
                      <w:lang w:val="ro-MD" w:eastAsia="ja-JP"/>
                    </w:rPr>
                    <w:t>20,091</w:t>
                  </w:r>
                </w:p>
              </w:tc>
              <w:tc>
                <w:tcPr>
                  <w:tcW w:w="4210" w:type="dxa"/>
                  <w:gridSpan w:val="3"/>
                  <w:tcBorders>
                    <w:tl2br w:val="single" w:sz="4" w:space="0" w:color="auto"/>
                  </w:tcBorders>
                </w:tcPr>
                <w:p w14:paraId="2EB57CFC" w14:textId="77777777" w:rsidR="00D214AB" w:rsidRPr="00A11CF2" w:rsidRDefault="00D214AB" w:rsidP="00B770A4">
                  <w:pPr>
                    <w:jc w:val="center"/>
                    <w:rPr>
                      <w:rFonts w:ascii="Times New Roman" w:eastAsia="Calibri" w:hAnsi="Times New Roman" w:cs="Times New Roman"/>
                      <w:lang w:val="ro-MD" w:eastAsia="ja-JP"/>
                    </w:rPr>
                  </w:pPr>
                </w:p>
              </w:tc>
            </w:tr>
          </w:tbl>
          <w:p w14:paraId="1C9BDBF4" w14:textId="6DB20321" w:rsidR="003032BD" w:rsidRPr="00FB74F7" w:rsidRDefault="00074AD2" w:rsidP="00F14661">
            <w:pPr>
              <w:spacing w:after="0" w:line="240" w:lineRule="auto"/>
              <w:ind w:left="490"/>
              <w:jc w:val="both"/>
              <w:rPr>
                <w:rFonts w:ascii="Times New Roman" w:eastAsia="Calibri" w:hAnsi="Times New Roman" w:cs="Times New Roman"/>
                <w:sz w:val="20"/>
                <w:szCs w:val="20"/>
                <w:lang w:val="ro-MD" w:eastAsia="ja-JP"/>
              </w:rPr>
            </w:pPr>
            <w:r w:rsidRPr="00F14661">
              <w:rPr>
                <w:rFonts w:ascii="Times New Roman" w:eastAsia="Calibri" w:hAnsi="Times New Roman" w:cs="Times New Roman"/>
                <w:b/>
                <w:bCs/>
                <w:i/>
                <w:iCs/>
                <w:sz w:val="20"/>
                <w:szCs w:val="20"/>
                <w:lang w:val="ro-MD" w:eastAsia="ja-JP"/>
              </w:rPr>
              <w:t>Notă</w:t>
            </w:r>
            <w:r w:rsidRPr="00FB74F7">
              <w:rPr>
                <w:rFonts w:ascii="Times New Roman" w:eastAsia="Calibri" w:hAnsi="Times New Roman" w:cs="Times New Roman"/>
                <w:sz w:val="20"/>
                <w:szCs w:val="20"/>
                <w:lang w:val="ro-MD" w:eastAsia="ja-JP"/>
              </w:rPr>
              <w:t>:</w:t>
            </w:r>
          </w:p>
          <w:p w14:paraId="39702850" w14:textId="7B1E8DCD" w:rsidR="003032BD" w:rsidRDefault="00074AD2" w:rsidP="00F14661">
            <w:pPr>
              <w:spacing w:after="0" w:line="240" w:lineRule="auto"/>
              <w:ind w:left="490"/>
              <w:jc w:val="both"/>
              <w:rPr>
                <w:rFonts w:ascii="Times New Roman" w:eastAsia="Calibri" w:hAnsi="Times New Roman" w:cs="Times New Roman"/>
                <w:sz w:val="20"/>
                <w:szCs w:val="20"/>
                <w:lang w:val="ro-MD" w:eastAsia="ja-JP"/>
              </w:rPr>
            </w:pPr>
            <w:r w:rsidRPr="00FB74F7">
              <w:rPr>
                <w:rFonts w:ascii="Times New Roman" w:eastAsia="Calibri" w:hAnsi="Times New Roman" w:cs="Times New Roman"/>
                <w:sz w:val="20"/>
                <w:szCs w:val="20"/>
                <w:lang w:val="ro-MD" w:eastAsia="ja-JP"/>
              </w:rPr>
              <w:t>* - Media</w:t>
            </w:r>
            <w:r w:rsidR="00522D64" w:rsidRPr="00FB74F7">
              <w:rPr>
                <w:rFonts w:ascii="Times New Roman" w:eastAsia="Calibri" w:hAnsi="Times New Roman" w:cs="Times New Roman"/>
                <w:sz w:val="20"/>
                <w:szCs w:val="20"/>
                <w:lang w:val="ro-MD" w:eastAsia="ja-JP"/>
              </w:rPr>
              <w:t xml:space="preserve"> consumului de resurse energetice pentru perioada 2019-2021, calculată</w:t>
            </w:r>
            <w:r w:rsidR="00FB74F7" w:rsidRPr="00FB74F7">
              <w:rPr>
                <w:rFonts w:ascii="Times New Roman" w:eastAsia="Calibri" w:hAnsi="Times New Roman" w:cs="Times New Roman"/>
                <w:sz w:val="20"/>
                <w:szCs w:val="20"/>
                <w:lang w:val="ro-MD" w:eastAsia="ja-JP"/>
              </w:rPr>
              <w:t xml:space="preserve"> după metoda prezentată în tabelul 1</w:t>
            </w:r>
            <w:r w:rsidR="00F14661">
              <w:rPr>
                <w:rFonts w:ascii="Times New Roman" w:eastAsia="Calibri" w:hAnsi="Times New Roman" w:cs="Times New Roman"/>
                <w:sz w:val="20"/>
                <w:szCs w:val="20"/>
                <w:lang w:val="ro-MD" w:eastAsia="ja-JP"/>
              </w:rPr>
              <w:t>;</w:t>
            </w:r>
          </w:p>
          <w:p w14:paraId="3B996D97" w14:textId="69888983" w:rsidR="00292EC7" w:rsidRPr="00FB74F7" w:rsidRDefault="00292EC7" w:rsidP="00F14661">
            <w:pPr>
              <w:spacing w:after="0" w:line="240" w:lineRule="auto"/>
              <w:ind w:left="490"/>
              <w:jc w:val="both"/>
              <w:rPr>
                <w:rFonts w:ascii="Times New Roman" w:eastAsia="Calibri" w:hAnsi="Times New Roman" w:cs="Times New Roman"/>
                <w:sz w:val="20"/>
                <w:szCs w:val="20"/>
                <w:lang w:val="ro-MD" w:eastAsia="ja-JP"/>
              </w:rPr>
            </w:pPr>
            <w:r>
              <w:rPr>
                <w:rFonts w:ascii="Times New Roman" w:eastAsia="Calibri" w:hAnsi="Times New Roman" w:cs="Times New Roman"/>
                <w:sz w:val="20"/>
                <w:szCs w:val="20"/>
                <w:lang w:val="ro-MD" w:eastAsia="ja-JP"/>
              </w:rPr>
              <w:t xml:space="preserve">**- Calculul prezentat pentru produsele petroliere principale nu </w:t>
            </w:r>
            <w:r w:rsidR="00486E52">
              <w:rPr>
                <w:rFonts w:ascii="Times New Roman" w:eastAsia="Calibri" w:hAnsi="Times New Roman" w:cs="Times New Roman"/>
                <w:sz w:val="20"/>
                <w:szCs w:val="20"/>
                <w:lang w:val="ro-MD" w:eastAsia="ja-JP"/>
              </w:rPr>
              <w:t>presupune estimarea separată a impactului pentru fiecare di</w:t>
            </w:r>
            <w:r w:rsidR="00F14661">
              <w:rPr>
                <w:rFonts w:ascii="Times New Roman" w:eastAsia="Calibri" w:hAnsi="Times New Roman" w:cs="Times New Roman"/>
                <w:sz w:val="20"/>
                <w:szCs w:val="20"/>
                <w:lang w:val="ro-MD" w:eastAsia="ja-JP"/>
              </w:rPr>
              <w:t>n categoriile</w:t>
            </w:r>
            <w:r w:rsidR="0084792E">
              <w:rPr>
                <w:rFonts w:ascii="Times New Roman" w:eastAsia="Calibri" w:hAnsi="Times New Roman" w:cs="Times New Roman"/>
                <w:sz w:val="20"/>
                <w:szCs w:val="20"/>
                <w:lang w:val="ro-MD" w:eastAsia="ja-JP"/>
              </w:rPr>
              <w:t xml:space="preserve"> de produse petroliere principale, și anume </w:t>
            </w:r>
            <w:r w:rsidR="0084792E" w:rsidRPr="0066604A">
              <w:rPr>
                <w:rFonts w:ascii="Times New Roman" w:eastAsia="Calibri" w:hAnsi="Times New Roman" w:cs="Times New Roman"/>
                <w:i/>
                <w:iCs/>
                <w:sz w:val="20"/>
                <w:szCs w:val="20"/>
                <w:lang w:val="ro-MD" w:eastAsia="ja-JP"/>
              </w:rPr>
              <w:t>i)</w:t>
            </w:r>
            <w:r w:rsidR="0084792E">
              <w:rPr>
                <w:rFonts w:ascii="Times New Roman" w:eastAsia="Calibri" w:hAnsi="Times New Roman" w:cs="Times New Roman"/>
                <w:sz w:val="20"/>
                <w:szCs w:val="20"/>
                <w:lang w:val="ro-MD" w:eastAsia="ja-JP"/>
              </w:rPr>
              <w:t xml:space="preserve"> benzină, </w:t>
            </w:r>
            <w:r w:rsidR="0084792E" w:rsidRPr="0066604A">
              <w:rPr>
                <w:rFonts w:ascii="Times New Roman" w:eastAsia="Calibri" w:hAnsi="Times New Roman" w:cs="Times New Roman"/>
                <w:i/>
                <w:iCs/>
                <w:sz w:val="20"/>
                <w:szCs w:val="20"/>
                <w:lang w:val="ro-MD" w:eastAsia="ja-JP"/>
              </w:rPr>
              <w:t>ii)</w:t>
            </w:r>
            <w:r w:rsidR="0084792E">
              <w:rPr>
                <w:rFonts w:ascii="Times New Roman" w:eastAsia="Calibri" w:hAnsi="Times New Roman" w:cs="Times New Roman"/>
                <w:sz w:val="20"/>
                <w:szCs w:val="20"/>
                <w:lang w:val="ro-MD" w:eastAsia="ja-JP"/>
              </w:rPr>
              <w:t xml:space="preserve"> motorină și </w:t>
            </w:r>
            <w:r w:rsidR="0066604A" w:rsidRPr="0066604A">
              <w:rPr>
                <w:rFonts w:ascii="Times New Roman" w:eastAsia="Calibri" w:hAnsi="Times New Roman" w:cs="Times New Roman"/>
                <w:i/>
                <w:iCs/>
                <w:sz w:val="20"/>
                <w:szCs w:val="20"/>
                <w:lang w:val="ro-MD" w:eastAsia="ja-JP"/>
              </w:rPr>
              <w:t>iii)</w:t>
            </w:r>
            <w:r w:rsidR="0066604A">
              <w:rPr>
                <w:rFonts w:ascii="Times New Roman" w:eastAsia="Calibri" w:hAnsi="Times New Roman" w:cs="Times New Roman"/>
                <w:sz w:val="20"/>
                <w:szCs w:val="20"/>
                <w:lang w:val="ro-MD" w:eastAsia="ja-JP"/>
              </w:rPr>
              <w:t xml:space="preserve"> gaze lichefiate</w:t>
            </w:r>
            <w:r w:rsidR="00F14661">
              <w:rPr>
                <w:rFonts w:ascii="Times New Roman" w:eastAsia="Calibri" w:hAnsi="Times New Roman" w:cs="Times New Roman"/>
                <w:sz w:val="20"/>
                <w:szCs w:val="20"/>
                <w:lang w:val="ro-MD" w:eastAsia="ja-JP"/>
              </w:rPr>
              <w:t xml:space="preserve"> </w:t>
            </w:r>
            <w:r w:rsidR="00486E52">
              <w:rPr>
                <w:rFonts w:ascii="Times New Roman" w:eastAsia="Calibri" w:hAnsi="Times New Roman" w:cs="Times New Roman"/>
                <w:sz w:val="20"/>
                <w:szCs w:val="20"/>
                <w:lang w:val="ro-MD" w:eastAsia="ja-JP"/>
              </w:rPr>
              <w:t xml:space="preserve"> </w:t>
            </w:r>
            <w:r>
              <w:rPr>
                <w:rFonts w:ascii="Times New Roman" w:eastAsia="Calibri" w:hAnsi="Times New Roman" w:cs="Times New Roman"/>
                <w:sz w:val="20"/>
                <w:szCs w:val="20"/>
                <w:lang w:val="ro-MD" w:eastAsia="ja-JP"/>
              </w:rPr>
              <w:t xml:space="preserve"> </w:t>
            </w:r>
          </w:p>
          <w:p w14:paraId="0C0206D9" w14:textId="215B80C8" w:rsidR="00BB4262" w:rsidRPr="0071735F" w:rsidRDefault="00BB4262" w:rsidP="00BB4262">
            <w:pPr>
              <w:pStyle w:val="ListParagraph"/>
              <w:numPr>
                <w:ilvl w:val="0"/>
                <w:numId w:val="33"/>
              </w:numPr>
              <w:spacing w:before="120" w:after="0"/>
              <w:jc w:val="both"/>
              <w:rPr>
                <w:rFonts w:ascii="Times New Roman" w:eastAsia="Calibri" w:hAnsi="Times New Roman" w:cs="Times New Roman"/>
                <w:i/>
                <w:iCs/>
                <w:sz w:val="24"/>
                <w:szCs w:val="24"/>
                <w:lang w:val="ro-MD" w:eastAsia="ja-JP"/>
              </w:rPr>
            </w:pPr>
            <w:r w:rsidRPr="0071735F">
              <w:rPr>
                <w:rFonts w:ascii="Times New Roman" w:eastAsia="Calibri" w:hAnsi="Times New Roman" w:cs="Times New Roman"/>
                <w:i/>
                <w:iCs/>
                <w:sz w:val="24"/>
                <w:szCs w:val="24"/>
                <w:lang w:val="ro-MD" w:eastAsia="ja-JP"/>
              </w:rPr>
              <w:t>Măsuri alternative de eficiență energetică</w:t>
            </w:r>
          </w:p>
          <w:p w14:paraId="72A97114" w14:textId="7375DF3C" w:rsidR="008F2193" w:rsidRPr="0071735F" w:rsidRDefault="00781D2C" w:rsidP="00A769BE">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t>De precizat că Guvernul are posibilitatea combinării SOEE cu măsurile alternative</w:t>
            </w:r>
            <w:r w:rsidR="00B1138B" w:rsidRPr="0071735F">
              <w:rPr>
                <w:rFonts w:ascii="Times New Roman" w:eastAsia="Calibri" w:hAnsi="Times New Roman" w:cs="Times New Roman"/>
                <w:sz w:val="24"/>
                <w:szCs w:val="24"/>
                <w:lang w:val="ro-MD" w:eastAsia="ja-JP"/>
              </w:rPr>
              <w:t xml:space="preserve">, printre care ar putea fi contractarea unor împrumuturi de stat/ municipale de la Partenerii de Dezvoltare, întru implementarea unor măsuri e eficiență energetică în </w:t>
            </w:r>
            <w:r w:rsidR="00D4654F" w:rsidRPr="0071735F">
              <w:rPr>
                <w:rFonts w:ascii="Times New Roman" w:eastAsia="Calibri" w:hAnsi="Times New Roman" w:cs="Times New Roman"/>
                <w:sz w:val="24"/>
                <w:szCs w:val="24"/>
                <w:lang w:val="ro-MD" w:eastAsia="ja-JP"/>
              </w:rPr>
              <w:t xml:space="preserve">sectorul industrial/ IMM, sectorul utilităților și serviciilor publice (SACET, alimentare cu apă și canalizare, etc), </w:t>
            </w:r>
            <w:r w:rsidR="008B3BE8" w:rsidRPr="0071735F">
              <w:rPr>
                <w:rFonts w:ascii="Times New Roman" w:eastAsia="Calibri" w:hAnsi="Times New Roman" w:cs="Times New Roman"/>
                <w:sz w:val="24"/>
                <w:szCs w:val="24"/>
                <w:lang w:val="ro-MD" w:eastAsia="ja-JP"/>
              </w:rPr>
              <w:t>transportului public, etc.</w:t>
            </w:r>
          </w:p>
          <w:p w14:paraId="1E4B893F" w14:textId="77777777" w:rsidR="002450A6" w:rsidRPr="0071735F" w:rsidRDefault="00A769BE" w:rsidP="002A5087">
            <w:pPr>
              <w:spacing w:before="120" w:after="120"/>
              <w:jc w:val="both"/>
              <w:rPr>
                <w:rFonts w:ascii="Times New Roman" w:eastAsia="Times New Roman" w:hAnsi="Times New Roman"/>
                <w:noProof/>
                <w:sz w:val="24"/>
                <w:szCs w:val="24"/>
                <w:lang w:val="ro-MD"/>
              </w:rPr>
            </w:pPr>
            <w:r w:rsidRPr="0071735F">
              <w:rPr>
                <w:rFonts w:ascii="Times New Roman" w:eastAsia="Calibri" w:hAnsi="Times New Roman" w:cs="Times New Roman"/>
                <w:sz w:val="24"/>
                <w:szCs w:val="24"/>
                <w:lang w:val="ro-MD" w:eastAsia="ja-JP"/>
              </w:rPr>
              <w:t xml:space="preserve">La </w:t>
            </w:r>
            <w:r w:rsidR="00BB4262" w:rsidRPr="0071735F">
              <w:rPr>
                <w:rFonts w:ascii="Times New Roman" w:eastAsia="Times New Roman" w:hAnsi="Times New Roman"/>
                <w:b/>
                <w:i/>
                <w:sz w:val="24"/>
                <w:szCs w:val="24"/>
                <w:lang w:val="ro-MD"/>
              </w:rPr>
              <w:t>r</w:t>
            </w:r>
            <w:r w:rsidRPr="0071735F">
              <w:rPr>
                <w:rFonts w:ascii="Times New Roman" w:eastAsia="Times New Roman" w:hAnsi="Times New Roman"/>
                <w:b/>
                <w:i/>
                <w:sz w:val="24"/>
                <w:szCs w:val="24"/>
                <w:lang w:val="ro-MD"/>
              </w:rPr>
              <w:t xml:space="preserve">enovarea </w:t>
            </w:r>
            <w:r w:rsidR="00BB4262" w:rsidRPr="0071735F">
              <w:rPr>
                <w:rFonts w:ascii="Times New Roman" w:eastAsia="Times New Roman" w:hAnsi="Times New Roman"/>
                <w:b/>
                <w:i/>
                <w:sz w:val="24"/>
                <w:szCs w:val="24"/>
                <w:lang w:val="ro-MD"/>
              </w:rPr>
              <w:t xml:space="preserve">a 3% din suprafața </w:t>
            </w:r>
            <w:r w:rsidRPr="0071735F">
              <w:rPr>
                <w:rFonts w:ascii="Times New Roman" w:eastAsia="Times New Roman" w:hAnsi="Times New Roman"/>
                <w:b/>
                <w:i/>
                <w:sz w:val="24"/>
                <w:szCs w:val="24"/>
                <w:lang w:val="ro-MD"/>
              </w:rPr>
              <w:t xml:space="preserve">clădirilor </w:t>
            </w:r>
            <w:r w:rsidR="0019464C" w:rsidRPr="0071735F">
              <w:rPr>
                <w:rFonts w:ascii="Times New Roman" w:eastAsia="Times New Roman" w:hAnsi="Times New Roman"/>
                <w:b/>
                <w:i/>
                <w:sz w:val="24"/>
                <w:szCs w:val="24"/>
                <w:lang w:val="ro-MD"/>
              </w:rPr>
              <w:t>autorităților</w:t>
            </w:r>
            <w:r w:rsidRPr="0071735F">
              <w:rPr>
                <w:rFonts w:ascii="Times New Roman" w:eastAsia="Times New Roman" w:hAnsi="Times New Roman"/>
                <w:b/>
                <w:i/>
                <w:sz w:val="24"/>
                <w:szCs w:val="24"/>
                <w:lang w:val="ro-MD"/>
              </w:rPr>
              <w:t xml:space="preserve"> centrale</w:t>
            </w:r>
            <w:r w:rsidRPr="0071735F">
              <w:rPr>
                <w:rFonts w:ascii="Times New Roman" w:eastAsia="Times New Roman" w:hAnsi="Times New Roman"/>
                <w:bCs/>
                <w:iCs/>
                <w:sz w:val="24"/>
                <w:szCs w:val="24"/>
                <w:lang w:val="ro-MD"/>
              </w:rPr>
              <w:t>,</w:t>
            </w:r>
            <w:r w:rsidR="0019464C" w:rsidRPr="0071735F">
              <w:rPr>
                <w:rFonts w:ascii="Times New Roman" w:eastAsia="Times New Roman" w:hAnsi="Times New Roman"/>
                <w:bCs/>
                <w:iCs/>
                <w:sz w:val="24"/>
                <w:szCs w:val="24"/>
                <w:lang w:val="ro-MD"/>
              </w:rPr>
              <w:t xml:space="preserve"> Guvernul ar urma să suporte careva cheltuieli. </w:t>
            </w:r>
            <w:r w:rsidRPr="0071735F">
              <w:rPr>
                <w:rFonts w:ascii="Times New Roman" w:eastAsia="Times New Roman" w:hAnsi="Times New Roman"/>
                <w:noProof/>
                <w:sz w:val="24"/>
                <w:szCs w:val="24"/>
                <w:lang w:val="ro-MD"/>
              </w:rPr>
              <w:t xml:space="preserve">Sumele ce urmează a fi </w:t>
            </w:r>
            <w:r w:rsidR="002450A6" w:rsidRPr="0071735F">
              <w:rPr>
                <w:rFonts w:ascii="Times New Roman" w:eastAsia="Times New Roman" w:hAnsi="Times New Roman"/>
                <w:noProof/>
                <w:sz w:val="24"/>
                <w:szCs w:val="24"/>
                <w:lang w:val="ro-MD"/>
              </w:rPr>
              <w:t xml:space="preserve">identificate </w:t>
            </w:r>
            <w:r w:rsidRPr="0071735F">
              <w:rPr>
                <w:rFonts w:ascii="Times New Roman" w:eastAsia="Times New Roman" w:hAnsi="Times New Roman"/>
                <w:noProof/>
                <w:sz w:val="24"/>
                <w:szCs w:val="24"/>
                <w:lang w:val="ro-MD"/>
              </w:rPr>
              <w:t xml:space="preserve">pentru realizarea investițiilor în renovarea clădirilor vor fi determinate în dependenţă de tipul clădirii, volumele de lucru  ce urmează a fi realizate  şi suprafaţă totală necesar de a fi renovată, care la momentul elaborării prezentului AIR </w:t>
            </w:r>
            <w:r w:rsidR="002450A6" w:rsidRPr="0071735F">
              <w:rPr>
                <w:rFonts w:ascii="Times New Roman" w:eastAsia="Times New Roman" w:hAnsi="Times New Roman"/>
                <w:noProof/>
                <w:sz w:val="24"/>
                <w:szCs w:val="24"/>
                <w:lang w:val="ro-MD"/>
              </w:rPr>
              <w:t>poate fi estimată la cca. 12.000 m</w:t>
            </w:r>
            <w:r w:rsidR="002450A6" w:rsidRPr="0071735F">
              <w:rPr>
                <w:rFonts w:ascii="Times New Roman" w:eastAsia="Times New Roman" w:hAnsi="Times New Roman"/>
                <w:noProof/>
                <w:sz w:val="24"/>
                <w:szCs w:val="24"/>
                <w:vertAlign w:val="superscript"/>
                <w:lang w:val="ro-MD"/>
              </w:rPr>
              <w:t>2</w:t>
            </w:r>
            <w:r w:rsidRPr="0071735F">
              <w:rPr>
                <w:rFonts w:ascii="Times New Roman" w:eastAsia="Times New Roman" w:hAnsi="Times New Roman"/>
                <w:noProof/>
                <w:sz w:val="24"/>
                <w:szCs w:val="24"/>
                <w:lang w:val="ro-MD"/>
              </w:rPr>
              <w:t xml:space="preserve">. </w:t>
            </w:r>
          </w:p>
          <w:p w14:paraId="12E7FA91" w14:textId="0E3EB415" w:rsidR="00C5072B" w:rsidRPr="0071735F" w:rsidRDefault="002450A6" w:rsidP="002A5087">
            <w:pPr>
              <w:spacing w:before="120" w:after="120"/>
              <w:jc w:val="both"/>
              <w:rPr>
                <w:rFonts w:ascii="Times New Roman" w:eastAsia="Times New Roman" w:hAnsi="Times New Roman"/>
                <w:noProof/>
                <w:sz w:val="24"/>
                <w:szCs w:val="24"/>
                <w:lang w:val="ro-MD"/>
              </w:rPr>
            </w:pPr>
            <w:r w:rsidRPr="0071735F">
              <w:rPr>
                <w:rFonts w:ascii="Times New Roman" w:eastAsia="Times New Roman" w:hAnsi="Times New Roman"/>
                <w:noProof/>
                <w:sz w:val="24"/>
                <w:szCs w:val="24"/>
                <w:lang w:val="ro-MD"/>
              </w:rPr>
              <w:t>P</w:t>
            </w:r>
            <w:r w:rsidR="00A769BE" w:rsidRPr="0071735F">
              <w:rPr>
                <w:rFonts w:ascii="Times New Roman" w:eastAsia="Times New Roman" w:hAnsi="Times New Roman"/>
                <w:noProof/>
                <w:sz w:val="24"/>
                <w:szCs w:val="24"/>
                <w:lang w:val="ro-MD"/>
              </w:rPr>
              <w:t>racticile anterioare din R</w:t>
            </w:r>
            <w:r w:rsidRPr="0071735F">
              <w:rPr>
                <w:rFonts w:ascii="Times New Roman" w:eastAsia="Times New Roman" w:hAnsi="Times New Roman"/>
                <w:noProof/>
                <w:sz w:val="24"/>
                <w:szCs w:val="24"/>
                <w:lang w:val="ro-MD"/>
              </w:rPr>
              <w:t>epublica Moldova</w:t>
            </w:r>
            <w:r w:rsidR="00A769BE" w:rsidRPr="0071735F">
              <w:rPr>
                <w:rFonts w:ascii="Times New Roman" w:eastAsia="Times New Roman" w:hAnsi="Times New Roman"/>
                <w:noProof/>
                <w:sz w:val="24"/>
                <w:szCs w:val="24"/>
                <w:lang w:val="ro-MD"/>
              </w:rPr>
              <w:t xml:space="preserve"> demonstrează că o sumă medie de </w:t>
            </w:r>
            <w:r w:rsidRPr="0071735F">
              <w:rPr>
                <w:rFonts w:ascii="Times New Roman" w:eastAsia="Times New Roman" w:hAnsi="Times New Roman"/>
                <w:noProof/>
                <w:sz w:val="24"/>
                <w:szCs w:val="24"/>
                <w:lang w:val="ro-MD"/>
              </w:rPr>
              <w:t>cca.</w:t>
            </w:r>
            <w:r w:rsidR="00A769BE" w:rsidRPr="0071735F">
              <w:rPr>
                <w:rFonts w:ascii="Times New Roman" w:eastAsia="Times New Roman" w:hAnsi="Times New Roman"/>
                <w:noProof/>
                <w:sz w:val="24"/>
                <w:szCs w:val="24"/>
                <w:lang w:val="ro-MD"/>
              </w:rPr>
              <w:t xml:space="preserve"> 100</w:t>
            </w:r>
            <w:r w:rsidRPr="0071735F">
              <w:rPr>
                <w:rFonts w:ascii="Times New Roman" w:eastAsia="Times New Roman" w:hAnsi="Times New Roman"/>
                <w:noProof/>
                <w:sz w:val="24"/>
                <w:szCs w:val="24"/>
                <w:lang w:val="ro-MD"/>
              </w:rPr>
              <w:t>-120</w:t>
            </w:r>
            <w:r w:rsidR="00A769BE" w:rsidRPr="0071735F">
              <w:rPr>
                <w:rFonts w:ascii="Times New Roman" w:eastAsia="Times New Roman" w:hAnsi="Times New Roman"/>
                <w:noProof/>
                <w:sz w:val="24"/>
                <w:szCs w:val="24"/>
                <w:lang w:val="ro-MD"/>
              </w:rPr>
              <w:t xml:space="preserve"> E</w:t>
            </w:r>
            <w:r w:rsidRPr="0071735F">
              <w:rPr>
                <w:rFonts w:ascii="Times New Roman" w:eastAsia="Times New Roman" w:hAnsi="Times New Roman"/>
                <w:noProof/>
                <w:sz w:val="24"/>
                <w:szCs w:val="24"/>
                <w:lang w:val="ro-MD"/>
              </w:rPr>
              <w:t>UR</w:t>
            </w:r>
            <w:r w:rsidR="00A769BE" w:rsidRPr="0071735F">
              <w:rPr>
                <w:rFonts w:ascii="Times New Roman" w:eastAsia="Times New Roman" w:hAnsi="Times New Roman"/>
                <w:noProof/>
                <w:sz w:val="24"/>
                <w:szCs w:val="24"/>
                <w:lang w:val="ro-MD"/>
              </w:rPr>
              <w:t>/m</w:t>
            </w:r>
            <w:r w:rsidR="00A769BE" w:rsidRPr="0071735F">
              <w:rPr>
                <w:rFonts w:ascii="Times New Roman" w:eastAsia="Times New Roman" w:hAnsi="Times New Roman"/>
                <w:noProof/>
                <w:sz w:val="24"/>
                <w:szCs w:val="24"/>
                <w:vertAlign w:val="superscript"/>
                <w:lang w:val="ro-MD"/>
              </w:rPr>
              <w:t xml:space="preserve">2 </w:t>
            </w:r>
            <w:r w:rsidR="00A769BE" w:rsidRPr="0071735F">
              <w:rPr>
                <w:rFonts w:ascii="Times New Roman" w:eastAsia="Times New Roman" w:hAnsi="Times New Roman"/>
                <w:noProof/>
                <w:sz w:val="24"/>
                <w:szCs w:val="24"/>
                <w:lang w:val="ro-MD"/>
              </w:rPr>
              <w:t xml:space="preserve">este suficientă  pentru a aduce performanţa energetică a clădirilor publice în conformitate cu cerinţele minime de performanţă energetică. </w:t>
            </w:r>
            <w:r w:rsidR="00C5072B" w:rsidRPr="0071735F">
              <w:rPr>
                <w:rFonts w:ascii="Times New Roman" w:eastAsia="Times New Roman" w:hAnsi="Times New Roman"/>
                <w:noProof/>
                <w:sz w:val="24"/>
                <w:szCs w:val="24"/>
                <w:lang w:val="ro-MD"/>
              </w:rPr>
              <w:t>În rezult</w:t>
            </w:r>
            <w:r w:rsidR="00397B1B" w:rsidRPr="0071735F">
              <w:rPr>
                <w:rFonts w:ascii="Times New Roman" w:eastAsia="Times New Roman" w:hAnsi="Times New Roman"/>
                <w:noProof/>
                <w:sz w:val="24"/>
                <w:szCs w:val="24"/>
                <w:lang w:val="ro-MD"/>
              </w:rPr>
              <w:t>at</w:t>
            </w:r>
            <w:r w:rsidR="00C5072B" w:rsidRPr="0071735F">
              <w:rPr>
                <w:rFonts w:ascii="Times New Roman" w:eastAsia="Times New Roman" w:hAnsi="Times New Roman"/>
                <w:noProof/>
                <w:sz w:val="24"/>
                <w:szCs w:val="24"/>
                <w:lang w:val="ro-MD"/>
              </w:rPr>
              <w:t>, efortul financiar necesar de suport de Guvern este de cca. 24-30 milioane MDL anual</w:t>
            </w:r>
            <w:r w:rsidR="005F6C28" w:rsidRPr="0071735F">
              <w:rPr>
                <w:rFonts w:ascii="Times New Roman" w:eastAsia="Times New Roman" w:hAnsi="Times New Roman"/>
                <w:noProof/>
                <w:sz w:val="24"/>
                <w:szCs w:val="24"/>
                <w:lang w:val="ro-MD"/>
              </w:rPr>
              <w:t>.</w:t>
            </w:r>
          </w:p>
          <w:p w14:paraId="76905B1F" w14:textId="6F866E5B" w:rsidR="008B67F2" w:rsidRPr="0071735F" w:rsidRDefault="00A769BE" w:rsidP="00174F10">
            <w:pPr>
              <w:spacing w:before="120" w:after="120"/>
              <w:jc w:val="both"/>
              <w:rPr>
                <w:rFonts w:ascii="Times New Roman" w:eastAsia="Times New Roman" w:hAnsi="Times New Roman"/>
                <w:noProof/>
                <w:sz w:val="24"/>
                <w:szCs w:val="24"/>
                <w:lang w:val="ro-MD"/>
              </w:rPr>
            </w:pPr>
            <w:r w:rsidRPr="0071735F">
              <w:rPr>
                <w:rFonts w:ascii="Times New Roman" w:eastAsia="Times New Roman" w:hAnsi="Times New Roman"/>
                <w:noProof/>
                <w:sz w:val="24"/>
                <w:szCs w:val="24"/>
                <w:lang w:val="ro-MD"/>
              </w:rPr>
              <w:t>Este de notat, că investițiile în renovarea clădirilor se vor recupera pe perioada de exploatarea a acestora, dat fiind că practica europeană demonstrează că p</w:t>
            </w:r>
            <w:r w:rsidRPr="0071735F">
              <w:rPr>
                <w:rFonts w:ascii="Times New Roman" w:hAnsi="Times New Roman"/>
                <w:sz w:val="24"/>
                <w:szCs w:val="24"/>
                <w:lang w:val="ro-MD"/>
              </w:rPr>
              <w:t>entru orice cladire mai veche de 20 ani sau insuficient izolată, o reabilitare termica este cu adevarat necesară prin îmbunata</w:t>
            </w:r>
            <w:r w:rsidR="00280298" w:rsidRPr="0071735F">
              <w:rPr>
                <w:rFonts w:ascii="Times New Roman" w:hAnsi="Times New Roman"/>
                <w:sz w:val="24"/>
                <w:szCs w:val="24"/>
                <w:lang w:val="ro-MD"/>
              </w:rPr>
              <w:t>ț</w:t>
            </w:r>
            <w:r w:rsidRPr="0071735F">
              <w:rPr>
                <w:rFonts w:ascii="Times New Roman" w:hAnsi="Times New Roman"/>
                <w:sz w:val="24"/>
                <w:szCs w:val="24"/>
                <w:lang w:val="ro-MD"/>
              </w:rPr>
              <w:t>irea izola</w:t>
            </w:r>
            <w:r w:rsidR="005F6C28" w:rsidRPr="0071735F">
              <w:rPr>
                <w:rFonts w:ascii="Times New Roman" w:hAnsi="Times New Roman"/>
                <w:sz w:val="24"/>
                <w:szCs w:val="24"/>
                <w:lang w:val="ro-MD"/>
              </w:rPr>
              <w:t>ț</w:t>
            </w:r>
            <w:r w:rsidRPr="0071735F">
              <w:rPr>
                <w:rFonts w:ascii="Times New Roman" w:hAnsi="Times New Roman"/>
                <w:sz w:val="24"/>
                <w:szCs w:val="24"/>
                <w:lang w:val="ro-MD"/>
              </w:rPr>
              <w:t>iei</w:t>
            </w:r>
            <w:r w:rsidR="005F6C28" w:rsidRPr="0071735F">
              <w:rPr>
                <w:rFonts w:ascii="Times New Roman" w:hAnsi="Times New Roman"/>
                <w:sz w:val="24"/>
                <w:szCs w:val="24"/>
                <w:lang w:val="ro-MD"/>
              </w:rPr>
              <w:t xml:space="preserve"> termice</w:t>
            </w:r>
            <w:r w:rsidRPr="0071735F">
              <w:rPr>
                <w:rFonts w:ascii="Times New Roman" w:hAnsi="Times New Roman"/>
                <w:sz w:val="24"/>
                <w:szCs w:val="24"/>
                <w:lang w:val="ro-MD"/>
              </w:rPr>
              <w:t>, în rezultatul cărei se poate obține economii de circa 50% din consumul de energie iar ob</w:t>
            </w:r>
            <w:r w:rsidR="00280298" w:rsidRPr="0071735F">
              <w:rPr>
                <w:rFonts w:ascii="Times New Roman" w:hAnsi="Times New Roman"/>
                <w:sz w:val="24"/>
                <w:szCs w:val="24"/>
                <w:lang w:val="ro-MD"/>
              </w:rPr>
              <w:t>ț</w:t>
            </w:r>
            <w:r w:rsidRPr="0071735F">
              <w:rPr>
                <w:rFonts w:ascii="Times New Roman" w:hAnsi="Times New Roman"/>
                <w:sz w:val="24"/>
                <w:szCs w:val="24"/>
                <w:lang w:val="ro-MD"/>
              </w:rPr>
              <w:t xml:space="preserve">inerea confortului termic pe timp de iarna cît și pe timp de vara ar fi mult mai usoara. </w:t>
            </w:r>
            <w:r w:rsidRPr="0071735F">
              <w:rPr>
                <w:rFonts w:ascii="Times New Roman" w:eastAsia="Times New Roman" w:hAnsi="Times New Roman"/>
                <w:noProof/>
                <w:sz w:val="24"/>
                <w:szCs w:val="24"/>
                <w:lang w:val="ro-MD"/>
              </w:rPr>
              <w:t xml:space="preserve"> </w:t>
            </w:r>
          </w:p>
          <w:p w14:paraId="3782650D" w14:textId="40597952" w:rsidR="00A769BE" w:rsidRPr="0071735F" w:rsidRDefault="00A769BE" w:rsidP="00174F10">
            <w:pPr>
              <w:spacing w:before="120" w:after="120"/>
              <w:jc w:val="both"/>
              <w:textAlignment w:val="baseline"/>
              <w:rPr>
                <w:rFonts w:ascii="Times New Roman" w:eastAsia="Times New Roman" w:hAnsi="Times New Roman"/>
                <w:noProof/>
                <w:color w:val="000000"/>
                <w:sz w:val="24"/>
                <w:szCs w:val="24"/>
                <w:lang w:val="ro-MD"/>
              </w:rPr>
            </w:pPr>
            <w:r w:rsidRPr="0071735F">
              <w:rPr>
                <w:rFonts w:ascii="Times New Roman" w:eastAsia="Times New Roman" w:hAnsi="Times New Roman"/>
                <w:iCs/>
                <w:noProof/>
                <w:sz w:val="24"/>
                <w:szCs w:val="24"/>
                <w:lang w:val="ro-MD"/>
              </w:rPr>
              <w:t>Costurile administrative</w:t>
            </w:r>
            <w:r w:rsidRPr="0071735F">
              <w:rPr>
                <w:rFonts w:ascii="Times New Roman" w:eastAsia="Times New Roman" w:hAnsi="Times New Roman"/>
                <w:i/>
                <w:noProof/>
                <w:sz w:val="24"/>
                <w:szCs w:val="24"/>
                <w:lang w:val="ro-MD"/>
              </w:rPr>
              <w:t xml:space="preserve"> </w:t>
            </w:r>
            <w:r w:rsidRPr="0071735F">
              <w:rPr>
                <w:rFonts w:ascii="Times New Roman" w:eastAsia="Times New Roman" w:hAnsi="Times New Roman"/>
                <w:noProof/>
                <w:sz w:val="24"/>
                <w:szCs w:val="24"/>
                <w:lang w:val="ro-MD"/>
              </w:rPr>
              <w:t xml:space="preserve">nu vor fi substanţiale, dat fiind faptul că autoritățile statului dispun de personal care este capabil să realizeze angajamentele respective. </w:t>
            </w:r>
          </w:p>
          <w:p w14:paraId="171DED99" w14:textId="67F57D69" w:rsidR="00781D2C" w:rsidRPr="0071735F" w:rsidRDefault="004B6262" w:rsidP="00174F10">
            <w:pPr>
              <w:spacing w:before="120" w:after="0"/>
              <w:jc w:val="both"/>
              <w:rPr>
                <w:rFonts w:ascii="Times New Roman" w:eastAsia="Times New Roman" w:hAnsi="Times New Roman"/>
                <w:noProof/>
                <w:sz w:val="24"/>
                <w:szCs w:val="24"/>
                <w:lang w:val="ro-MD"/>
              </w:rPr>
            </w:pPr>
            <w:r w:rsidRPr="0071735F">
              <w:rPr>
                <w:rFonts w:ascii="Times New Roman" w:eastAsia="Calibri" w:hAnsi="Times New Roman" w:cs="Times New Roman"/>
                <w:sz w:val="24"/>
                <w:szCs w:val="24"/>
                <w:lang w:val="ro-MD" w:eastAsia="ja-JP"/>
              </w:rPr>
              <w:t xml:space="preserve">Cu privire la </w:t>
            </w:r>
            <w:r w:rsidRPr="0071735F">
              <w:rPr>
                <w:rFonts w:ascii="Times New Roman" w:eastAsia="Calibri" w:hAnsi="Times New Roman" w:cs="Times New Roman"/>
                <w:b/>
                <w:bCs/>
                <w:i/>
                <w:iCs/>
                <w:sz w:val="24"/>
                <w:szCs w:val="24"/>
                <w:lang w:val="ro-MD" w:eastAsia="ja-JP"/>
              </w:rPr>
              <w:t>contorizarea și facturarea consumului de resurse energetice</w:t>
            </w:r>
            <w:r w:rsidRPr="0071735F">
              <w:rPr>
                <w:rFonts w:ascii="Times New Roman" w:eastAsia="Calibri" w:hAnsi="Times New Roman" w:cs="Times New Roman"/>
                <w:sz w:val="24"/>
                <w:szCs w:val="24"/>
                <w:lang w:val="ro-MD" w:eastAsia="ja-JP"/>
              </w:rPr>
              <w:t xml:space="preserve">, </w:t>
            </w:r>
            <w:r w:rsidRPr="0071735F">
              <w:rPr>
                <w:rFonts w:ascii="Times New Roman" w:eastAsia="Times New Roman" w:hAnsi="Times New Roman"/>
                <w:noProof/>
                <w:sz w:val="24"/>
                <w:szCs w:val="24"/>
                <w:lang w:val="ro-MD"/>
              </w:rPr>
              <w:t>respectivele prevederi nu implică automat careva costuri</w:t>
            </w:r>
            <w:r w:rsidR="006F3064" w:rsidRPr="0071735F">
              <w:rPr>
                <w:rFonts w:ascii="Times New Roman" w:eastAsia="Times New Roman" w:hAnsi="Times New Roman"/>
                <w:noProof/>
                <w:sz w:val="24"/>
                <w:szCs w:val="24"/>
                <w:lang w:val="ro-MD"/>
              </w:rPr>
              <w:t xml:space="preserve">. La zi, toate cheltuielile suportate de operatori, atât timp cât sunt justificate și recunoscute de autoritatea de reglementare, sunt acoperite prin tariful consumatorului final. </w:t>
            </w:r>
            <w:r w:rsidR="00626D3A" w:rsidRPr="0071735F">
              <w:rPr>
                <w:rFonts w:ascii="Times New Roman" w:eastAsia="Times New Roman" w:hAnsi="Times New Roman"/>
                <w:noProof/>
                <w:sz w:val="24"/>
                <w:szCs w:val="24"/>
                <w:lang w:val="ro-MD"/>
              </w:rPr>
              <w:t xml:space="preserve">Totodată, în condițiile în care operatorii de sistem reușesc să demonstreze că instalarea contoarelor inteligente </w:t>
            </w:r>
            <w:r w:rsidR="00A95398" w:rsidRPr="0071735F">
              <w:rPr>
                <w:rFonts w:ascii="Times New Roman" w:eastAsia="Times New Roman" w:hAnsi="Times New Roman"/>
                <w:noProof/>
                <w:sz w:val="24"/>
                <w:szCs w:val="24"/>
                <w:lang w:val="ro-MD"/>
              </w:rPr>
              <w:t>sunt eficiente</w:t>
            </w:r>
            <w:r w:rsidR="00F151CE" w:rsidRPr="0071735F">
              <w:rPr>
                <w:rFonts w:ascii="Times New Roman" w:eastAsia="Times New Roman" w:hAnsi="Times New Roman"/>
                <w:noProof/>
                <w:sz w:val="24"/>
                <w:szCs w:val="24"/>
                <w:lang w:val="ro-MD"/>
              </w:rPr>
              <w:t xml:space="preserve">, sub aspectul costurilor, </w:t>
            </w:r>
            <w:r w:rsidR="00A95398" w:rsidRPr="0071735F">
              <w:rPr>
                <w:rFonts w:ascii="Times New Roman" w:eastAsia="Times New Roman" w:hAnsi="Times New Roman"/>
                <w:noProof/>
                <w:sz w:val="24"/>
                <w:szCs w:val="24"/>
                <w:lang w:val="ro-MD"/>
              </w:rPr>
              <w:t>și economiile de energie obținute de consumatorul final compensează investiția în acestea</w:t>
            </w:r>
            <w:r w:rsidR="00F151CE" w:rsidRPr="0071735F">
              <w:rPr>
                <w:rFonts w:ascii="Times New Roman" w:eastAsia="Times New Roman" w:hAnsi="Times New Roman"/>
                <w:noProof/>
                <w:sz w:val="24"/>
                <w:szCs w:val="24"/>
                <w:lang w:val="ro-MD"/>
              </w:rPr>
              <w:t xml:space="preserve">, Reglementatorul ar putea accepta </w:t>
            </w:r>
            <w:r w:rsidR="00A21801" w:rsidRPr="0071735F">
              <w:rPr>
                <w:rFonts w:ascii="Times New Roman" w:eastAsia="Times New Roman" w:hAnsi="Times New Roman"/>
                <w:noProof/>
                <w:sz w:val="24"/>
                <w:szCs w:val="24"/>
                <w:lang w:val="ro-MD"/>
              </w:rPr>
              <w:t>instalarea lor și reflectarea acestor costuri în tarife.</w:t>
            </w:r>
            <w:r w:rsidR="00EA799B" w:rsidRPr="0071735F">
              <w:rPr>
                <w:rFonts w:ascii="Times New Roman" w:eastAsia="Times New Roman" w:hAnsi="Times New Roman"/>
                <w:noProof/>
                <w:sz w:val="24"/>
                <w:szCs w:val="24"/>
                <w:lang w:val="ro-MD"/>
              </w:rPr>
              <w:t xml:space="preserve"> </w:t>
            </w:r>
          </w:p>
          <w:p w14:paraId="68E45FA6" w14:textId="4FD0EA4D" w:rsidR="00A769BE" w:rsidRPr="0071735F" w:rsidRDefault="003C026C" w:rsidP="00923A9F">
            <w:pPr>
              <w:spacing w:before="120" w:after="0"/>
              <w:jc w:val="both"/>
              <w:rPr>
                <w:rFonts w:ascii="Times New Roman" w:eastAsia="Calibri" w:hAnsi="Times New Roman" w:cs="Times New Roman"/>
                <w:sz w:val="24"/>
                <w:szCs w:val="24"/>
                <w:lang w:val="ro-MD" w:eastAsia="ja-JP"/>
              </w:rPr>
            </w:pPr>
            <w:r w:rsidRPr="0071735F">
              <w:rPr>
                <w:rFonts w:ascii="Times New Roman" w:eastAsia="Calibri" w:hAnsi="Times New Roman" w:cs="Times New Roman"/>
                <w:sz w:val="24"/>
                <w:szCs w:val="24"/>
                <w:lang w:val="ro-MD" w:eastAsia="ja-JP"/>
              </w:rPr>
              <w:lastRenderedPageBreak/>
              <w:t xml:space="preserve">Indiferent de instrumentele de promovare a eficienței energetice la nivel național, merită a fi subliniat faptul că aceasta este o prioritate națională, iar </w:t>
            </w:r>
            <w:r w:rsidR="00C64E6D" w:rsidRPr="0071735F">
              <w:rPr>
                <w:rFonts w:ascii="Times New Roman" w:eastAsia="Calibri" w:hAnsi="Times New Roman" w:cs="Times New Roman"/>
                <w:sz w:val="24"/>
                <w:szCs w:val="24"/>
                <w:lang w:val="ro-MD" w:eastAsia="ja-JP"/>
              </w:rPr>
              <w:t>motivele și argumentele ce stau la baza acestui statut sunt grafic prezentate în figura alăturată.</w:t>
            </w:r>
          </w:p>
          <w:p w14:paraId="47F08A95" w14:textId="6FDC14FF" w:rsidR="00C64E6D" w:rsidRPr="0071735F" w:rsidRDefault="00C64E6D" w:rsidP="00923A9F">
            <w:pPr>
              <w:spacing w:before="120" w:after="0"/>
              <w:jc w:val="both"/>
              <w:rPr>
                <w:rFonts w:ascii="Times New Roman" w:eastAsia="Calibri" w:hAnsi="Times New Roman" w:cs="Times New Roman"/>
                <w:sz w:val="24"/>
                <w:szCs w:val="24"/>
                <w:lang w:val="ro-MD" w:eastAsia="ja-JP"/>
              </w:rPr>
            </w:pPr>
          </w:p>
          <w:p w14:paraId="360F9E28" w14:textId="21AEA309" w:rsidR="00C64E6D" w:rsidRPr="0071735F" w:rsidRDefault="004066B1" w:rsidP="004066B1">
            <w:pPr>
              <w:spacing w:before="120" w:after="0"/>
              <w:jc w:val="center"/>
              <w:rPr>
                <w:rFonts w:ascii="Times New Roman" w:eastAsia="Calibri" w:hAnsi="Times New Roman" w:cs="Times New Roman"/>
                <w:sz w:val="24"/>
                <w:szCs w:val="24"/>
                <w:lang w:val="ro-MD" w:eastAsia="ja-JP"/>
              </w:rPr>
            </w:pPr>
            <w:r w:rsidRPr="0071735F">
              <w:rPr>
                <w:rFonts w:ascii="Times New Roman" w:eastAsia="Calibri" w:hAnsi="Times New Roman" w:cs="Times New Roman"/>
                <w:noProof/>
                <w:sz w:val="24"/>
                <w:szCs w:val="24"/>
                <w:lang w:val="en-GB" w:eastAsia="en-GB"/>
              </w:rPr>
              <w:drawing>
                <wp:inline distT="0" distB="0" distL="0" distR="0" wp14:anchorId="43B15A60" wp14:editId="4D6E0469">
                  <wp:extent cx="3202940" cy="3145536"/>
                  <wp:effectExtent l="0" t="0" r="0" b="0"/>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pic:nvPicPr>
                        <pic:blipFill rotWithShape="1">
                          <a:blip r:embed="rId9">
                            <a:extLst>
                              <a:ext uri="{28A0092B-C50C-407E-A947-70E740481C1C}">
                                <a14:useLocalDpi xmlns:a14="http://schemas.microsoft.com/office/drawing/2010/main" val="0"/>
                              </a:ext>
                            </a:extLst>
                          </a:blip>
                          <a:srcRect l="4140" t="2224" r="5197" b="2149"/>
                          <a:stretch/>
                        </pic:blipFill>
                        <pic:spPr bwMode="auto">
                          <a:xfrm>
                            <a:off x="0" y="0"/>
                            <a:ext cx="3215767" cy="3158133"/>
                          </a:xfrm>
                          <a:prstGeom prst="rect">
                            <a:avLst/>
                          </a:prstGeom>
                          <a:ln>
                            <a:noFill/>
                          </a:ln>
                          <a:extLst>
                            <a:ext uri="{53640926-AAD7-44D8-BBD7-CCE9431645EC}">
                              <a14:shadowObscured xmlns:a14="http://schemas.microsoft.com/office/drawing/2010/main"/>
                            </a:ext>
                          </a:extLst>
                        </pic:spPr>
                      </pic:pic>
                    </a:graphicData>
                  </a:graphic>
                </wp:inline>
              </w:drawing>
            </w:r>
          </w:p>
          <w:p w14:paraId="75EBCDD7" w14:textId="3C773886" w:rsidR="004066B1" w:rsidRPr="0071735F" w:rsidRDefault="004066B1" w:rsidP="00D34CF7">
            <w:pPr>
              <w:spacing w:before="120" w:after="0"/>
              <w:jc w:val="both"/>
              <w:rPr>
                <w:rFonts w:ascii="Times New Roman" w:eastAsia="Calibri" w:hAnsi="Times New Roman" w:cs="Times New Roman"/>
                <w:bCs/>
                <w:sz w:val="24"/>
                <w:szCs w:val="24"/>
                <w:lang w:val="ro-MD" w:eastAsia="ja-JP"/>
              </w:rPr>
            </w:pPr>
            <w:r w:rsidRPr="0071735F">
              <w:rPr>
                <w:rFonts w:ascii="Times New Roman" w:eastAsia="Times New Roman" w:hAnsi="Times New Roman" w:cs="Times New Roman"/>
                <w:bCs/>
                <w:noProof/>
                <w:sz w:val="24"/>
                <w:szCs w:val="24"/>
                <w:lang w:val="en-GB" w:eastAsia="en-GB"/>
              </w:rPr>
              <mc:AlternateContent>
                <mc:Choice Requires="wps">
                  <w:drawing>
                    <wp:anchor distT="45720" distB="45720" distL="114300" distR="114300" simplePos="0" relativeHeight="251662336" behindDoc="0" locked="0" layoutInCell="1" allowOverlap="1" wp14:anchorId="461FD831" wp14:editId="0862C9CD">
                      <wp:simplePos x="0" y="0"/>
                      <wp:positionH relativeFrom="column">
                        <wp:posOffset>950468</wp:posOffset>
                      </wp:positionH>
                      <wp:positionV relativeFrom="paragraph">
                        <wp:posOffset>112039</wp:posOffset>
                      </wp:positionV>
                      <wp:extent cx="3869690" cy="416967"/>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416967"/>
                              </a:xfrm>
                              <a:prstGeom prst="rect">
                                <a:avLst/>
                              </a:prstGeom>
                              <a:noFill/>
                              <a:ln w="9525">
                                <a:noFill/>
                                <a:miter lim="800000"/>
                                <a:headEnd/>
                                <a:tailEnd/>
                              </a:ln>
                            </wps:spPr>
                            <wps:txbx>
                              <w:txbxContent>
                                <w:p w14:paraId="10AC0A5D" w14:textId="67FC3122" w:rsidR="004066B1" w:rsidRDefault="004066B1" w:rsidP="004066B1">
                                  <w:pPr>
                                    <w:spacing w:after="0"/>
                                    <w:jc w:val="center"/>
                                    <w:rPr>
                                      <w:rFonts w:ascii="Times New Roman" w:hAnsi="Times New Roman" w:cs="Times New Roman"/>
                                      <w:lang w:val="ro-MD"/>
                                    </w:rPr>
                                  </w:pPr>
                                  <w:r w:rsidRPr="002F0346">
                                    <w:rPr>
                                      <w:rFonts w:ascii="Times New Roman" w:hAnsi="Times New Roman" w:cs="Times New Roman"/>
                                      <w:b/>
                                      <w:bCs/>
                                      <w:lang w:val="ro-MD"/>
                                    </w:rPr>
                                    <w:t xml:space="preserve">Figura </w:t>
                                  </w:r>
                                  <w:r w:rsidR="00084B98">
                                    <w:rPr>
                                      <w:rFonts w:ascii="Times New Roman" w:hAnsi="Times New Roman" w:cs="Times New Roman"/>
                                      <w:b/>
                                      <w:bCs/>
                                      <w:lang w:val="ro-MD"/>
                                    </w:rPr>
                                    <w:t>2</w:t>
                                  </w:r>
                                  <w:r w:rsidRPr="002F0346">
                                    <w:rPr>
                                      <w:rFonts w:ascii="Times New Roman" w:hAnsi="Times New Roman" w:cs="Times New Roman"/>
                                      <w:b/>
                                      <w:bCs/>
                                      <w:lang w:val="ro-MD"/>
                                    </w:rPr>
                                    <w:t>.</w:t>
                                  </w:r>
                                  <w:r w:rsidRPr="002F0346">
                                    <w:rPr>
                                      <w:rFonts w:ascii="Times New Roman" w:hAnsi="Times New Roman" w:cs="Times New Roman"/>
                                      <w:lang w:val="ro-MD"/>
                                    </w:rPr>
                                    <w:t xml:space="preserve"> </w:t>
                                  </w:r>
                                  <w:r w:rsidR="0077026E">
                                    <w:rPr>
                                      <w:rFonts w:ascii="Times New Roman" w:hAnsi="Times New Roman" w:cs="Times New Roman"/>
                                      <w:lang w:val="ro-MD"/>
                                    </w:rPr>
                                    <w:t>Beneficiile eficienței energetice</w:t>
                                  </w:r>
                                </w:p>
                                <w:p w14:paraId="7A1DF97B" w14:textId="1089AD74" w:rsidR="004066B1" w:rsidRPr="00D22310" w:rsidRDefault="004066B1" w:rsidP="0077026E">
                                  <w:pPr>
                                    <w:spacing w:after="0"/>
                                    <w:rPr>
                                      <w:rFonts w:ascii="Times New Roman" w:hAnsi="Times New Roman" w:cs="Times New Roman"/>
                                      <w:lang w:val="it-IT"/>
                                    </w:rPr>
                                  </w:pPr>
                                  <w:r w:rsidRPr="00305DC4">
                                    <w:rPr>
                                      <w:rFonts w:ascii="Times New Roman" w:hAnsi="Times New Roman" w:cs="Times New Roman"/>
                                      <w:i/>
                                      <w:iCs/>
                                      <w:sz w:val="18"/>
                                      <w:szCs w:val="18"/>
                                      <w:lang w:val="ro-MD"/>
                                    </w:rPr>
                                    <w:t xml:space="preserve">Sursa: </w:t>
                                  </w:r>
                                  <w:r w:rsidR="0077026E">
                                    <w:rPr>
                                      <w:rFonts w:ascii="Times New Roman" w:hAnsi="Times New Roman" w:cs="Times New Roman"/>
                                      <w:sz w:val="18"/>
                                      <w:szCs w:val="18"/>
                                      <w:lang w:val="ro-MD"/>
                                    </w:rPr>
                                    <w:t>Agenția Internațională a Energiei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FD831" id="_x0000_t202" coordsize="21600,21600" o:spt="202" path="m,l,21600r21600,l21600,xe">
                      <v:stroke joinstyle="miter"/>
                      <v:path gradientshapeok="t" o:connecttype="rect"/>
                    </v:shapetype>
                    <v:shape id="_x0000_s1027" type="#_x0000_t202" style="position:absolute;left:0;text-align:left;margin-left:74.85pt;margin-top:8.8pt;width:304.7pt;height:3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" filled="f" stroked="f">
                      <v:textbox>
                        <w:txbxContent>
                          <w:p w14:paraId="10AC0A5D" w14:textId="67FC3122" w:rsidR="004066B1" w:rsidRDefault="004066B1" w:rsidP="004066B1">
                            <w:pPr>
                              <w:spacing w:after="0"/>
                              <w:jc w:val="center"/>
                              <w:rPr>
                                <w:rFonts w:ascii="Times New Roman" w:hAnsi="Times New Roman" w:cs="Times New Roman"/>
                                <w:lang w:val="ro-MD"/>
                              </w:rPr>
                            </w:pPr>
                            <w:r w:rsidRPr="002F0346">
                              <w:rPr>
                                <w:rFonts w:ascii="Times New Roman" w:hAnsi="Times New Roman" w:cs="Times New Roman"/>
                                <w:b/>
                                <w:bCs/>
                                <w:lang w:val="ro-MD"/>
                              </w:rPr>
                              <w:t xml:space="preserve">Figura </w:t>
                            </w:r>
                            <w:r w:rsidR="00084B98">
                              <w:rPr>
                                <w:rFonts w:ascii="Times New Roman" w:hAnsi="Times New Roman" w:cs="Times New Roman"/>
                                <w:b/>
                                <w:bCs/>
                                <w:lang w:val="ro-MD"/>
                              </w:rPr>
                              <w:t>2</w:t>
                            </w:r>
                            <w:r w:rsidRPr="002F0346">
                              <w:rPr>
                                <w:rFonts w:ascii="Times New Roman" w:hAnsi="Times New Roman" w:cs="Times New Roman"/>
                                <w:b/>
                                <w:bCs/>
                                <w:lang w:val="ro-MD"/>
                              </w:rPr>
                              <w:t>.</w:t>
                            </w:r>
                            <w:r w:rsidRPr="002F0346">
                              <w:rPr>
                                <w:rFonts w:ascii="Times New Roman" w:hAnsi="Times New Roman" w:cs="Times New Roman"/>
                                <w:lang w:val="ro-MD"/>
                              </w:rPr>
                              <w:t xml:space="preserve"> </w:t>
                            </w:r>
                            <w:r w:rsidR="0077026E">
                              <w:rPr>
                                <w:rFonts w:ascii="Times New Roman" w:hAnsi="Times New Roman" w:cs="Times New Roman"/>
                                <w:lang w:val="ro-MD"/>
                              </w:rPr>
                              <w:t>Beneficiile eficienței energetice</w:t>
                            </w:r>
                          </w:p>
                          <w:p w14:paraId="7A1DF97B" w14:textId="1089AD74" w:rsidR="004066B1" w:rsidRPr="00D22310" w:rsidRDefault="004066B1" w:rsidP="0077026E">
                            <w:pPr>
                              <w:spacing w:after="0"/>
                              <w:rPr>
                                <w:rFonts w:ascii="Times New Roman" w:hAnsi="Times New Roman" w:cs="Times New Roman"/>
                                <w:lang w:val="it-IT"/>
                              </w:rPr>
                            </w:pPr>
                            <w:r w:rsidRPr="00305DC4">
                              <w:rPr>
                                <w:rFonts w:ascii="Times New Roman" w:hAnsi="Times New Roman" w:cs="Times New Roman"/>
                                <w:i/>
                                <w:iCs/>
                                <w:sz w:val="18"/>
                                <w:szCs w:val="18"/>
                                <w:lang w:val="ro-MD"/>
                              </w:rPr>
                              <w:t xml:space="preserve">Sursa: </w:t>
                            </w:r>
                            <w:r w:rsidR="0077026E">
                              <w:rPr>
                                <w:rFonts w:ascii="Times New Roman" w:hAnsi="Times New Roman" w:cs="Times New Roman"/>
                                <w:sz w:val="18"/>
                                <w:szCs w:val="18"/>
                                <w:lang w:val="ro-MD"/>
                              </w:rPr>
                              <w:t>Agenția Internațională a Energiei</w:t>
                            </w:r>
                          </w:p>
                        </w:txbxContent>
                      </v:textbox>
                    </v:shape>
                  </w:pict>
                </mc:Fallback>
              </mc:AlternateContent>
            </w:r>
          </w:p>
          <w:p w14:paraId="4F4D6124" w14:textId="77777777" w:rsidR="004066B1" w:rsidRPr="0071735F" w:rsidRDefault="004066B1" w:rsidP="00D34CF7">
            <w:pPr>
              <w:spacing w:before="120" w:after="0"/>
              <w:jc w:val="both"/>
              <w:rPr>
                <w:rFonts w:ascii="Times New Roman" w:eastAsia="Calibri" w:hAnsi="Times New Roman" w:cs="Times New Roman"/>
                <w:bCs/>
                <w:sz w:val="24"/>
                <w:szCs w:val="24"/>
                <w:lang w:val="ro-MD" w:eastAsia="ja-JP"/>
              </w:rPr>
            </w:pPr>
          </w:p>
          <w:p w14:paraId="5600C246" w14:textId="4A65BFAD" w:rsidR="00D34CF7" w:rsidRPr="0071735F" w:rsidRDefault="00D34CF7" w:rsidP="00D34CF7">
            <w:pPr>
              <w:spacing w:before="120" w:after="0"/>
              <w:jc w:val="both"/>
              <w:rPr>
                <w:rFonts w:ascii="Times New Roman" w:eastAsia="Calibri" w:hAnsi="Times New Roman" w:cs="Times New Roman"/>
                <w:bCs/>
                <w:sz w:val="24"/>
                <w:szCs w:val="24"/>
                <w:lang w:val="ro-MD" w:eastAsia="ja-JP"/>
              </w:rPr>
            </w:pPr>
          </w:p>
        </w:tc>
      </w:tr>
      <w:tr w:rsidR="00B468B6" w:rsidRPr="00D22310" w14:paraId="6F8CC884" w14:textId="77777777" w:rsidTr="00125D3C">
        <w:trPr>
          <w:jc w:val="center"/>
        </w:trPr>
        <w:tc>
          <w:tcPr>
            <w:tcW w:w="5000" w:type="pct"/>
            <w:gridSpan w:val="2"/>
            <w:shd w:val="clear" w:color="auto" w:fill="auto"/>
            <w:tcMar>
              <w:top w:w="15" w:type="dxa"/>
              <w:left w:w="45" w:type="dxa"/>
              <w:bottom w:w="15" w:type="dxa"/>
              <w:right w:w="45" w:type="dxa"/>
            </w:tcMar>
          </w:tcPr>
          <w:p w14:paraId="3E9B86BD" w14:textId="4D7997F0"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b</w:t>
            </w:r>
            <w:r w:rsidRPr="0071735F">
              <w:rPr>
                <w:rFonts w:ascii="Times New Roman" w:eastAsia="Calibri" w:hAnsi="Times New Roman" w:cs="Times New Roman"/>
                <w:b/>
                <w:sz w:val="24"/>
                <w:szCs w:val="24"/>
                <w:vertAlign w:val="superscript"/>
                <w:lang w:val="ro-MD" w:eastAsia="en-GB"/>
              </w:rPr>
              <w:t>2</w:t>
            </w:r>
            <w:r w:rsidRPr="0071735F">
              <w:rPr>
                <w:rFonts w:ascii="Times New Roman" w:eastAsia="Calibri" w:hAnsi="Times New Roman" w:cs="Times New Roman"/>
                <w:b/>
                <w:sz w:val="24"/>
                <w:szCs w:val="24"/>
                <w:lang w:val="ro-MD" w:eastAsia="en-GB"/>
              </w:rPr>
              <w:t xml:space="preserve">) Pentru </w:t>
            </w:r>
            <w:r w:rsidR="00BB6CE7" w:rsidRPr="0071735F">
              <w:rPr>
                <w:rFonts w:ascii="Times New Roman" w:eastAsia="Calibri" w:hAnsi="Times New Roman" w:cs="Times New Roman"/>
                <w:b/>
                <w:sz w:val="24"/>
                <w:szCs w:val="24"/>
                <w:lang w:val="ro-MD" w:eastAsia="en-GB"/>
              </w:rPr>
              <w:t>opțiunile</w:t>
            </w:r>
            <w:r w:rsidRPr="0071735F">
              <w:rPr>
                <w:rFonts w:ascii="Times New Roman" w:eastAsia="Calibri" w:hAnsi="Times New Roman" w:cs="Times New Roman"/>
                <w:b/>
                <w:sz w:val="24"/>
                <w:szCs w:val="24"/>
                <w:lang w:val="ro-MD" w:eastAsia="en-GB"/>
              </w:rPr>
              <w:t xml:space="preserve"> alternative analizate, </w:t>
            </w:r>
            <w:r w:rsidR="00BB6CE7"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impacturile </w:t>
            </w:r>
            <w:r w:rsidR="00BB6CE7" w:rsidRPr="0071735F">
              <w:rPr>
                <w:rFonts w:ascii="Times New Roman" w:eastAsia="Calibri" w:hAnsi="Times New Roman" w:cs="Times New Roman"/>
                <w:b/>
                <w:sz w:val="24"/>
                <w:szCs w:val="24"/>
                <w:lang w:val="ro-MD" w:eastAsia="en-GB"/>
              </w:rPr>
              <w:t>completând</w:t>
            </w:r>
            <w:r w:rsidRPr="0071735F">
              <w:rPr>
                <w:rFonts w:ascii="Times New Roman" w:eastAsia="Calibri" w:hAnsi="Times New Roman" w:cs="Times New Roman"/>
                <w:b/>
                <w:sz w:val="24"/>
                <w:szCs w:val="24"/>
                <w:lang w:val="ro-MD" w:eastAsia="en-GB"/>
              </w:rPr>
              <w:t xml:space="preserve"> tabelul din anexa la prezentul formular. </w:t>
            </w:r>
            <w:r w:rsidR="00BB6CE7"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pe larg impacturile sub formă de costuri sau beneficii, inclusiv </w:t>
            </w:r>
            <w:r w:rsidR="00BB6CE7" w:rsidRPr="0071735F">
              <w:rPr>
                <w:rFonts w:ascii="Times New Roman" w:eastAsia="Calibri" w:hAnsi="Times New Roman" w:cs="Times New Roman"/>
                <w:b/>
                <w:sz w:val="24"/>
                <w:szCs w:val="24"/>
                <w:lang w:val="ro-MD" w:eastAsia="en-GB"/>
              </w:rPr>
              <w:t>părțile</w:t>
            </w:r>
            <w:r w:rsidRPr="0071735F">
              <w:rPr>
                <w:rFonts w:ascii="Times New Roman" w:eastAsia="Calibri" w:hAnsi="Times New Roman" w:cs="Times New Roman"/>
                <w:b/>
                <w:sz w:val="24"/>
                <w:szCs w:val="24"/>
                <w:lang w:val="ro-MD" w:eastAsia="en-GB"/>
              </w:rPr>
              <w:t xml:space="preserve"> interesate care ar putea fi afectate pozitiv </w:t>
            </w:r>
            <w:r w:rsidR="00BB6CE7"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negativ de acestea</w:t>
            </w:r>
            <w:r w:rsidR="00BB6CE7" w:rsidRPr="0071735F">
              <w:rPr>
                <w:rFonts w:ascii="Times New Roman" w:eastAsia="Calibri" w:hAnsi="Times New Roman" w:cs="Times New Roman"/>
                <w:b/>
                <w:sz w:val="24"/>
                <w:szCs w:val="24"/>
                <w:lang w:val="ro-MD" w:eastAsia="en-GB"/>
              </w:rPr>
              <w:t>.</w:t>
            </w:r>
          </w:p>
        </w:tc>
      </w:tr>
      <w:tr w:rsidR="00B468B6" w:rsidRPr="0071735F" w14:paraId="0C3955C5" w14:textId="77777777" w:rsidTr="00125D3C">
        <w:trPr>
          <w:jc w:val="center"/>
        </w:trPr>
        <w:tc>
          <w:tcPr>
            <w:tcW w:w="5000" w:type="pct"/>
            <w:gridSpan w:val="2"/>
            <w:tcMar>
              <w:top w:w="15" w:type="dxa"/>
              <w:left w:w="45" w:type="dxa"/>
              <w:bottom w:w="15" w:type="dxa"/>
              <w:right w:w="45" w:type="dxa"/>
            </w:tcMar>
          </w:tcPr>
          <w:p w14:paraId="06F55137" w14:textId="6D62781F" w:rsidR="00AD1A52" w:rsidRPr="0071735F" w:rsidRDefault="00444680" w:rsidP="004C40BE">
            <w:pPr>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u-RU"/>
              </w:rPr>
              <w:t>-</w:t>
            </w:r>
          </w:p>
        </w:tc>
      </w:tr>
      <w:tr w:rsidR="00B468B6" w:rsidRPr="00D22310" w14:paraId="13FF1C6C" w14:textId="77777777" w:rsidTr="00125D3C">
        <w:trPr>
          <w:jc w:val="center"/>
        </w:trPr>
        <w:tc>
          <w:tcPr>
            <w:tcW w:w="5000" w:type="pct"/>
            <w:gridSpan w:val="2"/>
            <w:shd w:val="clear" w:color="auto" w:fill="auto"/>
            <w:tcMar>
              <w:top w:w="15" w:type="dxa"/>
              <w:left w:w="45" w:type="dxa"/>
              <w:bottom w:w="15" w:type="dxa"/>
              <w:right w:w="45" w:type="dxa"/>
            </w:tcMar>
          </w:tcPr>
          <w:p w14:paraId="0E9C0F2E" w14:textId="2546FED9"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c) Pentru </w:t>
            </w:r>
            <w:r w:rsidR="00896882" w:rsidRPr="0071735F">
              <w:rPr>
                <w:rFonts w:ascii="Times New Roman" w:eastAsia="Calibri" w:hAnsi="Times New Roman" w:cs="Times New Roman"/>
                <w:b/>
                <w:sz w:val="24"/>
                <w:szCs w:val="24"/>
                <w:lang w:val="ro-MD" w:eastAsia="en-GB"/>
              </w:rPr>
              <w:t>opțiunile</w:t>
            </w:r>
            <w:r w:rsidRPr="0071735F">
              <w:rPr>
                <w:rFonts w:ascii="Times New Roman" w:eastAsia="Calibri" w:hAnsi="Times New Roman" w:cs="Times New Roman"/>
                <w:b/>
                <w:sz w:val="24"/>
                <w:szCs w:val="24"/>
                <w:lang w:val="ro-MD" w:eastAsia="en-GB"/>
              </w:rPr>
              <w:t xml:space="preserve"> analizate, </w:t>
            </w:r>
            <w:r w:rsidR="00896882"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cele mai relevante/iminente riscuri care pot duce la </w:t>
            </w:r>
            <w:r w:rsidR="00896882" w:rsidRPr="0071735F">
              <w:rPr>
                <w:rFonts w:ascii="Times New Roman" w:eastAsia="Calibri" w:hAnsi="Times New Roman" w:cs="Times New Roman"/>
                <w:b/>
                <w:sz w:val="24"/>
                <w:szCs w:val="24"/>
                <w:lang w:val="ro-MD" w:eastAsia="en-GB"/>
              </w:rPr>
              <w:t>eșecul</w:t>
            </w:r>
            <w:r w:rsidRPr="0071735F">
              <w:rPr>
                <w:rFonts w:ascii="Times New Roman" w:eastAsia="Calibri" w:hAnsi="Times New Roman" w:cs="Times New Roman"/>
                <w:b/>
                <w:sz w:val="24"/>
                <w:szCs w:val="24"/>
                <w:lang w:val="ro-MD" w:eastAsia="en-GB"/>
              </w:rPr>
              <w:t xml:space="preserve"> </w:t>
            </w:r>
            <w:r w:rsidR="00896882" w:rsidRPr="0071735F">
              <w:rPr>
                <w:rFonts w:ascii="Times New Roman" w:eastAsia="Calibri" w:hAnsi="Times New Roman" w:cs="Times New Roman"/>
                <w:b/>
                <w:sz w:val="24"/>
                <w:szCs w:val="24"/>
                <w:lang w:val="ro-MD" w:eastAsia="en-GB"/>
              </w:rPr>
              <w:t>intervenției</w:t>
            </w:r>
            <w:r w:rsidRPr="0071735F">
              <w:rPr>
                <w:rFonts w:ascii="Times New Roman" w:eastAsia="Calibri" w:hAnsi="Times New Roman" w:cs="Times New Roman"/>
                <w:b/>
                <w:sz w:val="24"/>
                <w:szCs w:val="24"/>
                <w:lang w:val="ro-MD" w:eastAsia="en-GB"/>
              </w:rPr>
              <w:t xml:space="preserve"> </w:t>
            </w:r>
            <w:r w:rsidR="0089688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/sau schimba </w:t>
            </w:r>
            <w:r w:rsidR="00896882" w:rsidRPr="0071735F">
              <w:rPr>
                <w:rFonts w:ascii="Times New Roman" w:eastAsia="Calibri" w:hAnsi="Times New Roman" w:cs="Times New Roman"/>
                <w:b/>
                <w:sz w:val="24"/>
                <w:szCs w:val="24"/>
                <w:lang w:val="ro-MD" w:eastAsia="en-GB"/>
              </w:rPr>
              <w:t>substanțial</w:t>
            </w:r>
            <w:r w:rsidRPr="0071735F">
              <w:rPr>
                <w:rFonts w:ascii="Times New Roman" w:eastAsia="Calibri" w:hAnsi="Times New Roman" w:cs="Times New Roman"/>
                <w:b/>
                <w:sz w:val="24"/>
                <w:szCs w:val="24"/>
                <w:lang w:val="ro-MD" w:eastAsia="en-GB"/>
              </w:rPr>
              <w:t xml:space="preserve"> valoarea beneficiilor </w:t>
            </w:r>
            <w:r w:rsidR="0089688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costurilor estimate </w:t>
            </w:r>
            <w:r w:rsidR="00896882"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w:t>
            </w:r>
            <w:r w:rsidR="00896882" w:rsidRPr="0071735F">
              <w:rPr>
                <w:rFonts w:ascii="Times New Roman" w:eastAsia="Calibri" w:hAnsi="Times New Roman" w:cs="Times New Roman"/>
                <w:b/>
                <w:sz w:val="24"/>
                <w:szCs w:val="24"/>
                <w:lang w:val="ro-MD" w:eastAsia="en-GB"/>
              </w:rPr>
              <w:t>prezentați</w:t>
            </w:r>
            <w:r w:rsidRPr="0071735F">
              <w:rPr>
                <w:rFonts w:ascii="Times New Roman" w:eastAsia="Calibri" w:hAnsi="Times New Roman" w:cs="Times New Roman"/>
                <w:b/>
                <w:sz w:val="24"/>
                <w:szCs w:val="24"/>
                <w:lang w:val="ro-MD" w:eastAsia="en-GB"/>
              </w:rPr>
              <w:t xml:space="preserve"> presupuneri privind gradul de conformare cu prevederile proiectului a celor </w:t>
            </w:r>
            <w:r w:rsidR="00896882" w:rsidRPr="0071735F">
              <w:rPr>
                <w:rFonts w:ascii="Times New Roman" w:eastAsia="Calibri" w:hAnsi="Times New Roman" w:cs="Times New Roman"/>
                <w:b/>
                <w:sz w:val="24"/>
                <w:szCs w:val="24"/>
                <w:lang w:val="ro-MD" w:eastAsia="en-GB"/>
              </w:rPr>
              <w:t>vizați</w:t>
            </w:r>
            <w:r w:rsidRPr="0071735F">
              <w:rPr>
                <w:rFonts w:ascii="Times New Roman" w:eastAsia="Calibri" w:hAnsi="Times New Roman" w:cs="Times New Roman"/>
                <w:b/>
                <w:sz w:val="24"/>
                <w:szCs w:val="24"/>
                <w:lang w:val="ro-MD" w:eastAsia="en-GB"/>
              </w:rPr>
              <w:t xml:space="preserve"> în acesta</w:t>
            </w:r>
          </w:p>
        </w:tc>
      </w:tr>
      <w:tr w:rsidR="00B468B6" w:rsidRPr="0071735F" w14:paraId="3069E86A" w14:textId="77777777" w:rsidTr="00125D3C">
        <w:trPr>
          <w:jc w:val="center"/>
        </w:trPr>
        <w:tc>
          <w:tcPr>
            <w:tcW w:w="5000" w:type="pct"/>
            <w:gridSpan w:val="2"/>
            <w:tcMar>
              <w:top w:w="15" w:type="dxa"/>
              <w:left w:w="45" w:type="dxa"/>
              <w:bottom w:w="15" w:type="dxa"/>
              <w:right w:w="45" w:type="dxa"/>
            </w:tcMar>
          </w:tcPr>
          <w:p w14:paraId="3CF2245D" w14:textId="70ED59E7" w:rsidR="0002509A" w:rsidRPr="0071735F" w:rsidRDefault="00BE6AF5" w:rsidP="00BE6AF5">
            <w:pPr>
              <w:spacing w:after="60"/>
              <w:jc w:val="both"/>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w:t>
            </w:r>
          </w:p>
        </w:tc>
      </w:tr>
      <w:tr w:rsidR="00B468B6" w:rsidRPr="0071735F" w14:paraId="038E3FC2" w14:textId="77777777" w:rsidTr="00125D3C">
        <w:trPr>
          <w:jc w:val="center"/>
        </w:trPr>
        <w:tc>
          <w:tcPr>
            <w:tcW w:w="5000" w:type="pct"/>
            <w:gridSpan w:val="2"/>
            <w:shd w:val="clear" w:color="auto" w:fill="auto"/>
            <w:tcMar>
              <w:top w:w="15" w:type="dxa"/>
              <w:left w:w="45" w:type="dxa"/>
              <w:bottom w:w="15" w:type="dxa"/>
              <w:right w:w="45" w:type="dxa"/>
            </w:tcMar>
          </w:tcPr>
          <w:p w14:paraId="6A06022C" w14:textId="0379DB67"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d) Dacă este cazul, pentru </w:t>
            </w:r>
            <w:r w:rsidR="00DB0BF5" w:rsidRPr="0071735F">
              <w:rPr>
                <w:rFonts w:ascii="Times New Roman" w:eastAsia="Calibri" w:hAnsi="Times New Roman" w:cs="Times New Roman"/>
                <w:b/>
                <w:sz w:val="24"/>
                <w:szCs w:val="24"/>
                <w:lang w:val="ro-MD" w:eastAsia="en-GB"/>
              </w:rPr>
              <w:t>opțiunea</w:t>
            </w:r>
            <w:r w:rsidRPr="0071735F">
              <w:rPr>
                <w:rFonts w:ascii="Times New Roman" w:eastAsia="Calibri" w:hAnsi="Times New Roman" w:cs="Times New Roman"/>
                <w:b/>
                <w:sz w:val="24"/>
                <w:szCs w:val="24"/>
                <w:lang w:val="ro-MD" w:eastAsia="en-GB"/>
              </w:rPr>
              <w:t xml:space="preserve"> recomandată </w:t>
            </w:r>
            <w:r w:rsidR="00DB0BF5"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costurile de conformare pentru întreprinderi, dacă există impact </w:t>
            </w:r>
            <w:r w:rsidR="00FC43E3" w:rsidRPr="0071735F">
              <w:rPr>
                <w:rFonts w:ascii="Times New Roman" w:eastAsia="Calibri" w:hAnsi="Times New Roman" w:cs="Times New Roman"/>
                <w:b/>
                <w:sz w:val="24"/>
                <w:szCs w:val="24"/>
                <w:lang w:val="ro-MD" w:eastAsia="en-GB"/>
              </w:rPr>
              <w:t>disproporționat</w:t>
            </w:r>
            <w:r w:rsidRPr="0071735F">
              <w:rPr>
                <w:rFonts w:ascii="Times New Roman" w:eastAsia="Calibri" w:hAnsi="Times New Roman" w:cs="Times New Roman"/>
                <w:b/>
                <w:sz w:val="24"/>
                <w:szCs w:val="24"/>
                <w:lang w:val="ro-MD" w:eastAsia="en-GB"/>
              </w:rPr>
              <w:t xml:space="preserve"> care poate distorsiona </w:t>
            </w:r>
            <w:r w:rsidR="00FC43E3" w:rsidRPr="0071735F">
              <w:rPr>
                <w:rFonts w:ascii="Times New Roman" w:eastAsia="Calibri" w:hAnsi="Times New Roman" w:cs="Times New Roman"/>
                <w:b/>
                <w:sz w:val="24"/>
                <w:szCs w:val="24"/>
                <w:lang w:val="ro-MD" w:eastAsia="en-GB"/>
              </w:rPr>
              <w:t>concurența</w:t>
            </w:r>
            <w:r w:rsidRPr="0071735F">
              <w:rPr>
                <w:rFonts w:ascii="Times New Roman" w:eastAsia="Calibri" w:hAnsi="Times New Roman" w:cs="Times New Roman"/>
                <w:b/>
                <w:sz w:val="24"/>
                <w:szCs w:val="24"/>
                <w:lang w:val="ro-MD" w:eastAsia="en-GB"/>
              </w:rPr>
              <w:t xml:space="preserve"> </w:t>
            </w:r>
            <w:r w:rsidR="00FC43E3"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ce impact are </w:t>
            </w:r>
            <w:r w:rsidR="00FC43E3" w:rsidRPr="0071735F">
              <w:rPr>
                <w:rFonts w:ascii="Times New Roman" w:eastAsia="Calibri" w:hAnsi="Times New Roman" w:cs="Times New Roman"/>
                <w:b/>
                <w:sz w:val="24"/>
                <w:szCs w:val="24"/>
                <w:lang w:val="ro-MD" w:eastAsia="en-GB"/>
              </w:rPr>
              <w:t>opțiunea</w:t>
            </w:r>
            <w:r w:rsidRPr="0071735F">
              <w:rPr>
                <w:rFonts w:ascii="Times New Roman" w:eastAsia="Calibri" w:hAnsi="Times New Roman" w:cs="Times New Roman"/>
                <w:b/>
                <w:sz w:val="24"/>
                <w:szCs w:val="24"/>
                <w:lang w:val="ro-MD" w:eastAsia="en-GB"/>
              </w:rPr>
              <w:t xml:space="preserve"> asupra întreprinderilor mici </w:t>
            </w:r>
            <w:r w:rsidR="00FC43E3"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mijlocii. Se explică dacă </w:t>
            </w:r>
            <w:r w:rsidR="00FC43E3" w:rsidRPr="0071735F">
              <w:rPr>
                <w:rFonts w:ascii="Times New Roman" w:eastAsia="Calibri" w:hAnsi="Times New Roman" w:cs="Times New Roman"/>
                <w:b/>
                <w:sz w:val="24"/>
                <w:szCs w:val="24"/>
                <w:lang w:val="ro-MD" w:eastAsia="en-GB"/>
              </w:rPr>
              <w:t>sunt</w:t>
            </w:r>
            <w:r w:rsidRPr="0071735F">
              <w:rPr>
                <w:rFonts w:ascii="Times New Roman" w:eastAsia="Calibri" w:hAnsi="Times New Roman" w:cs="Times New Roman"/>
                <w:b/>
                <w:sz w:val="24"/>
                <w:szCs w:val="24"/>
                <w:lang w:val="ro-MD" w:eastAsia="en-GB"/>
              </w:rPr>
              <w:t xml:space="preserve"> propuse măsuri de diminuare a acestor impacturi</w:t>
            </w:r>
          </w:p>
        </w:tc>
      </w:tr>
      <w:tr w:rsidR="00B468B6" w:rsidRPr="0071735F" w14:paraId="7D66C374" w14:textId="77777777" w:rsidTr="00125D3C">
        <w:trPr>
          <w:jc w:val="center"/>
        </w:trPr>
        <w:tc>
          <w:tcPr>
            <w:tcW w:w="5000" w:type="pct"/>
            <w:gridSpan w:val="2"/>
            <w:tcMar>
              <w:top w:w="15" w:type="dxa"/>
              <w:left w:w="45" w:type="dxa"/>
              <w:bottom w:w="15" w:type="dxa"/>
              <w:right w:w="45" w:type="dxa"/>
            </w:tcMar>
          </w:tcPr>
          <w:p w14:paraId="60511517" w14:textId="77777777" w:rsidR="0007273A" w:rsidRPr="0071735F" w:rsidRDefault="001D0AEF" w:rsidP="00DA5F81">
            <w:pPr>
              <w:tabs>
                <w:tab w:val="left" w:pos="0"/>
              </w:tabs>
              <w:spacing w:before="120" w:after="120"/>
              <w:rPr>
                <w:rFonts w:ascii="Times New Roman" w:eastAsia="Times New Roman" w:hAnsi="Times New Roman" w:cs="Times New Roman"/>
                <w:sz w:val="24"/>
                <w:szCs w:val="24"/>
                <w:lang w:val="ro-MD" w:eastAsia="ru-RU"/>
              </w:rPr>
            </w:pPr>
            <w:r w:rsidRPr="0071735F">
              <w:rPr>
                <w:rFonts w:ascii="Times New Roman" w:eastAsia="Times New Roman" w:hAnsi="Times New Roman" w:cs="Times New Roman"/>
                <w:sz w:val="24"/>
                <w:szCs w:val="24"/>
                <w:lang w:val="ro-MD" w:eastAsia="ru-RU"/>
              </w:rPr>
              <w:t>N</w:t>
            </w:r>
            <w:r w:rsidR="008E4C9E" w:rsidRPr="0071735F">
              <w:rPr>
                <w:rFonts w:ascii="Times New Roman" w:eastAsia="Times New Roman" w:hAnsi="Times New Roman" w:cs="Times New Roman"/>
                <w:sz w:val="24"/>
                <w:szCs w:val="24"/>
                <w:lang w:val="ro-MD" w:eastAsia="ru-RU"/>
              </w:rPr>
              <w:t xml:space="preserve">u au </w:t>
            </w:r>
            <w:r w:rsidR="0002509A" w:rsidRPr="0071735F">
              <w:rPr>
                <w:rFonts w:ascii="Times New Roman" w:eastAsia="Times New Roman" w:hAnsi="Times New Roman" w:cs="Times New Roman"/>
                <w:sz w:val="24"/>
                <w:szCs w:val="24"/>
                <w:lang w:val="ro-MD" w:eastAsia="ru-RU"/>
              </w:rPr>
              <w:t xml:space="preserve">fost </w:t>
            </w:r>
            <w:r w:rsidR="008E4C9E" w:rsidRPr="0071735F">
              <w:rPr>
                <w:rFonts w:ascii="Times New Roman" w:eastAsia="Times New Roman" w:hAnsi="Times New Roman" w:cs="Times New Roman"/>
                <w:sz w:val="24"/>
                <w:szCs w:val="24"/>
                <w:lang w:val="ro-MD" w:eastAsia="ru-RU"/>
              </w:rPr>
              <w:t>identificat</w:t>
            </w:r>
            <w:r w:rsidRPr="0071735F">
              <w:rPr>
                <w:rFonts w:ascii="Times New Roman" w:eastAsia="Times New Roman" w:hAnsi="Times New Roman" w:cs="Times New Roman"/>
                <w:sz w:val="24"/>
                <w:szCs w:val="24"/>
                <w:lang w:val="ro-MD" w:eastAsia="ru-RU"/>
              </w:rPr>
              <w:t>e</w:t>
            </w:r>
            <w:r w:rsidR="008E4C9E" w:rsidRPr="0071735F">
              <w:rPr>
                <w:rFonts w:ascii="Times New Roman" w:eastAsia="Times New Roman" w:hAnsi="Times New Roman" w:cs="Times New Roman"/>
                <w:sz w:val="24"/>
                <w:szCs w:val="24"/>
                <w:lang w:val="ro-MD" w:eastAsia="ru-RU"/>
              </w:rPr>
              <w:t xml:space="preserve"> costuri de conformare.</w:t>
            </w:r>
          </w:p>
          <w:p w14:paraId="7DE120CF" w14:textId="77777777" w:rsidR="00162986" w:rsidRPr="0071735F" w:rsidRDefault="00162986" w:rsidP="00DA5F81">
            <w:pPr>
              <w:tabs>
                <w:tab w:val="left" w:pos="0"/>
              </w:tabs>
              <w:spacing w:before="120" w:after="12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 xml:space="preserve">În cazul SOEE, la operaționalizarea acesteia, </w:t>
            </w:r>
            <w:r w:rsidR="007627C8" w:rsidRPr="0071735F">
              <w:rPr>
                <w:rFonts w:ascii="Times New Roman" w:eastAsia="Times New Roman" w:hAnsi="Times New Roman" w:cs="Times New Roman"/>
                <w:sz w:val="24"/>
                <w:szCs w:val="24"/>
                <w:lang w:val="ro-MD" w:eastAsia="ro-RO"/>
              </w:rPr>
              <w:t>contribuțiile părților obligate vor fi introduse în tarifele de care beneficiază acestea.</w:t>
            </w:r>
          </w:p>
          <w:p w14:paraId="0330ACED" w14:textId="6C1E4BD2" w:rsidR="007627C8" w:rsidRPr="0071735F" w:rsidRDefault="007627C8" w:rsidP="00DA5F81">
            <w:pPr>
              <w:tabs>
                <w:tab w:val="left" w:pos="0"/>
              </w:tabs>
              <w:spacing w:before="120" w:after="120"/>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În cazul IMM/ agenților economici, proiectul de lege nu vine cu obligați</w:t>
            </w:r>
            <w:r w:rsidR="00D47D09" w:rsidRPr="0071735F">
              <w:rPr>
                <w:rFonts w:ascii="Times New Roman" w:eastAsia="Times New Roman" w:hAnsi="Times New Roman" w:cs="Times New Roman"/>
                <w:sz w:val="24"/>
                <w:szCs w:val="24"/>
                <w:lang w:val="ro-MD" w:eastAsia="ro-RO"/>
              </w:rPr>
              <w:t>i în raport cu aceștia.</w:t>
            </w:r>
          </w:p>
        </w:tc>
      </w:tr>
      <w:tr w:rsidR="00B468B6" w:rsidRPr="0071735F" w14:paraId="2A4A58A1" w14:textId="77777777" w:rsidTr="00125D3C">
        <w:trPr>
          <w:trHeight w:val="663"/>
          <w:jc w:val="center"/>
        </w:trPr>
        <w:tc>
          <w:tcPr>
            <w:tcW w:w="5000" w:type="pct"/>
            <w:gridSpan w:val="2"/>
            <w:shd w:val="clear" w:color="auto" w:fill="auto"/>
            <w:tcMar>
              <w:top w:w="15" w:type="dxa"/>
              <w:left w:w="45" w:type="dxa"/>
              <w:bottom w:w="15" w:type="dxa"/>
              <w:right w:w="45" w:type="dxa"/>
            </w:tcMar>
          </w:tcPr>
          <w:p w14:paraId="6A6544A8" w14:textId="70F8BF91"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lastRenderedPageBreak/>
              <w:t xml:space="preserve">Concluzie </w:t>
            </w:r>
          </w:p>
          <w:p w14:paraId="4A07DA31" w14:textId="4E1823CA"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e) </w:t>
            </w:r>
            <w:r w:rsidR="00FC43E3" w:rsidRPr="0071735F">
              <w:rPr>
                <w:rFonts w:ascii="Times New Roman" w:eastAsia="Calibri" w:hAnsi="Times New Roman" w:cs="Times New Roman"/>
                <w:b/>
                <w:sz w:val="24"/>
                <w:szCs w:val="24"/>
                <w:lang w:val="ro-MD" w:eastAsia="en-GB"/>
              </w:rPr>
              <w:t>Argumentați</w:t>
            </w:r>
            <w:r w:rsidRPr="0071735F">
              <w:rPr>
                <w:rFonts w:ascii="Times New Roman" w:eastAsia="Calibri" w:hAnsi="Times New Roman" w:cs="Times New Roman"/>
                <w:b/>
                <w:sz w:val="24"/>
                <w:szCs w:val="24"/>
                <w:lang w:val="ro-MD" w:eastAsia="en-GB"/>
              </w:rPr>
              <w:t xml:space="preserve"> selectarea unei </w:t>
            </w:r>
            <w:r w:rsidR="00FC43E3" w:rsidRPr="0071735F">
              <w:rPr>
                <w:rFonts w:ascii="Times New Roman" w:eastAsia="Calibri" w:hAnsi="Times New Roman" w:cs="Times New Roman"/>
                <w:b/>
                <w:sz w:val="24"/>
                <w:szCs w:val="24"/>
                <w:lang w:val="ro-MD" w:eastAsia="en-GB"/>
              </w:rPr>
              <w:t>opțiunii</w:t>
            </w:r>
            <w:r w:rsidRPr="0071735F">
              <w:rPr>
                <w:rFonts w:ascii="Times New Roman" w:eastAsia="Calibri" w:hAnsi="Times New Roman" w:cs="Times New Roman"/>
                <w:b/>
                <w:sz w:val="24"/>
                <w:szCs w:val="24"/>
                <w:lang w:val="ro-MD" w:eastAsia="en-GB"/>
              </w:rPr>
              <w:t xml:space="preserve">, în baza atingerii obiectivelor, beneficiilor </w:t>
            </w:r>
            <w:r w:rsidR="00FC43E3"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costurilor, precum </w:t>
            </w:r>
            <w:r w:rsidR="00FC43E3"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a asigurării celui mai mic impact negativ asupra celor </w:t>
            </w:r>
            <w:r w:rsidR="00FC43E3" w:rsidRPr="0071735F">
              <w:rPr>
                <w:rFonts w:ascii="Times New Roman" w:eastAsia="Calibri" w:hAnsi="Times New Roman" w:cs="Times New Roman"/>
                <w:b/>
                <w:sz w:val="24"/>
                <w:szCs w:val="24"/>
                <w:lang w:val="ro-MD" w:eastAsia="en-GB"/>
              </w:rPr>
              <w:t>afectați</w:t>
            </w:r>
          </w:p>
        </w:tc>
      </w:tr>
      <w:tr w:rsidR="00B468B6" w:rsidRPr="00D22310" w14:paraId="2EBA0EB7" w14:textId="77777777" w:rsidTr="00125D3C">
        <w:trPr>
          <w:jc w:val="center"/>
        </w:trPr>
        <w:tc>
          <w:tcPr>
            <w:tcW w:w="5000" w:type="pct"/>
            <w:gridSpan w:val="2"/>
            <w:tcMar>
              <w:top w:w="15" w:type="dxa"/>
              <w:left w:w="45" w:type="dxa"/>
              <w:bottom w:w="15" w:type="dxa"/>
              <w:right w:w="45" w:type="dxa"/>
            </w:tcMar>
          </w:tcPr>
          <w:p w14:paraId="0136CF44" w14:textId="54F8B2AD" w:rsidR="004B2EE9" w:rsidRPr="0071735F" w:rsidRDefault="00763B9C" w:rsidP="00503E8F">
            <w:pPr>
              <w:tabs>
                <w:tab w:val="left" w:pos="0"/>
                <w:tab w:val="left" w:pos="1562"/>
              </w:tabs>
              <w:suppressAutoHyphens/>
              <w:spacing w:after="6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A</w:t>
            </w:r>
            <w:r w:rsidR="005E3061" w:rsidRPr="0071735F">
              <w:rPr>
                <w:rFonts w:ascii="Times New Roman" w:eastAsia="Times New Roman" w:hAnsi="Times New Roman" w:cs="Times New Roman"/>
                <w:bCs/>
                <w:sz w:val="24"/>
                <w:szCs w:val="24"/>
                <w:lang w:val="ro-MD" w:eastAsia="ro-RO"/>
              </w:rPr>
              <w:t xml:space="preserve">doptarea proiectului de lege pentru modificarea Legii 139/2018 cu privire la eficiența energetică </w:t>
            </w:r>
            <w:r w:rsidRPr="0071735F">
              <w:rPr>
                <w:rFonts w:ascii="Times New Roman" w:eastAsia="Times New Roman" w:hAnsi="Times New Roman" w:cs="Times New Roman"/>
                <w:bCs/>
                <w:sz w:val="24"/>
                <w:szCs w:val="24"/>
                <w:lang w:val="ro-MD" w:eastAsia="ro-RO"/>
              </w:rPr>
              <w:t xml:space="preserve">este unica soluție </w:t>
            </w:r>
            <w:r w:rsidR="00843D33" w:rsidRPr="0071735F">
              <w:rPr>
                <w:rFonts w:ascii="Times New Roman" w:eastAsia="Times New Roman" w:hAnsi="Times New Roman" w:cs="Times New Roman"/>
                <w:bCs/>
                <w:sz w:val="24"/>
                <w:szCs w:val="24"/>
                <w:lang w:val="ro-MD" w:eastAsia="ro-RO"/>
              </w:rPr>
              <w:t>valabilă</w:t>
            </w:r>
            <w:r w:rsidRPr="0071735F">
              <w:rPr>
                <w:rFonts w:ascii="Times New Roman" w:eastAsia="Times New Roman" w:hAnsi="Times New Roman" w:cs="Times New Roman"/>
                <w:bCs/>
                <w:sz w:val="24"/>
                <w:szCs w:val="24"/>
                <w:lang w:val="ro-MD" w:eastAsia="ro-RO"/>
              </w:rPr>
              <w:t xml:space="preserve"> la zi </w:t>
            </w:r>
            <w:r w:rsidR="00843D33" w:rsidRPr="0071735F">
              <w:rPr>
                <w:rFonts w:ascii="Times New Roman" w:eastAsia="Times New Roman" w:hAnsi="Times New Roman" w:cs="Times New Roman"/>
                <w:bCs/>
                <w:sz w:val="24"/>
                <w:szCs w:val="24"/>
                <w:lang w:val="ro-MD" w:eastAsia="ro-RO"/>
              </w:rPr>
              <w:t xml:space="preserve">capabilă să </w:t>
            </w:r>
            <w:r w:rsidR="00503E8F" w:rsidRPr="0071735F">
              <w:rPr>
                <w:rFonts w:ascii="Times New Roman" w:eastAsia="Times New Roman" w:hAnsi="Times New Roman" w:cs="Times New Roman"/>
                <w:bCs/>
                <w:sz w:val="24"/>
                <w:szCs w:val="24"/>
                <w:lang w:val="ro-MD" w:eastAsia="ro-RO"/>
              </w:rPr>
              <w:t>alinieze c</w:t>
            </w:r>
            <w:r w:rsidR="00843D33" w:rsidRPr="0071735F">
              <w:rPr>
                <w:rFonts w:ascii="Times New Roman" w:eastAsia="Times New Roman" w:hAnsi="Times New Roman" w:cs="Times New Roman"/>
                <w:bCs/>
                <w:sz w:val="24"/>
                <w:szCs w:val="24"/>
                <w:lang w:val="ro-MD" w:eastAsia="ro-RO"/>
              </w:rPr>
              <w:t>adrul normativ național cu prevederile aquis-ului comunitar pe domeniul energetic.</w:t>
            </w:r>
            <w:r w:rsidRPr="0071735F">
              <w:rPr>
                <w:rFonts w:ascii="Times New Roman" w:eastAsia="Times New Roman" w:hAnsi="Times New Roman" w:cs="Times New Roman"/>
                <w:bCs/>
                <w:sz w:val="24"/>
                <w:szCs w:val="24"/>
                <w:lang w:val="ro-MD" w:eastAsia="ro-RO"/>
              </w:rPr>
              <w:t xml:space="preserve"> </w:t>
            </w:r>
          </w:p>
        </w:tc>
      </w:tr>
      <w:tr w:rsidR="00B468B6" w:rsidRPr="0071735F" w14:paraId="6D4B03D8" w14:textId="77777777" w:rsidTr="00125D3C">
        <w:trPr>
          <w:jc w:val="center"/>
        </w:trPr>
        <w:tc>
          <w:tcPr>
            <w:tcW w:w="5000" w:type="pct"/>
            <w:gridSpan w:val="2"/>
            <w:shd w:val="clear" w:color="auto" w:fill="auto"/>
            <w:tcMar>
              <w:top w:w="15" w:type="dxa"/>
              <w:left w:w="45" w:type="dxa"/>
              <w:bottom w:w="15" w:type="dxa"/>
              <w:right w:w="45" w:type="dxa"/>
            </w:tcMar>
          </w:tcPr>
          <w:p w14:paraId="32D34000" w14:textId="68E7C821" w:rsidR="00AD1A52" w:rsidRPr="0071735F" w:rsidRDefault="00B468B6" w:rsidP="00DA5F81">
            <w:pPr>
              <w:spacing w:before="120" w:after="120"/>
              <w:rPr>
                <w:rFonts w:ascii="Times New Roman" w:eastAsia="Times New Roman" w:hAnsi="Times New Roman" w:cs="Times New Roman"/>
                <w:b/>
                <w:sz w:val="24"/>
                <w:szCs w:val="24"/>
                <w:lang w:val="ro-MD" w:eastAsia="ru-RU"/>
              </w:rPr>
            </w:pPr>
            <w:r w:rsidRPr="0071735F">
              <w:rPr>
                <w:rFonts w:ascii="Times New Roman" w:eastAsia="Times New Roman" w:hAnsi="Times New Roman" w:cs="Times New Roman"/>
                <w:b/>
                <w:bCs/>
                <w:sz w:val="24"/>
                <w:szCs w:val="24"/>
                <w:lang w:val="ro-MD" w:eastAsia="ru-RU"/>
              </w:rPr>
              <w:t>5. IMPLEMENTAREA ȘI MONITORIZAREA</w:t>
            </w:r>
          </w:p>
        </w:tc>
      </w:tr>
      <w:tr w:rsidR="00B468B6" w:rsidRPr="00D22310" w14:paraId="248E2AE3" w14:textId="77777777" w:rsidTr="00125D3C">
        <w:trPr>
          <w:jc w:val="center"/>
        </w:trPr>
        <w:tc>
          <w:tcPr>
            <w:tcW w:w="5000" w:type="pct"/>
            <w:gridSpan w:val="2"/>
            <w:shd w:val="clear" w:color="auto" w:fill="auto"/>
            <w:tcMar>
              <w:top w:w="15" w:type="dxa"/>
              <w:left w:w="45" w:type="dxa"/>
              <w:bottom w:w="15" w:type="dxa"/>
              <w:right w:w="45" w:type="dxa"/>
            </w:tcMar>
          </w:tcPr>
          <w:p w14:paraId="71DF74BB" w14:textId="3A8DA56C"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a) </w:t>
            </w:r>
            <w:r w:rsidR="004E2CEB" w:rsidRPr="0071735F">
              <w:rPr>
                <w:rFonts w:ascii="Times New Roman" w:eastAsia="Calibri" w:hAnsi="Times New Roman" w:cs="Times New Roman"/>
                <w:b/>
                <w:sz w:val="24"/>
                <w:szCs w:val="24"/>
                <w:lang w:val="ro-MD" w:eastAsia="en-GB"/>
              </w:rPr>
              <w:t>Descrieți</w:t>
            </w:r>
            <w:r w:rsidRPr="0071735F">
              <w:rPr>
                <w:rFonts w:ascii="Times New Roman" w:eastAsia="Calibri" w:hAnsi="Times New Roman" w:cs="Times New Roman"/>
                <w:b/>
                <w:sz w:val="24"/>
                <w:szCs w:val="24"/>
                <w:lang w:val="ro-MD" w:eastAsia="en-GB"/>
              </w:rPr>
              <w:t xml:space="preserve"> cum va fi organizată implementarea </w:t>
            </w:r>
            <w:r w:rsidR="004E2CEB" w:rsidRPr="0071735F">
              <w:rPr>
                <w:rFonts w:ascii="Times New Roman" w:eastAsia="Calibri" w:hAnsi="Times New Roman" w:cs="Times New Roman"/>
                <w:b/>
                <w:sz w:val="24"/>
                <w:szCs w:val="24"/>
                <w:lang w:val="ro-MD" w:eastAsia="en-GB"/>
              </w:rPr>
              <w:t>opțiunii</w:t>
            </w:r>
            <w:r w:rsidRPr="0071735F">
              <w:rPr>
                <w:rFonts w:ascii="Times New Roman" w:eastAsia="Calibri" w:hAnsi="Times New Roman" w:cs="Times New Roman"/>
                <w:b/>
                <w:sz w:val="24"/>
                <w:szCs w:val="24"/>
                <w:lang w:val="ro-MD" w:eastAsia="en-GB"/>
              </w:rPr>
              <w:t xml:space="preserve"> recomandate, ce cadru juridic necesită a fi modificat </w:t>
            </w:r>
            <w:r w:rsidR="004E2CEB"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/sau elaborat </w:t>
            </w:r>
            <w:r w:rsidR="004E2CEB"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aprobat, ce schimbări </w:t>
            </w:r>
            <w:r w:rsidR="004E2CEB" w:rsidRPr="0071735F">
              <w:rPr>
                <w:rFonts w:ascii="Times New Roman" w:eastAsia="Calibri" w:hAnsi="Times New Roman" w:cs="Times New Roman"/>
                <w:b/>
                <w:sz w:val="24"/>
                <w:szCs w:val="24"/>
                <w:lang w:val="ro-MD" w:eastAsia="en-GB"/>
              </w:rPr>
              <w:t>instituționale</w:t>
            </w:r>
            <w:r w:rsidRPr="0071735F">
              <w:rPr>
                <w:rFonts w:ascii="Times New Roman" w:eastAsia="Calibri" w:hAnsi="Times New Roman" w:cs="Times New Roman"/>
                <w:b/>
                <w:sz w:val="24"/>
                <w:szCs w:val="24"/>
                <w:lang w:val="ro-MD" w:eastAsia="en-GB"/>
              </w:rPr>
              <w:t xml:space="preserve"> </w:t>
            </w:r>
            <w:r w:rsidR="004E2CEB" w:rsidRPr="0071735F">
              <w:rPr>
                <w:rFonts w:ascii="Times New Roman" w:eastAsia="Calibri" w:hAnsi="Times New Roman" w:cs="Times New Roman"/>
                <w:b/>
                <w:sz w:val="24"/>
                <w:szCs w:val="24"/>
                <w:lang w:val="ro-MD" w:eastAsia="en-GB"/>
              </w:rPr>
              <w:t>sunt</w:t>
            </w:r>
            <w:r w:rsidRPr="0071735F">
              <w:rPr>
                <w:rFonts w:ascii="Times New Roman" w:eastAsia="Calibri" w:hAnsi="Times New Roman" w:cs="Times New Roman"/>
                <w:b/>
                <w:sz w:val="24"/>
                <w:szCs w:val="24"/>
                <w:lang w:val="ro-MD" w:eastAsia="en-GB"/>
              </w:rPr>
              <w:t xml:space="preserve"> necesare</w:t>
            </w:r>
          </w:p>
        </w:tc>
      </w:tr>
      <w:tr w:rsidR="00B468B6" w:rsidRPr="00D22310" w14:paraId="6C6F7C21" w14:textId="77777777" w:rsidTr="00125D3C">
        <w:trPr>
          <w:jc w:val="center"/>
        </w:trPr>
        <w:tc>
          <w:tcPr>
            <w:tcW w:w="5000" w:type="pct"/>
            <w:gridSpan w:val="2"/>
            <w:tcMar>
              <w:top w:w="15" w:type="dxa"/>
              <w:left w:w="45" w:type="dxa"/>
              <w:bottom w:w="15" w:type="dxa"/>
              <w:right w:w="45" w:type="dxa"/>
            </w:tcMar>
          </w:tcPr>
          <w:p w14:paraId="39C4682E" w14:textId="7FF44CEC" w:rsidR="00D47D09" w:rsidRPr="0071735F" w:rsidRDefault="00DB0118" w:rsidP="00D153FD">
            <w:p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Implementarea Legii 139/2018 cu privire la eficiența energetică, în condițiile în care aceasta va fi modificată, va presupune următoarele eforturi</w:t>
            </w:r>
            <w:r w:rsidR="001D17A4" w:rsidRPr="0071735F">
              <w:rPr>
                <w:rFonts w:ascii="Times New Roman" w:eastAsia="Times New Roman" w:hAnsi="Times New Roman" w:cs="Times New Roman"/>
                <w:sz w:val="24"/>
                <w:szCs w:val="20"/>
                <w:lang w:val="ro-MD"/>
              </w:rPr>
              <w:t xml:space="preserve"> pentru Guvern</w:t>
            </w:r>
            <w:r w:rsidRPr="0071735F">
              <w:rPr>
                <w:rFonts w:ascii="Times New Roman" w:eastAsia="Times New Roman" w:hAnsi="Times New Roman" w:cs="Times New Roman"/>
                <w:sz w:val="24"/>
                <w:szCs w:val="20"/>
                <w:lang w:val="ro-MD"/>
              </w:rPr>
              <w:t>:</w:t>
            </w:r>
          </w:p>
          <w:p w14:paraId="6CF30155" w14:textId="4DE5C015" w:rsidR="00DB0118" w:rsidRPr="0071735F" w:rsidRDefault="001D17A4" w:rsidP="00DB0118">
            <w:pPr>
              <w:pStyle w:val="ListParagraph"/>
              <w:numPr>
                <w:ilvl w:val="0"/>
                <w:numId w:val="33"/>
              </w:num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Elaborarea și aprobarea Planului Național Integrat pentru Energie și Climă până în anul 2030</w:t>
            </w:r>
          </w:p>
          <w:p w14:paraId="0206CF82" w14:textId="5C41A774" w:rsidR="00363CC0" w:rsidRPr="0071735F" w:rsidRDefault="00363CC0" w:rsidP="00363CC0">
            <w:pPr>
              <w:spacing w:before="240" w:after="120" w:line="240" w:lineRule="auto"/>
              <w:ind w:left="360"/>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Pentru operaționalizarea instrumentului „schema de obligații de eficiență energetică”</w:t>
            </w:r>
            <w:r w:rsidR="00C03196" w:rsidRPr="0071735F">
              <w:rPr>
                <w:rFonts w:ascii="Times New Roman" w:eastAsia="Times New Roman" w:hAnsi="Times New Roman" w:cs="Times New Roman"/>
                <w:sz w:val="24"/>
                <w:szCs w:val="20"/>
                <w:lang w:val="ro-MD"/>
              </w:rPr>
              <w:t>:</w:t>
            </w:r>
          </w:p>
          <w:p w14:paraId="0E14F431" w14:textId="70FE6D07" w:rsidR="001D17A4" w:rsidRPr="0071735F" w:rsidRDefault="001D17A4" w:rsidP="00DB0118">
            <w:pPr>
              <w:pStyle w:val="ListParagraph"/>
              <w:numPr>
                <w:ilvl w:val="0"/>
                <w:numId w:val="33"/>
              </w:num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 xml:space="preserve">Elaborarea și aprobarea </w:t>
            </w:r>
            <w:r w:rsidR="00907342" w:rsidRPr="0071735F">
              <w:rPr>
                <w:rFonts w:ascii="Times New Roman" w:eastAsia="Times New Roman" w:hAnsi="Times New Roman" w:cs="Times New Roman"/>
                <w:sz w:val="24"/>
                <w:szCs w:val="20"/>
                <w:lang w:val="ro-MD"/>
              </w:rPr>
              <w:t>Metodologiei pentru determinarea contribuțiilor ce urmează a fi achitate de părțile obligate</w:t>
            </w:r>
          </w:p>
          <w:p w14:paraId="6BA99C87" w14:textId="4F8FEF86" w:rsidR="00907342" w:rsidRPr="0071735F" w:rsidRDefault="00907342" w:rsidP="00DB0118">
            <w:pPr>
              <w:pStyle w:val="ListParagraph"/>
              <w:numPr>
                <w:ilvl w:val="0"/>
                <w:numId w:val="33"/>
              </w:num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 xml:space="preserve">Elaborarea și aprobarea </w:t>
            </w:r>
            <w:r w:rsidR="00C17373" w:rsidRPr="0071735F">
              <w:rPr>
                <w:rFonts w:ascii="Times New Roman" w:eastAsia="Times New Roman" w:hAnsi="Times New Roman" w:cs="Times New Roman"/>
                <w:sz w:val="24"/>
                <w:szCs w:val="20"/>
                <w:lang w:val="ro-MD"/>
              </w:rPr>
              <w:t>Programului privind implementarea schemei de obligații în domeniul eficienței energetice</w:t>
            </w:r>
          </w:p>
          <w:p w14:paraId="28C6ED71" w14:textId="77777777" w:rsidR="00D55520" w:rsidRPr="0071735F" w:rsidRDefault="00B3555E" w:rsidP="00D153FD">
            <w:pPr>
              <w:spacing w:before="60" w:after="12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Activități de competența ANRE:</w:t>
            </w:r>
          </w:p>
          <w:p w14:paraId="09204D86" w14:textId="77777777" w:rsidR="00B3555E" w:rsidRPr="0071735F" w:rsidRDefault="00B3555E" w:rsidP="00B3555E">
            <w:pPr>
              <w:pStyle w:val="ListParagraph"/>
              <w:numPr>
                <w:ilvl w:val="0"/>
                <w:numId w:val="33"/>
              </w:numPr>
              <w:spacing w:before="60" w:after="12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 xml:space="preserve">Revizuirea Regulamentului </w:t>
            </w:r>
            <w:r w:rsidR="00702EDF" w:rsidRPr="0071735F">
              <w:rPr>
                <w:rFonts w:ascii="Times New Roman" w:eastAsia="Times New Roman" w:hAnsi="Times New Roman" w:cs="Times New Roman"/>
                <w:bCs/>
                <w:sz w:val="24"/>
                <w:szCs w:val="24"/>
                <w:lang w:val="ro-MD" w:eastAsia="ro-RO"/>
              </w:rPr>
              <w:t>privind furnizarea energiei electrice (HANRE nr. 169/2019)</w:t>
            </w:r>
          </w:p>
          <w:p w14:paraId="4483E325" w14:textId="77777777" w:rsidR="00702EDF" w:rsidRPr="0071735F" w:rsidRDefault="00533CCC" w:rsidP="00B3555E">
            <w:pPr>
              <w:pStyle w:val="ListParagraph"/>
              <w:numPr>
                <w:ilvl w:val="0"/>
                <w:numId w:val="33"/>
              </w:numPr>
              <w:spacing w:before="60" w:after="12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 xml:space="preserve">Revizuirea Regulamentului privind furnizarea </w:t>
            </w:r>
            <w:r w:rsidR="00EE0DC5" w:rsidRPr="0071735F">
              <w:rPr>
                <w:rFonts w:ascii="Times New Roman" w:eastAsia="Times New Roman" w:hAnsi="Times New Roman" w:cs="Times New Roman"/>
                <w:bCs/>
                <w:sz w:val="24"/>
                <w:szCs w:val="24"/>
                <w:lang w:val="ro-MD" w:eastAsia="ro-RO"/>
              </w:rPr>
              <w:t>gazelor naturale (HANRE nr. 113/2019)</w:t>
            </w:r>
          </w:p>
          <w:p w14:paraId="3ABD97EE" w14:textId="3944BD41" w:rsidR="00E1306C" w:rsidRPr="0071735F" w:rsidRDefault="00E1306C" w:rsidP="00E1306C">
            <w:pPr>
              <w:pStyle w:val="ListParagraph"/>
              <w:numPr>
                <w:ilvl w:val="0"/>
                <w:numId w:val="33"/>
              </w:numPr>
              <w:spacing w:before="60" w:after="12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Revizuirea Regulamentului privind furnizarea energiei termice (HANRE nr. 23/2017)</w:t>
            </w:r>
          </w:p>
          <w:p w14:paraId="7D10112A" w14:textId="5637C84D" w:rsidR="00EE0DC5" w:rsidRPr="0071735F" w:rsidRDefault="005B5009" w:rsidP="00E1306C">
            <w:pPr>
              <w:spacing w:before="60" w:after="120"/>
              <w:jc w:val="both"/>
              <w:rPr>
                <w:rFonts w:ascii="Times New Roman" w:eastAsia="Times New Roman" w:hAnsi="Times New Roman" w:cs="Times New Roman"/>
                <w:bCs/>
                <w:sz w:val="24"/>
                <w:szCs w:val="24"/>
                <w:lang w:val="ro-MD" w:eastAsia="ro-RO"/>
              </w:rPr>
            </w:pPr>
            <w:r w:rsidRPr="0071735F">
              <w:rPr>
                <w:rFonts w:ascii="Times New Roman" w:eastAsia="Times New Roman" w:hAnsi="Times New Roman" w:cs="Times New Roman"/>
                <w:bCs/>
                <w:sz w:val="24"/>
                <w:szCs w:val="24"/>
                <w:lang w:val="ro-MD" w:eastAsia="ro-RO"/>
              </w:rPr>
              <w:t>Implementarea prevederilor Legii 139/ 2018 nu necesită c</w:t>
            </w:r>
            <w:r w:rsidR="00E1306C" w:rsidRPr="0071735F">
              <w:rPr>
                <w:rFonts w:ascii="Times New Roman" w:eastAsia="Times New Roman" w:hAnsi="Times New Roman" w:cs="Times New Roman"/>
                <w:bCs/>
                <w:sz w:val="24"/>
                <w:szCs w:val="24"/>
                <w:lang w:val="ro-MD" w:eastAsia="ro-RO"/>
              </w:rPr>
              <w:t>areva schimbări instituționale</w:t>
            </w:r>
            <w:r w:rsidRPr="0071735F">
              <w:rPr>
                <w:rFonts w:ascii="Times New Roman" w:eastAsia="Times New Roman" w:hAnsi="Times New Roman" w:cs="Times New Roman"/>
                <w:bCs/>
                <w:sz w:val="24"/>
                <w:szCs w:val="24"/>
                <w:lang w:val="ro-MD" w:eastAsia="ro-RO"/>
              </w:rPr>
              <w:t xml:space="preserve">. </w:t>
            </w:r>
          </w:p>
        </w:tc>
      </w:tr>
      <w:tr w:rsidR="00B468B6" w:rsidRPr="00D22310" w14:paraId="0ECD843E" w14:textId="77777777" w:rsidTr="00125D3C">
        <w:trPr>
          <w:jc w:val="center"/>
        </w:trPr>
        <w:tc>
          <w:tcPr>
            <w:tcW w:w="5000" w:type="pct"/>
            <w:gridSpan w:val="2"/>
            <w:shd w:val="clear" w:color="auto" w:fill="auto"/>
            <w:tcMar>
              <w:top w:w="15" w:type="dxa"/>
              <w:left w:w="45" w:type="dxa"/>
              <w:bottom w:w="15" w:type="dxa"/>
              <w:right w:w="45" w:type="dxa"/>
            </w:tcMar>
          </w:tcPr>
          <w:p w14:paraId="0BF9F235" w14:textId="1E81E017"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b) </w:t>
            </w:r>
            <w:r w:rsidR="00901D44" w:rsidRPr="0071735F">
              <w:rPr>
                <w:rFonts w:ascii="Times New Roman" w:eastAsia="Calibri" w:hAnsi="Times New Roman" w:cs="Times New Roman"/>
                <w:b/>
                <w:sz w:val="24"/>
                <w:szCs w:val="24"/>
                <w:lang w:val="ro-MD" w:eastAsia="en-GB"/>
              </w:rPr>
              <w:t>Indicați</w:t>
            </w:r>
            <w:r w:rsidRPr="0071735F">
              <w:rPr>
                <w:rFonts w:ascii="Times New Roman" w:eastAsia="Calibri" w:hAnsi="Times New Roman" w:cs="Times New Roman"/>
                <w:b/>
                <w:sz w:val="24"/>
                <w:szCs w:val="24"/>
                <w:lang w:val="ro-MD" w:eastAsia="en-GB"/>
              </w:rPr>
              <w:t xml:space="preserve"> clar indicatorii de </w:t>
            </w:r>
            <w:r w:rsidR="00901D44" w:rsidRPr="0071735F">
              <w:rPr>
                <w:rFonts w:ascii="Times New Roman" w:eastAsia="Calibri" w:hAnsi="Times New Roman" w:cs="Times New Roman"/>
                <w:b/>
                <w:sz w:val="24"/>
                <w:szCs w:val="24"/>
                <w:lang w:val="ro-MD" w:eastAsia="en-GB"/>
              </w:rPr>
              <w:t>performanță</w:t>
            </w:r>
            <w:r w:rsidRPr="0071735F">
              <w:rPr>
                <w:rFonts w:ascii="Times New Roman" w:eastAsia="Calibri" w:hAnsi="Times New Roman" w:cs="Times New Roman"/>
                <w:b/>
                <w:sz w:val="24"/>
                <w:szCs w:val="24"/>
                <w:lang w:val="ro-MD" w:eastAsia="en-GB"/>
              </w:rPr>
              <w:t xml:space="preserve"> în baza cărora se va efectua monitorizarea</w:t>
            </w:r>
          </w:p>
        </w:tc>
      </w:tr>
      <w:tr w:rsidR="00B468B6" w:rsidRPr="00D22310" w14:paraId="0D9CC402" w14:textId="77777777" w:rsidTr="00125D3C">
        <w:trPr>
          <w:jc w:val="center"/>
        </w:trPr>
        <w:tc>
          <w:tcPr>
            <w:tcW w:w="5000" w:type="pct"/>
            <w:gridSpan w:val="2"/>
            <w:tcMar>
              <w:top w:w="15" w:type="dxa"/>
              <w:left w:w="45" w:type="dxa"/>
              <w:bottom w:w="15" w:type="dxa"/>
              <w:right w:w="45" w:type="dxa"/>
            </w:tcMar>
          </w:tcPr>
          <w:p w14:paraId="0E4B704E" w14:textId="1FB400C0" w:rsidR="005B5009" w:rsidRPr="0071735F" w:rsidRDefault="003B1E64" w:rsidP="00B64F85">
            <w:pPr>
              <w:spacing w:before="120" w:after="120"/>
              <w:jc w:val="both"/>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Indicatorii de performanță sunt:</w:t>
            </w:r>
          </w:p>
          <w:p w14:paraId="10D380A0" w14:textId="77777777" w:rsidR="00186F26" w:rsidRPr="0071735F" w:rsidRDefault="005B5009" w:rsidP="003B1E64">
            <w:pPr>
              <w:pStyle w:val="ListParagraph"/>
              <w:numPr>
                <w:ilvl w:val="0"/>
                <w:numId w:val="33"/>
              </w:numPr>
              <w:spacing w:before="120" w:after="120"/>
              <w:jc w:val="both"/>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PNIEC până în a</w:t>
            </w:r>
            <w:r w:rsidR="003B1E64" w:rsidRPr="0071735F">
              <w:rPr>
                <w:rFonts w:ascii="Times New Roman" w:eastAsia="Times New Roman" w:hAnsi="Times New Roman" w:cs="Times New Roman"/>
                <w:sz w:val="24"/>
                <w:szCs w:val="24"/>
                <w:lang w:val="ro-MD" w:eastAsia="ro-RO"/>
              </w:rPr>
              <w:t>nul 2030 aprobat până la 30 iunie 2024</w:t>
            </w:r>
          </w:p>
          <w:p w14:paraId="3A0A8090" w14:textId="5B6DA520" w:rsidR="006E5A02" w:rsidRPr="0071735F" w:rsidRDefault="006E5A02" w:rsidP="00A1601D">
            <w:pPr>
              <w:pStyle w:val="ListParagraph"/>
              <w:numPr>
                <w:ilvl w:val="0"/>
                <w:numId w:val="33"/>
              </w:num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Metodologia pentru determinarea contribuțiilor ce urmează a fi achitate de părțile obligate și Programul privind implementarea schemei de obligații în domeniul eficienței energetice aprobate, în termenul oferit de proiectul de lege</w:t>
            </w:r>
          </w:p>
          <w:p w14:paraId="7D56FFB5" w14:textId="577CB8D8" w:rsidR="003B1E64" w:rsidRPr="0071735F" w:rsidRDefault="006E5A02" w:rsidP="00C9052A">
            <w:pPr>
              <w:pStyle w:val="ListParagraph"/>
              <w:numPr>
                <w:ilvl w:val="0"/>
                <w:numId w:val="33"/>
              </w:numPr>
              <w:spacing w:before="240" w:after="120" w:line="240" w:lineRule="auto"/>
              <w:jc w:val="both"/>
              <w:rPr>
                <w:rFonts w:ascii="Times New Roman" w:eastAsia="Times New Roman" w:hAnsi="Times New Roman" w:cs="Times New Roman"/>
                <w:sz w:val="24"/>
                <w:szCs w:val="20"/>
                <w:lang w:val="ro-MD"/>
              </w:rPr>
            </w:pPr>
            <w:r w:rsidRPr="0071735F">
              <w:rPr>
                <w:rFonts w:ascii="Times New Roman" w:eastAsia="Times New Roman" w:hAnsi="Times New Roman" w:cs="Times New Roman"/>
                <w:sz w:val="24"/>
                <w:szCs w:val="20"/>
                <w:lang w:val="ro-MD"/>
              </w:rPr>
              <w:t>Regulamentele ANRE nr. 169/2019, nr. 113/2019 și nr. 23/2017</w:t>
            </w:r>
            <w:r w:rsidR="00C9052A" w:rsidRPr="0071735F">
              <w:rPr>
                <w:rFonts w:ascii="Times New Roman" w:eastAsia="Times New Roman" w:hAnsi="Times New Roman" w:cs="Times New Roman"/>
                <w:sz w:val="24"/>
                <w:szCs w:val="20"/>
                <w:lang w:val="ro-MD"/>
              </w:rPr>
              <w:t>, revizuite în termenii oferiți de proiectul de lege</w:t>
            </w:r>
          </w:p>
        </w:tc>
      </w:tr>
      <w:tr w:rsidR="00B468B6" w:rsidRPr="0071735F" w14:paraId="07802A95" w14:textId="77777777" w:rsidTr="00125D3C">
        <w:trPr>
          <w:jc w:val="center"/>
        </w:trPr>
        <w:tc>
          <w:tcPr>
            <w:tcW w:w="5000" w:type="pct"/>
            <w:gridSpan w:val="2"/>
            <w:shd w:val="clear" w:color="auto" w:fill="auto"/>
            <w:tcMar>
              <w:top w:w="15" w:type="dxa"/>
              <w:left w:w="45" w:type="dxa"/>
              <w:bottom w:w="15" w:type="dxa"/>
              <w:right w:w="45" w:type="dxa"/>
            </w:tcMar>
          </w:tcPr>
          <w:p w14:paraId="521840F0" w14:textId="3C5A6319"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c) </w:t>
            </w:r>
            <w:r w:rsidR="005E0B39"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peste cît timp vor fi </w:t>
            </w:r>
            <w:r w:rsidR="005E0B39" w:rsidRPr="0071735F">
              <w:rPr>
                <w:rFonts w:ascii="Times New Roman" w:eastAsia="Calibri" w:hAnsi="Times New Roman" w:cs="Times New Roman"/>
                <w:b/>
                <w:sz w:val="24"/>
                <w:szCs w:val="24"/>
                <w:lang w:val="ro-MD" w:eastAsia="en-GB"/>
              </w:rPr>
              <w:t>resimțite</w:t>
            </w:r>
            <w:r w:rsidRPr="0071735F">
              <w:rPr>
                <w:rFonts w:ascii="Times New Roman" w:eastAsia="Calibri" w:hAnsi="Times New Roman" w:cs="Times New Roman"/>
                <w:b/>
                <w:sz w:val="24"/>
                <w:szCs w:val="24"/>
                <w:lang w:val="ro-MD" w:eastAsia="en-GB"/>
              </w:rPr>
              <w:t xml:space="preserve"> impacturile estimate </w:t>
            </w:r>
            <w:r w:rsidR="005E0B39"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este necesară evaluarea </w:t>
            </w:r>
            <w:r w:rsidR="005E0B39" w:rsidRPr="0071735F">
              <w:rPr>
                <w:rFonts w:ascii="Times New Roman" w:eastAsia="Calibri" w:hAnsi="Times New Roman" w:cs="Times New Roman"/>
                <w:b/>
                <w:sz w:val="24"/>
                <w:szCs w:val="24"/>
                <w:lang w:val="ro-MD" w:eastAsia="en-GB"/>
              </w:rPr>
              <w:t>performanței</w:t>
            </w:r>
            <w:r w:rsidRPr="0071735F">
              <w:rPr>
                <w:rFonts w:ascii="Times New Roman" w:eastAsia="Calibri" w:hAnsi="Times New Roman" w:cs="Times New Roman"/>
                <w:b/>
                <w:sz w:val="24"/>
                <w:szCs w:val="24"/>
                <w:lang w:val="ro-MD" w:eastAsia="en-GB"/>
              </w:rPr>
              <w:t xml:space="preserve"> actului normativ propus. </w:t>
            </w:r>
            <w:r w:rsidR="005E0B39" w:rsidRPr="0071735F">
              <w:rPr>
                <w:rFonts w:ascii="Times New Roman" w:eastAsia="Calibri" w:hAnsi="Times New Roman" w:cs="Times New Roman"/>
                <w:b/>
                <w:sz w:val="24"/>
                <w:szCs w:val="24"/>
                <w:lang w:val="ro-MD" w:eastAsia="en-GB"/>
              </w:rPr>
              <w:t>Explicați</w:t>
            </w:r>
            <w:r w:rsidRPr="0071735F">
              <w:rPr>
                <w:rFonts w:ascii="Times New Roman" w:eastAsia="Calibri" w:hAnsi="Times New Roman" w:cs="Times New Roman"/>
                <w:b/>
                <w:sz w:val="24"/>
                <w:szCs w:val="24"/>
                <w:lang w:val="ro-MD" w:eastAsia="en-GB"/>
              </w:rPr>
              <w:t xml:space="preserve"> cum va fi monitorizată </w:t>
            </w:r>
            <w:r w:rsidR="005E0B39"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 evaluată </w:t>
            </w:r>
            <w:r w:rsidR="005E0B39" w:rsidRPr="0071735F">
              <w:rPr>
                <w:rFonts w:ascii="Times New Roman" w:eastAsia="Calibri" w:hAnsi="Times New Roman" w:cs="Times New Roman"/>
                <w:b/>
                <w:sz w:val="24"/>
                <w:szCs w:val="24"/>
                <w:lang w:val="ro-MD" w:eastAsia="en-GB"/>
              </w:rPr>
              <w:t>opțiunea</w:t>
            </w:r>
          </w:p>
        </w:tc>
      </w:tr>
      <w:tr w:rsidR="00B468B6" w:rsidRPr="00D22310" w14:paraId="00F82317" w14:textId="77777777" w:rsidTr="00125D3C">
        <w:trPr>
          <w:jc w:val="center"/>
        </w:trPr>
        <w:tc>
          <w:tcPr>
            <w:tcW w:w="5000" w:type="pct"/>
            <w:gridSpan w:val="2"/>
            <w:tcMar>
              <w:top w:w="15" w:type="dxa"/>
              <w:left w:w="45" w:type="dxa"/>
              <w:bottom w:w="15" w:type="dxa"/>
              <w:right w:w="45" w:type="dxa"/>
            </w:tcMar>
          </w:tcPr>
          <w:p w14:paraId="5CFE6826" w14:textId="77777777" w:rsidR="00B23EA9" w:rsidRPr="0071735F" w:rsidRDefault="00AD2A45" w:rsidP="00C030F8">
            <w:pPr>
              <w:spacing w:before="120" w:after="120"/>
              <w:jc w:val="both"/>
              <w:rPr>
                <w:rFonts w:ascii="Times New Roman" w:hAnsi="Times New Roman" w:cs="Times New Roman"/>
                <w:sz w:val="24"/>
                <w:szCs w:val="24"/>
                <w:lang w:val="ro-MD"/>
              </w:rPr>
            </w:pPr>
            <w:r w:rsidRPr="0071735F">
              <w:rPr>
                <w:rFonts w:ascii="Times New Roman" w:hAnsi="Times New Roman" w:cs="Times New Roman"/>
                <w:sz w:val="24"/>
                <w:szCs w:val="24"/>
                <w:lang w:val="ro-MD"/>
              </w:rPr>
              <w:t>Trebuie distinse mai multe tipuri de activități</w:t>
            </w:r>
            <w:r w:rsidR="00170275" w:rsidRPr="0071735F">
              <w:rPr>
                <w:rFonts w:ascii="Times New Roman" w:hAnsi="Times New Roman" w:cs="Times New Roman"/>
                <w:sz w:val="24"/>
                <w:szCs w:val="24"/>
                <w:lang w:val="ro-MD"/>
              </w:rPr>
              <w:t xml:space="preserve"> care ar putea fi resimțite de consumatori, și anume:</w:t>
            </w:r>
          </w:p>
          <w:p w14:paraId="2725705A" w14:textId="77777777" w:rsidR="00170275" w:rsidRPr="0071735F" w:rsidRDefault="00170275" w:rsidP="00F1179E">
            <w:pPr>
              <w:spacing w:before="120" w:after="120"/>
              <w:ind w:left="490"/>
              <w:jc w:val="both"/>
              <w:rPr>
                <w:rFonts w:ascii="Times New Roman" w:hAnsi="Times New Roman" w:cs="Times New Roman"/>
                <w:sz w:val="24"/>
                <w:szCs w:val="24"/>
                <w:lang w:val="ro-MD"/>
              </w:rPr>
            </w:pPr>
            <w:r w:rsidRPr="0071735F">
              <w:rPr>
                <w:rFonts w:ascii="Times New Roman" w:hAnsi="Times New Roman" w:cs="Times New Roman"/>
                <w:sz w:val="24"/>
                <w:szCs w:val="24"/>
                <w:lang w:val="ro-MD"/>
              </w:rPr>
              <w:t>1. măsuri ce vizează revizuirea unor reglementări ale ANRE – impactul va fi resimțit imediat după aprobarea amendamentelor la acestea</w:t>
            </w:r>
          </w:p>
          <w:p w14:paraId="6B915C5A" w14:textId="77777777" w:rsidR="00170275" w:rsidRPr="0071735F" w:rsidRDefault="00170275" w:rsidP="00F1179E">
            <w:pPr>
              <w:spacing w:before="120" w:after="120"/>
              <w:ind w:left="490"/>
              <w:jc w:val="both"/>
              <w:rPr>
                <w:rFonts w:ascii="Times New Roman" w:hAnsi="Times New Roman" w:cs="Times New Roman"/>
                <w:sz w:val="24"/>
                <w:szCs w:val="24"/>
                <w:lang w:val="ro-MD"/>
              </w:rPr>
            </w:pPr>
            <w:r w:rsidRPr="0071735F">
              <w:rPr>
                <w:rFonts w:ascii="Times New Roman" w:hAnsi="Times New Roman" w:cs="Times New Roman"/>
                <w:sz w:val="24"/>
                <w:szCs w:val="24"/>
                <w:lang w:val="ro-MD"/>
              </w:rPr>
              <w:lastRenderedPageBreak/>
              <w:t xml:space="preserve">2. măsuri ce vizează aprobarea PNIEC – impactul va fi resimțit după </w:t>
            </w:r>
            <w:r w:rsidR="00F34219" w:rsidRPr="0071735F">
              <w:rPr>
                <w:rFonts w:ascii="Times New Roman" w:hAnsi="Times New Roman" w:cs="Times New Roman"/>
                <w:sz w:val="24"/>
                <w:szCs w:val="24"/>
                <w:lang w:val="ro-MD"/>
              </w:rPr>
              <w:t xml:space="preserve">implementarea măsurilor incluse în PNIEC. Măsurile de eficiență energetică </w:t>
            </w:r>
            <w:r w:rsidR="003849A2" w:rsidRPr="0071735F">
              <w:rPr>
                <w:rFonts w:ascii="Times New Roman" w:hAnsi="Times New Roman" w:cs="Times New Roman"/>
                <w:sz w:val="24"/>
                <w:szCs w:val="24"/>
                <w:lang w:val="ro-MD"/>
              </w:rPr>
              <w:t>au un impact imediat, după finalizarea lucrărilor, asupra confortului termic.</w:t>
            </w:r>
          </w:p>
          <w:p w14:paraId="5AEE3F1D" w14:textId="0A897303" w:rsidR="003849A2" w:rsidRPr="0071735F" w:rsidRDefault="003849A2" w:rsidP="00F1179E">
            <w:pPr>
              <w:spacing w:before="120" w:after="120"/>
              <w:ind w:left="490"/>
              <w:jc w:val="both"/>
              <w:rPr>
                <w:rFonts w:ascii="Times New Roman" w:hAnsi="Times New Roman" w:cs="Times New Roman"/>
                <w:sz w:val="24"/>
                <w:szCs w:val="24"/>
                <w:lang w:val="ro-MD"/>
              </w:rPr>
            </w:pPr>
            <w:r w:rsidRPr="0071735F">
              <w:rPr>
                <w:rFonts w:ascii="Times New Roman" w:hAnsi="Times New Roman" w:cs="Times New Roman"/>
                <w:sz w:val="24"/>
                <w:szCs w:val="24"/>
                <w:lang w:val="ro-MD"/>
              </w:rPr>
              <w:t xml:space="preserve">3. măsuri ce vizează </w:t>
            </w:r>
            <w:r w:rsidR="0006417E" w:rsidRPr="0071735F">
              <w:rPr>
                <w:rFonts w:ascii="Times New Roman" w:hAnsi="Times New Roman" w:cs="Times New Roman"/>
                <w:sz w:val="24"/>
                <w:szCs w:val="24"/>
                <w:lang w:val="ro-MD"/>
              </w:rPr>
              <w:t xml:space="preserve">implementarea obligației referitoare la </w:t>
            </w:r>
            <w:r w:rsidR="00F1179E" w:rsidRPr="0071735F">
              <w:rPr>
                <w:rFonts w:ascii="Times New Roman" w:hAnsi="Times New Roman" w:cs="Times New Roman"/>
                <w:sz w:val="24"/>
                <w:szCs w:val="24"/>
                <w:lang w:val="ro-MD"/>
              </w:rPr>
              <w:t>economiile de energie – întrucât economiile de energie sunt generate de intervenții</w:t>
            </w:r>
            <w:r w:rsidR="00781051" w:rsidRPr="0071735F">
              <w:rPr>
                <w:rFonts w:ascii="Times New Roman" w:hAnsi="Times New Roman" w:cs="Times New Roman"/>
                <w:sz w:val="24"/>
                <w:szCs w:val="24"/>
                <w:lang w:val="ro-MD"/>
              </w:rPr>
              <w:t xml:space="preserve"> </w:t>
            </w:r>
            <w:r w:rsidR="007F3FD8" w:rsidRPr="0071735F">
              <w:rPr>
                <w:rFonts w:ascii="Times New Roman" w:hAnsi="Times New Roman" w:cs="Times New Roman"/>
                <w:sz w:val="24"/>
                <w:szCs w:val="24"/>
                <w:lang w:val="ro-MD"/>
              </w:rPr>
              <w:t xml:space="preserve">de eficiență energetică, comentariul de mai sus este valabil și aici. </w:t>
            </w:r>
          </w:p>
        </w:tc>
      </w:tr>
      <w:tr w:rsidR="00B468B6" w:rsidRPr="0071735F" w14:paraId="675AE73D" w14:textId="77777777" w:rsidTr="00125D3C">
        <w:trPr>
          <w:jc w:val="center"/>
        </w:trPr>
        <w:tc>
          <w:tcPr>
            <w:tcW w:w="5000" w:type="pct"/>
            <w:gridSpan w:val="2"/>
            <w:shd w:val="clear" w:color="auto" w:fill="auto"/>
            <w:tcMar>
              <w:top w:w="15" w:type="dxa"/>
              <w:left w:w="45" w:type="dxa"/>
              <w:bottom w:w="15" w:type="dxa"/>
              <w:right w:w="45" w:type="dxa"/>
            </w:tcMar>
          </w:tcPr>
          <w:p w14:paraId="4A66DDE1" w14:textId="4A637270" w:rsidR="00AD1A52" w:rsidRPr="0071735F" w:rsidRDefault="00B468B6" w:rsidP="00DA5F81">
            <w:pPr>
              <w:spacing w:before="60" w:after="60"/>
              <w:rPr>
                <w:rFonts w:ascii="Times New Roman" w:eastAsia="Times New Roman" w:hAnsi="Times New Roman" w:cs="Times New Roman"/>
                <w:b/>
                <w:sz w:val="24"/>
                <w:szCs w:val="24"/>
                <w:lang w:val="ro-MD" w:eastAsia="ru-RU"/>
              </w:rPr>
            </w:pPr>
            <w:r w:rsidRPr="0071735F">
              <w:rPr>
                <w:rFonts w:ascii="Times New Roman" w:eastAsia="Times New Roman" w:hAnsi="Times New Roman" w:cs="Times New Roman"/>
                <w:b/>
                <w:bCs/>
                <w:sz w:val="24"/>
                <w:szCs w:val="24"/>
                <w:lang w:val="ro-MD" w:eastAsia="ru-RU"/>
              </w:rPr>
              <w:lastRenderedPageBreak/>
              <w:t>6. CONSULTAREA</w:t>
            </w:r>
          </w:p>
        </w:tc>
      </w:tr>
      <w:tr w:rsidR="00B468B6" w:rsidRPr="00D22310" w14:paraId="562922D0" w14:textId="77777777" w:rsidTr="00125D3C">
        <w:trPr>
          <w:jc w:val="center"/>
        </w:trPr>
        <w:tc>
          <w:tcPr>
            <w:tcW w:w="5000" w:type="pct"/>
            <w:gridSpan w:val="2"/>
            <w:shd w:val="clear" w:color="auto" w:fill="auto"/>
            <w:tcMar>
              <w:top w:w="15" w:type="dxa"/>
              <w:left w:w="45" w:type="dxa"/>
              <w:bottom w:w="15" w:type="dxa"/>
              <w:right w:w="45" w:type="dxa"/>
            </w:tcMar>
          </w:tcPr>
          <w:p w14:paraId="2566070C" w14:textId="50DB622A"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a) </w:t>
            </w:r>
            <w:r w:rsidR="00CB3A6A" w:rsidRPr="0071735F">
              <w:rPr>
                <w:rFonts w:ascii="Times New Roman" w:eastAsia="Calibri" w:hAnsi="Times New Roman" w:cs="Times New Roman"/>
                <w:b/>
                <w:sz w:val="24"/>
                <w:szCs w:val="24"/>
                <w:lang w:val="ro-MD" w:eastAsia="en-GB"/>
              </w:rPr>
              <w:t>Identificați</w:t>
            </w:r>
            <w:r w:rsidRPr="0071735F">
              <w:rPr>
                <w:rFonts w:ascii="Times New Roman" w:eastAsia="Calibri" w:hAnsi="Times New Roman" w:cs="Times New Roman"/>
                <w:b/>
                <w:sz w:val="24"/>
                <w:szCs w:val="24"/>
                <w:lang w:val="ro-MD" w:eastAsia="en-GB"/>
              </w:rPr>
              <w:t xml:space="preserve"> principalele </w:t>
            </w:r>
            <w:r w:rsidR="00CB3A6A" w:rsidRPr="0071735F">
              <w:rPr>
                <w:rFonts w:ascii="Times New Roman" w:eastAsia="Calibri" w:hAnsi="Times New Roman" w:cs="Times New Roman"/>
                <w:b/>
                <w:sz w:val="24"/>
                <w:szCs w:val="24"/>
                <w:lang w:val="ro-MD" w:eastAsia="en-GB"/>
              </w:rPr>
              <w:t>părți</w:t>
            </w:r>
            <w:r w:rsidRPr="0071735F">
              <w:rPr>
                <w:rFonts w:ascii="Times New Roman" w:eastAsia="Calibri" w:hAnsi="Times New Roman" w:cs="Times New Roman"/>
                <w:b/>
                <w:sz w:val="24"/>
                <w:szCs w:val="24"/>
                <w:lang w:val="ro-MD" w:eastAsia="en-GB"/>
              </w:rPr>
              <w:t xml:space="preserve"> (grupuri) interesate în </w:t>
            </w:r>
            <w:r w:rsidR="00CB3A6A" w:rsidRPr="0071735F">
              <w:rPr>
                <w:rFonts w:ascii="Times New Roman" w:eastAsia="Calibri" w:hAnsi="Times New Roman" w:cs="Times New Roman"/>
                <w:b/>
                <w:sz w:val="24"/>
                <w:szCs w:val="24"/>
                <w:lang w:val="ro-MD" w:eastAsia="en-GB"/>
              </w:rPr>
              <w:t>intervenția</w:t>
            </w:r>
            <w:r w:rsidRPr="0071735F">
              <w:rPr>
                <w:rFonts w:ascii="Times New Roman" w:eastAsia="Calibri" w:hAnsi="Times New Roman" w:cs="Times New Roman"/>
                <w:b/>
                <w:sz w:val="24"/>
                <w:szCs w:val="24"/>
                <w:lang w:val="ro-MD" w:eastAsia="en-GB"/>
              </w:rPr>
              <w:t xml:space="preserve"> propusă</w:t>
            </w:r>
          </w:p>
        </w:tc>
      </w:tr>
      <w:tr w:rsidR="00B468B6" w:rsidRPr="00D22310" w14:paraId="7C0A3F7A" w14:textId="77777777" w:rsidTr="00125D3C">
        <w:trPr>
          <w:jc w:val="center"/>
        </w:trPr>
        <w:tc>
          <w:tcPr>
            <w:tcW w:w="5000" w:type="pct"/>
            <w:gridSpan w:val="2"/>
            <w:tcMar>
              <w:top w:w="15" w:type="dxa"/>
              <w:left w:w="45" w:type="dxa"/>
              <w:bottom w:w="15" w:type="dxa"/>
              <w:right w:w="45" w:type="dxa"/>
            </w:tcMar>
          </w:tcPr>
          <w:p w14:paraId="1DA80257" w14:textId="35F3919F" w:rsidR="00B96D23" w:rsidRPr="0071735F" w:rsidRDefault="00B96D23" w:rsidP="00DA5F81">
            <w:pPr>
              <w:spacing w:before="120" w:after="120"/>
              <w:jc w:val="both"/>
              <w:rPr>
                <w:rFonts w:ascii="Times New Roman" w:eastAsia="Calibri" w:hAnsi="Times New Roman" w:cs="Times New Roman"/>
                <w:sz w:val="24"/>
                <w:szCs w:val="24"/>
                <w:lang w:val="ro-MD"/>
              </w:rPr>
            </w:pPr>
            <w:r w:rsidRPr="0071735F">
              <w:rPr>
                <w:rFonts w:ascii="Times New Roman" w:eastAsia="Calibri" w:hAnsi="Times New Roman" w:cs="Times New Roman"/>
                <w:sz w:val="24"/>
                <w:szCs w:val="24"/>
                <w:lang w:val="ro-MD"/>
              </w:rPr>
              <w:t xml:space="preserve">Autorități </w:t>
            </w:r>
            <w:r w:rsidR="00FD0997" w:rsidRPr="0071735F">
              <w:rPr>
                <w:rFonts w:ascii="Times New Roman" w:eastAsia="Calibri" w:hAnsi="Times New Roman" w:cs="Times New Roman"/>
                <w:sz w:val="24"/>
                <w:szCs w:val="24"/>
                <w:lang w:val="ro-MD"/>
              </w:rPr>
              <w:t xml:space="preserve">și instituții </w:t>
            </w:r>
            <w:r w:rsidRPr="0071735F">
              <w:rPr>
                <w:rFonts w:ascii="Times New Roman" w:eastAsia="Calibri" w:hAnsi="Times New Roman" w:cs="Times New Roman"/>
                <w:sz w:val="24"/>
                <w:szCs w:val="24"/>
                <w:lang w:val="ro-MD"/>
              </w:rPr>
              <w:t>publice</w:t>
            </w:r>
            <w:r w:rsidR="00335150" w:rsidRPr="0071735F">
              <w:rPr>
                <w:rFonts w:ascii="Times New Roman" w:eastAsia="Calibri" w:hAnsi="Times New Roman" w:cs="Times New Roman"/>
                <w:sz w:val="24"/>
                <w:szCs w:val="24"/>
                <w:lang w:val="ro-MD"/>
              </w:rPr>
              <w:t xml:space="preserve"> </w:t>
            </w:r>
          </w:p>
          <w:p w14:paraId="04E0BB1C" w14:textId="6A8DE2F7" w:rsidR="00FD0997" w:rsidRPr="0071735F" w:rsidRDefault="00FD0997" w:rsidP="00DA5F81">
            <w:pPr>
              <w:spacing w:before="120" w:after="120"/>
              <w:jc w:val="both"/>
              <w:rPr>
                <w:rFonts w:ascii="Times New Roman" w:eastAsia="Calibri" w:hAnsi="Times New Roman" w:cs="Times New Roman"/>
                <w:sz w:val="24"/>
                <w:szCs w:val="24"/>
                <w:lang w:val="ro-MD"/>
              </w:rPr>
            </w:pPr>
            <w:r w:rsidRPr="0071735F">
              <w:rPr>
                <w:rFonts w:ascii="Times New Roman" w:eastAsia="Calibri" w:hAnsi="Times New Roman" w:cs="Times New Roman"/>
                <w:sz w:val="24"/>
                <w:szCs w:val="24"/>
                <w:lang w:val="ro-MD"/>
              </w:rPr>
              <w:t>Operatori din piața energiei electrice, termice și a gazelor naturale</w:t>
            </w:r>
          </w:p>
          <w:p w14:paraId="71EA803D" w14:textId="7083A1BD" w:rsidR="00585956" w:rsidRPr="0071735F" w:rsidRDefault="004E5FDC" w:rsidP="00DA5F81">
            <w:pPr>
              <w:spacing w:before="120" w:after="120"/>
              <w:jc w:val="both"/>
              <w:rPr>
                <w:rFonts w:ascii="Times New Roman" w:eastAsia="Calibri" w:hAnsi="Times New Roman" w:cs="Times New Roman"/>
                <w:sz w:val="24"/>
                <w:szCs w:val="24"/>
                <w:lang w:val="ro-MD"/>
              </w:rPr>
            </w:pPr>
            <w:r w:rsidRPr="0071735F">
              <w:rPr>
                <w:rFonts w:ascii="Times New Roman" w:eastAsia="Calibri" w:hAnsi="Times New Roman" w:cs="Times New Roman"/>
                <w:sz w:val="24"/>
                <w:szCs w:val="24"/>
                <w:lang w:val="ro-MD"/>
              </w:rPr>
              <w:t>Asociații de consumatori</w:t>
            </w:r>
          </w:p>
          <w:p w14:paraId="54B9E735" w14:textId="54AF9F6B" w:rsidR="00FD0997" w:rsidRPr="0071735F" w:rsidRDefault="00FD0997" w:rsidP="00DA5F81">
            <w:pPr>
              <w:spacing w:before="120" w:after="120"/>
              <w:jc w:val="both"/>
              <w:rPr>
                <w:rFonts w:ascii="Times New Roman" w:eastAsia="Calibri" w:hAnsi="Times New Roman" w:cs="Times New Roman"/>
                <w:sz w:val="24"/>
                <w:szCs w:val="24"/>
                <w:lang w:val="ro-MD"/>
              </w:rPr>
            </w:pPr>
            <w:r w:rsidRPr="0071735F">
              <w:rPr>
                <w:rFonts w:ascii="Times New Roman" w:eastAsia="Calibri" w:hAnsi="Times New Roman" w:cs="Times New Roman"/>
                <w:sz w:val="24"/>
                <w:szCs w:val="24"/>
                <w:lang w:val="ro-MD"/>
              </w:rPr>
              <w:t>Asociații obștești</w:t>
            </w:r>
          </w:p>
          <w:p w14:paraId="19FF8E7E" w14:textId="30DFFB1D" w:rsidR="00B663D4" w:rsidRPr="0071735F" w:rsidRDefault="00B663D4" w:rsidP="00DA5F81">
            <w:pPr>
              <w:spacing w:before="120" w:after="120"/>
              <w:jc w:val="both"/>
              <w:rPr>
                <w:rFonts w:ascii="Times New Roman" w:eastAsia="Calibri" w:hAnsi="Times New Roman" w:cs="Times New Roman"/>
                <w:sz w:val="24"/>
                <w:szCs w:val="24"/>
                <w:lang w:val="ro-MD"/>
              </w:rPr>
            </w:pPr>
            <w:r w:rsidRPr="0071735F">
              <w:rPr>
                <w:rFonts w:ascii="Times New Roman" w:eastAsia="Calibri" w:hAnsi="Times New Roman" w:cs="Times New Roman"/>
                <w:sz w:val="24"/>
                <w:szCs w:val="24"/>
                <w:lang w:val="ro-MD"/>
              </w:rPr>
              <w:t>Consumatorii finali</w:t>
            </w:r>
          </w:p>
        </w:tc>
      </w:tr>
      <w:tr w:rsidR="00B468B6" w:rsidRPr="0071735F" w14:paraId="0EC2709B" w14:textId="77777777" w:rsidTr="00125D3C">
        <w:trPr>
          <w:jc w:val="center"/>
        </w:trPr>
        <w:tc>
          <w:tcPr>
            <w:tcW w:w="5000" w:type="pct"/>
            <w:gridSpan w:val="2"/>
            <w:shd w:val="clear" w:color="auto" w:fill="auto"/>
            <w:tcMar>
              <w:top w:w="15" w:type="dxa"/>
              <w:left w:w="45" w:type="dxa"/>
              <w:bottom w:w="15" w:type="dxa"/>
              <w:right w:w="45" w:type="dxa"/>
            </w:tcMar>
          </w:tcPr>
          <w:p w14:paraId="30322501" w14:textId="592039B6"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b) </w:t>
            </w:r>
            <w:r w:rsidR="006D1006" w:rsidRPr="0071735F">
              <w:rPr>
                <w:rFonts w:ascii="Times New Roman" w:eastAsia="Calibri" w:hAnsi="Times New Roman" w:cs="Times New Roman"/>
                <w:b/>
                <w:sz w:val="24"/>
                <w:szCs w:val="24"/>
                <w:lang w:val="ro-MD" w:eastAsia="en-GB"/>
              </w:rPr>
              <w:t>Explicați</w:t>
            </w:r>
            <w:r w:rsidRPr="0071735F">
              <w:rPr>
                <w:rFonts w:ascii="Times New Roman" w:eastAsia="Calibri" w:hAnsi="Times New Roman" w:cs="Times New Roman"/>
                <w:b/>
                <w:sz w:val="24"/>
                <w:szCs w:val="24"/>
                <w:lang w:val="ro-MD" w:eastAsia="en-GB"/>
              </w:rPr>
              <w:t xml:space="preserve"> succint cum (prin ce metode) s-a asigurat consultarea adecvată a </w:t>
            </w:r>
            <w:r w:rsidR="006D1006" w:rsidRPr="0071735F">
              <w:rPr>
                <w:rFonts w:ascii="Times New Roman" w:eastAsia="Calibri" w:hAnsi="Times New Roman" w:cs="Times New Roman"/>
                <w:b/>
                <w:sz w:val="24"/>
                <w:szCs w:val="24"/>
                <w:lang w:val="ro-MD" w:eastAsia="en-GB"/>
              </w:rPr>
              <w:t>părților</w:t>
            </w:r>
          </w:p>
        </w:tc>
      </w:tr>
      <w:tr w:rsidR="00B468B6" w:rsidRPr="00D22310" w14:paraId="01AB8395" w14:textId="77777777" w:rsidTr="00125D3C">
        <w:trPr>
          <w:jc w:val="center"/>
        </w:trPr>
        <w:tc>
          <w:tcPr>
            <w:tcW w:w="5000" w:type="pct"/>
            <w:gridSpan w:val="2"/>
            <w:tcMar>
              <w:top w:w="15" w:type="dxa"/>
              <w:left w:w="45" w:type="dxa"/>
              <w:bottom w:w="15" w:type="dxa"/>
              <w:right w:w="45" w:type="dxa"/>
            </w:tcMar>
          </w:tcPr>
          <w:p w14:paraId="0C13B4AE" w14:textId="1D2DE57C" w:rsidR="001A3FA2" w:rsidRPr="0071735F" w:rsidRDefault="001A3FA2" w:rsidP="00984550">
            <w:pPr>
              <w:spacing w:before="120" w:after="0" w:line="240" w:lineRule="auto"/>
              <w:jc w:val="both"/>
              <w:rPr>
                <w:rFonts w:ascii="Times New Roman" w:eastAsia="Times New Roman" w:hAnsi="Times New Roman" w:cs="Times New Roman"/>
                <w:sz w:val="24"/>
                <w:szCs w:val="24"/>
                <w:lang w:val="ro-MD"/>
              </w:rPr>
            </w:pPr>
            <w:r w:rsidRPr="0071735F">
              <w:rPr>
                <w:rFonts w:ascii="Times New Roman" w:eastAsia="Times New Roman" w:hAnsi="Times New Roman" w:cs="Times New Roman"/>
                <w:sz w:val="24"/>
                <w:szCs w:val="24"/>
                <w:lang w:val="ro-MD"/>
              </w:rPr>
              <w:t>Părțile vor fi consultate la o etapă ulterioară.</w:t>
            </w:r>
          </w:p>
          <w:p w14:paraId="5466AA99" w14:textId="538319AB" w:rsidR="002C7FA1" w:rsidRPr="0071735F" w:rsidRDefault="002C7FA1" w:rsidP="007C5E70">
            <w:pPr>
              <w:spacing w:before="60" w:after="120"/>
              <w:jc w:val="both"/>
              <w:rPr>
                <w:rFonts w:ascii="Times New Roman" w:eastAsia="Times New Roman" w:hAnsi="Times New Roman" w:cs="Times New Roman"/>
                <w:b/>
                <w:sz w:val="24"/>
                <w:szCs w:val="24"/>
                <w:lang w:val="ro-MD" w:eastAsia="ro-RO"/>
              </w:rPr>
            </w:pPr>
          </w:p>
        </w:tc>
      </w:tr>
      <w:tr w:rsidR="00B468B6" w:rsidRPr="00D22310" w14:paraId="5417EB33" w14:textId="77777777" w:rsidTr="00125D3C">
        <w:trPr>
          <w:jc w:val="center"/>
        </w:trPr>
        <w:tc>
          <w:tcPr>
            <w:tcW w:w="5000" w:type="pct"/>
            <w:gridSpan w:val="2"/>
            <w:shd w:val="clear" w:color="auto" w:fill="auto"/>
            <w:tcMar>
              <w:top w:w="15" w:type="dxa"/>
              <w:left w:w="45" w:type="dxa"/>
              <w:bottom w:w="15" w:type="dxa"/>
              <w:right w:w="45" w:type="dxa"/>
            </w:tcMar>
          </w:tcPr>
          <w:p w14:paraId="2BE38FFF" w14:textId="0FC6B8EA" w:rsidR="00AD1A52" w:rsidRPr="0071735F" w:rsidRDefault="00AD1A52" w:rsidP="00DA5F81">
            <w:pPr>
              <w:spacing w:before="60" w:after="60"/>
              <w:jc w:val="both"/>
              <w:rPr>
                <w:rFonts w:ascii="Times New Roman" w:eastAsia="Calibri" w:hAnsi="Times New Roman" w:cs="Times New Roman"/>
                <w:b/>
                <w:sz w:val="24"/>
                <w:szCs w:val="24"/>
                <w:lang w:val="ro-MD" w:eastAsia="en-GB"/>
              </w:rPr>
            </w:pPr>
            <w:r w:rsidRPr="0071735F">
              <w:rPr>
                <w:rFonts w:ascii="Times New Roman" w:eastAsia="Calibri" w:hAnsi="Times New Roman" w:cs="Times New Roman"/>
                <w:b/>
                <w:sz w:val="24"/>
                <w:szCs w:val="24"/>
                <w:lang w:val="ro-MD" w:eastAsia="en-GB"/>
              </w:rPr>
              <w:t xml:space="preserve">c) </w:t>
            </w:r>
            <w:r w:rsidR="006D1006" w:rsidRPr="0071735F">
              <w:rPr>
                <w:rFonts w:ascii="Times New Roman" w:eastAsia="Calibri" w:hAnsi="Times New Roman" w:cs="Times New Roman"/>
                <w:b/>
                <w:sz w:val="24"/>
                <w:szCs w:val="24"/>
                <w:lang w:val="ro-MD" w:eastAsia="en-GB"/>
              </w:rPr>
              <w:t>Expuneți</w:t>
            </w:r>
            <w:r w:rsidRPr="0071735F">
              <w:rPr>
                <w:rFonts w:ascii="Times New Roman" w:eastAsia="Calibri" w:hAnsi="Times New Roman" w:cs="Times New Roman"/>
                <w:b/>
                <w:sz w:val="24"/>
                <w:szCs w:val="24"/>
                <w:lang w:val="ro-MD" w:eastAsia="en-GB"/>
              </w:rPr>
              <w:t xml:space="preserve"> succint </w:t>
            </w:r>
            <w:r w:rsidR="006D1006" w:rsidRPr="0071735F">
              <w:rPr>
                <w:rFonts w:ascii="Times New Roman" w:eastAsia="Calibri" w:hAnsi="Times New Roman" w:cs="Times New Roman"/>
                <w:b/>
                <w:sz w:val="24"/>
                <w:szCs w:val="24"/>
                <w:lang w:val="ro-MD" w:eastAsia="en-GB"/>
              </w:rPr>
              <w:t>poziția</w:t>
            </w:r>
            <w:r w:rsidRPr="0071735F">
              <w:rPr>
                <w:rFonts w:ascii="Times New Roman" w:eastAsia="Calibri" w:hAnsi="Times New Roman" w:cs="Times New Roman"/>
                <w:b/>
                <w:sz w:val="24"/>
                <w:szCs w:val="24"/>
                <w:lang w:val="ro-MD" w:eastAsia="en-GB"/>
              </w:rPr>
              <w:t xml:space="preserve"> fiecărei </w:t>
            </w:r>
            <w:r w:rsidR="006D1006" w:rsidRPr="0071735F">
              <w:rPr>
                <w:rFonts w:ascii="Times New Roman" w:eastAsia="Calibri" w:hAnsi="Times New Roman" w:cs="Times New Roman"/>
                <w:b/>
                <w:sz w:val="24"/>
                <w:szCs w:val="24"/>
                <w:lang w:val="ro-MD" w:eastAsia="en-GB"/>
              </w:rPr>
              <w:t>entității</w:t>
            </w:r>
            <w:r w:rsidRPr="0071735F">
              <w:rPr>
                <w:rFonts w:ascii="Times New Roman" w:eastAsia="Calibri" w:hAnsi="Times New Roman" w:cs="Times New Roman"/>
                <w:b/>
                <w:sz w:val="24"/>
                <w:szCs w:val="24"/>
                <w:lang w:val="ro-MD" w:eastAsia="en-GB"/>
              </w:rPr>
              <w:t xml:space="preserve"> consultate </w:t>
            </w:r>
            <w:r w:rsidR="006D1006" w:rsidRPr="0071735F">
              <w:rPr>
                <w:rFonts w:ascii="Times New Roman" w:eastAsia="Calibri" w:hAnsi="Times New Roman" w:cs="Times New Roman"/>
                <w:b/>
                <w:sz w:val="24"/>
                <w:szCs w:val="24"/>
                <w:lang w:val="ro-MD" w:eastAsia="en-GB"/>
              </w:rPr>
              <w:t>față</w:t>
            </w:r>
            <w:r w:rsidRPr="0071735F">
              <w:rPr>
                <w:rFonts w:ascii="Times New Roman" w:eastAsia="Calibri" w:hAnsi="Times New Roman" w:cs="Times New Roman"/>
                <w:b/>
                <w:sz w:val="24"/>
                <w:szCs w:val="24"/>
                <w:lang w:val="ro-MD" w:eastAsia="en-GB"/>
              </w:rPr>
              <w:t xml:space="preserve"> de documentul de analiză a impactului </w:t>
            </w:r>
            <w:r w:rsidR="006D1006" w:rsidRPr="0071735F">
              <w:rPr>
                <w:rFonts w:ascii="Times New Roman" w:eastAsia="Calibri" w:hAnsi="Times New Roman" w:cs="Times New Roman"/>
                <w:b/>
                <w:sz w:val="24"/>
                <w:szCs w:val="24"/>
                <w:lang w:val="ro-MD" w:eastAsia="en-GB"/>
              </w:rPr>
              <w:t>și</w:t>
            </w:r>
            <w:r w:rsidRPr="0071735F">
              <w:rPr>
                <w:rFonts w:ascii="Times New Roman" w:eastAsia="Calibri" w:hAnsi="Times New Roman" w:cs="Times New Roman"/>
                <w:b/>
                <w:sz w:val="24"/>
                <w:szCs w:val="24"/>
                <w:lang w:val="ro-MD" w:eastAsia="en-GB"/>
              </w:rPr>
              <w:t xml:space="preserve">/sau </w:t>
            </w:r>
            <w:r w:rsidR="006D1006" w:rsidRPr="0071735F">
              <w:rPr>
                <w:rFonts w:ascii="Times New Roman" w:eastAsia="Calibri" w:hAnsi="Times New Roman" w:cs="Times New Roman"/>
                <w:b/>
                <w:sz w:val="24"/>
                <w:szCs w:val="24"/>
                <w:lang w:val="ro-MD" w:eastAsia="en-GB"/>
              </w:rPr>
              <w:t>intervenția</w:t>
            </w:r>
            <w:r w:rsidRPr="0071735F">
              <w:rPr>
                <w:rFonts w:ascii="Times New Roman" w:eastAsia="Calibri" w:hAnsi="Times New Roman" w:cs="Times New Roman"/>
                <w:b/>
                <w:sz w:val="24"/>
                <w:szCs w:val="24"/>
                <w:lang w:val="ro-MD" w:eastAsia="en-GB"/>
              </w:rPr>
              <w:t xml:space="preserve"> propusă (se expune </w:t>
            </w:r>
            <w:r w:rsidR="006D1006" w:rsidRPr="0071735F">
              <w:rPr>
                <w:rFonts w:ascii="Times New Roman" w:eastAsia="Calibri" w:hAnsi="Times New Roman" w:cs="Times New Roman"/>
                <w:b/>
                <w:sz w:val="24"/>
                <w:szCs w:val="24"/>
                <w:lang w:val="ro-MD" w:eastAsia="en-GB"/>
              </w:rPr>
              <w:t>poziția</w:t>
            </w:r>
            <w:r w:rsidRPr="0071735F">
              <w:rPr>
                <w:rFonts w:ascii="Times New Roman" w:eastAsia="Calibri" w:hAnsi="Times New Roman" w:cs="Times New Roman"/>
                <w:b/>
                <w:sz w:val="24"/>
                <w:szCs w:val="24"/>
                <w:lang w:val="ro-MD" w:eastAsia="en-GB"/>
              </w:rPr>
              <w:t xml:space="preserve"> a cel </w:t>
            </w:r>
            <w:r w:rsidR="006D1006" w:rsidRPr="0071735F">
              <w:rPr>
                <w:rFonts w:ascii="Times New Roman" w:eastAsia="Calibri" w:hAnsi="Times New Roman" w:cs="Times New Roman"/>
                <w:b/>
                <w:sz w:val="24"/>
                <w:szCs w:val="24"/>
                <w:lang w:val="ro-MD" w:eastAsia="en-GB"/>
              </w:rPr>
              <w:t>puțin</w:t>
            </w:r>
            <w:r w:rsidRPr="0071735F">
              <w:rPr>
                <w:rFonts w:ascii="Times New Roman" w:eastAsia="Calibri" w:hAnsi="Times New Roman" w:cs="Times New Roman"/>
                <w:b/>
                <w:sz w:val="24"/>
                <w:szCs w:val="24"/>
                <w:lang w:val="ro-MD" w:eastAsia="en-GB"/>
              </w:rPr>
              <w:t xml:space="preserve"> unui exponent din fiecare grup de interese identificat)</w:t>
            </w:r>
            <w:r w:rsidR="006D1006" w:rsidRPr="0071735F">
              <w:rPr>
                <w:rFonts w:ascii="Times New Roman" w:eastAsia="Calibri" w:hAnsi="Times New Roman" w:cs="Times New Roman"/>
                <w:b/>
                <w:sz w:val="24"/>
                <w:szCs w:val="24"/>
                <w:lang w:val="ro-MD" w:eastAsia="en-GB"/>
              </w:rPr>
              <w:t>.</w:t>
            </w:r>
          </w:p>
        </w:tc>
      </w:tr>
      <w:tr w:rsidR="00B468B6" w:rsidRPr="00D22310" w14:paraId="039ACD64" w14:textId="77777777" w:rsidTr="00125D3C">
        <w:trPr>
          <w:jc w:val="center"/>
        </w:trPr>
        <w:tc>
          <w:tcPr>
            <w:tcW w:w="5000" w:type="pct"/>
            <w:gridSpan w:val="2"/>
            <w:tcMar>
              <w:top w:w="15" w:type="dxa"/>
              <w:left w:w="45" w:type="dxa"/>
              <w:bottom w:w="15" w:type="dxa"/>
              <w:right w:w="45" w:type="dxa"/>
            </w:tcMar>
          </w:tcPr>
          <w:p w14:paraId="34A6F1E6" w14:textId="7D6A0064" w:rsidR="00AD1A52" w:rsidRPr="0071735F" w:rsidRDefault="001E03FF" w:rsidP="00212E23">
            <w:pPr>
              <w:spacing w:after="60"/>
              <w:jc w:val="both"/>
              <w:rPr>
                <w:rFonts w:ascii="Times New Roman" w:eastAsia="Times New Roman" w:hAnsi="Times New Roman" w:cs="Times New Roman"/>
                <w:sz w:val="24"/>
                <w:szCs w:val="24"/>
                <w:lang w:val="ro-MD" w:eastAsia="ro-RO"/>
              </w:rPr>
            </w:pPr>
            <w:r w:rsidRPr="0071735F">
              <w:rPr>
                <w:rFonts w:ascii="Times New Roman" w:eastAsia="Times New Roman" w:hAnsi="Times New Roman" w:cs="Times New Roman"/>
                <w:sz w:val="24"/>
                <w:szCs w:val="24"/>
                <w:lang w:val="ro-MD" w:eastAsia="ro-RO"/>
              </w:rPr>
              <w:t xml:space="preserve">Tabelul de sinteză </w:t>
            </w:r>
            <w:r w:rsidR="00EA39BA" w:rsidRPr="0071735F">
              <w:rPr>
                <w:rFonts w:ascii="Times New Roman" w:eastAsia="Times New Roman" w:hAnsi="Times New Roman" w:cs="Times New Roman"/>
                <w:sz w:val="24"/>
                <w:szCs w:val="24"/>
                <w:lang w:val="ro-MD" w:eastAsia="ro-RO"/>
              </w:rPr>
              <w:t>va fi prezentat la o etapă ulterioară.</w:t>
            </w:r>
          </w:p>
        </w:tc>
      </w:tr>
    </w:tbl>
    <w:p w14:paraId="07F0FBDA" w14:textId="77777777" w:rsidR="00B663D4" w:rsidRPr="0071735F" w:rsidRDefault="00B663D4">
      <w:pPr>
        <w:rPr>
          <w:lang w:val="ro-MD"/>
        </w:rPr>
      </w:pPr>
      <w:r w:rsidRPr="0071735F">
        <w:rPr>
          <w:lang w:val="ro-MD"/>
        </w:rPr>
        <w:br w:type="page"/>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1476"/>
        <w:gridCol w:w="1479"/>
        <w:gridCol w:w="1356"/>
      </w:tblGrid>
      <w:tr w:rsidR="00B468B6" w:rsidRPr="00D22310" w14:paraId="5FE00ACD" w14:textId="77777777" w:rsidTr="005F5039">
        <w:trPr>
          <w:trHeight w:val="245"/>
          <w:jc w:val="center"/>
        </w:trPr>
        <w:tc>
          <w:tcPr>
            <w:tcW w:w="5000" w:type="pct"/>
            <w:gridSpan w:val="4"/>
            <w:shd w:val="clear" w:color="auto" w:fill="auto"/>
            <w:tcMar>
              <w:top w:w="15" w:type="dxa"/>
              <w:left w:w="45" w:type="dxa"/>
              <w:bottom w:w="15" w:type="dxa"/>
              <w:right w:w="45" w:type="dxa"/>
            </w:tcMar>
          </w:tcPr>
          <w:p w14:paraId="176AD96A" w14:textId="36F59F67" w:rsidR="00CF3D51" w:rsidRPr="0071735F" w:rsidRDefault="00CF3D51" w:rsidP="00DA5F81">
            <w:pPr>
              <w:spacing w:after="60"/>
              <w:jc w:val="right"/>
              <w:rPr>
                <w:rFonts w:ascii="Times New Roman" w:hAnsi="Times New Roman" w:cs="Times New Roman"/>
                <w:b/>
                <w:bCs/>
                <w:sz w:val="24"/>
                <w:szCs w:val="24"/>
                <w:lang w:val="ro-MD"/>
              </w:rPr>
            </w:pPr>
            <w:r w:rsidRPr="0071735F">
              <w:rPr>
                <w:rFonts w:ascii="Times New Roman" w:hAnsi="Times New Roman" w:cs="Times New Roman"/>
                <w:b/>
                <w:bCs/>
                <w:sz w:val="24"/>
                <w:szCs w:val="24"/>
                <w:lang w:val="ro-MD"/>
              </w:rPr>
              <w:lastRenderedPageBreak/>
              <w:t>Anexă</w:t>
            </w:r>
          </w:p>
          <w:p w14:paraId="7923722C" w14:textId="77777777" w:rsidR="00CF3D51" w:rsidRPr="0071735F" w:rsidRDefault="00CF3D51" w:rsidP="00DA5F81">
            <w:pPr>
              <w:spacing w:after="60"/>
              <w:jc w:val="center"/>
              <w:rPr>
                <w:rFonts w:ascii="Times New Roman" w:hAnsi="Times New Roman" w:cs="Times New Roman"/>
                <w:b/>
                <w:bCs/>
                <w:sz w:val="24"/>
                <w:szCs w:val="24"/>
                <w:lang w:val="ro-MD"/>
              </w:rPr>
            </w:pPr>
            <w:r w:rsidRPr="0071735F">
              <w:rPr>
                <w:rFonts w:ascii="Times New Roman" w:hAnsi="Times New Roman" w:cs="Times New Roman"/>
                <w:b/>
                <w:bCs/>
                <w:sz w:val="24"/>
                <w:szCs w:val="24"/>
                <w:lang w:val="ro-MD"/>
              </w:rPr>
              <w:t>Tabel pentru identificarea impacturilor</w:t>
            </w:r>
          </w:p>
        </w:tc>
      </w:tr>
      <w:tr w:rsidR="00B468B6" w:rsidRPr="0071735F" w14:paraId="1CA7A1A4" w14:textId="77777777" w:rsidTr="005F5039">
        <w:trPr>
          <w:trHeight w:val="263"/>
          <w:jc w:val="center"/>
        </w:trPr>
        <w:tc>
          <w:tcPr>
            <w:tcW w:w="2730" w:type="pct"/>
            <w:tcMar>
              <w:top w:w="15" w:type="dxa"/>
              <w:left w:w="45" w:type="dxa"/>
              <w:bottom w:w="15" w:type="dxa"/>
              <w:right w:w="45" w:type="dxa"/>
            </w:tcMar>
          </w:tcPr>
          <w:p w14:paraId="310B4E63" w14:textId="77777777" w:rsidR="00CF3D51" w:rsidRPr="0071735F" w:rsidRDefault="00CF3D51" w:rsidP="00DA5F81">
            <w:pPr>
              <w:spacing w:after="60"/>
              <w:jc w:val="center"/>
              <w:rPr>
                <w:rFonts w:ascii="Times New Roman" w:hAnsi="Times New Roman" w:cs="Times New Roman"/>
                <w:b/>
                <w:bCs/>
                <w:sz w:val="24"/>
                <w:szCs w:val="24"/>
                <w:lang w:val="ro-MD"/>
              </w:rPr>
            </w:pPr>
            <w:r w:rsidRPr="0071735F">
              <w:rPr>
                <w:rFonts w:ascii="Times New Roman" w:hAnsi="Times New Roman" w:cs="Times New Roman"/>
                <w:b/>
                <w:bCs/>
                <w:sz w:val="24"/>
                <w:szCs w:val="24"/>
                <w:lang w:val="ro-MD"/>
              </w:rPr>
              <w:t>Categorii de impact</w:t>
            </w:r>
          </w:p>
        </w:tc>
        <w:tc>
          <w:tcPr>
            <w:tcW w:w="2270" w:type="pct"/>
            <w:gridSpan w:val="3"/>
          </w:tcPr>
          <w:p w14:paraId="19CB05BB" w14:textId="77777777" w:rsidR="00CF3D51" w:rsidRPr="0071735F" w:rsidRDefault="00CF3D51" w:rsidP="00DA5F81">
            <w:pPr>
              <w:spacing w:after="60"/>
              <w:jc w:val="center"/>
              <w:rPr>
                <w:rFonts w:ascii="Times New Roman" w:hAnsi="Times New Roman" w:cs="Times New Roman"/>
                <w:b/>
                <w:sz w:val="24"/>
                <w:szCs w:val="24"/>
                <w:lang w:val="ro-MD"/>
              </w:rPr>
            </w:pPr>
            <w:r w:rsidRPr="0071735F">
              <w:rPr>
                <w:rFonts w:ascii="Times New Roman" w:hAnsi="Times New Roman" w:cs="Times New Roman"/>
                <w:b/>
                <w:sz w:val="24"/>
                <w:szCs w:val="24"/>
                <w:lang w:val="ro-MD"/>
              </w:rPr>
              <w:t>Punctaj atribuit</w:t>
            </w:r>
          </w:p>
        </w:tc>
      </w:tr>
      <w:tr w:rsidR="00B468B6" w:rsidRPr="0071735F" w14:paraId="38528C62" w14:textId="77777777" w:rsidTr="005F5039">
        <w:trPr>
          <w:trHeight w:val="444"/>
          <w:jc w:val="center"/>
        </w:trPr>
        <w:tc>
          <w:tcPr>
            <w:tcW w:w="2730" w:type="pct"/>
            <w:tcMar>
              <w:top w:w="15" w:type="dxa"/>
              <w:left w:w="45" w:type="dxa"/>
              <w:bottom w:w="15" w:type="dxa"/>
              <w:right w:w="45" w:type="dxa"/>
            </w:tcMar>
          </w:tcPr>
          <w:p w14:paraId="65F0C7B9" w14:textId="77777777" w:rsidR="00CF3D51" w:rsidRPr="0071735F" w:rsidRDefault="00CF3D51" w:rsidP="00DA5F81">
            <w:pPr>
              <w:spacing w:after="60"/>
              <w:rPr>
                <w:rFonts w:ascii="Times New Roman" w:hAnsi="Times New Roman" w:cs="Times New Roman"/>
                <w:bCs/>
                <w:i/>
                <w:sz w:val="24"/>
                <w:szCs w:val="24"/>
                <w:lang w:val="ro-MD"/>
              </w:rPr>
            </w:pPr>
          </w:p>
        </w:tc>
        <w:tc>
          <w:tcPr>
            <w:tcW w:w="777" w:type="pct"/>
          </w:tcPr>
          <w:p w14:paraId="612AF86B" w14:textId="77777777" w:rsidR="00CF3D51" w:rsidRPr="0071735F" w:rsidRDefault="00CF3D51" w:rsidP="00DA5F81">
            <w:pPr>
              <w:spacing w:after="60"/>
              <w:rPr>
                <w:rFonts w:ascii="Times New Roman" w:hAnsi="Times New Roman" w:cs="Times New Roman"/>
                <w:i/>
                <w:lang w:val="ro-MD"/>
              </w:rPr>
            </w:pPr>
            <w:r w:rsidRPr="0071735F">
              <w:rPr>
                <w:rFonts w:ascii="Times New Roman" w:hAnsi="Times New Roman" w:cs="Times New Roman"/>
                <w:i/>
                <w:lang w:val="ro-MD"/>
              </w:rPr>
              <w:t xml:space="preserve">Opțiunea </w:t>
            </w:r>
          </w:p>
          <w:p w14:paraId="48891682" w14:textId="77777777" w:rsidR="00CF3D51" w:rsidRPr="0071735F" w:rsidRDefault="00CF3D51" w:rsidP="00DA5F81">
            <w:pPr>
              <w:spacing w:after="60"/>
              <w:rPr>
                <w:rFonts w:ascii="Times New Roman" w:hAnsi="Times New Roman" w:cs="Times New Roman"/>
                <w:i/>
                <w:lang w:val="ro-MD"/>
              </w:rPr>
            </w:pPr>
            <w:r w:rsidRPr="0071735F">
              <w:rPr>
                <w:rFonts w:ascii="Times New Roman" w:hAnsi="Times New Roman" w:cs="Times New Roman"/>
                <w:i/>
                <w:lang w:val="ro-MD"/>
              </w:rPr>
              <w:t>propusă</w:t>
            </w:r>
          </w:p>
        </w:tc>
        <w:tc>
          <w:tcPr>
            <w:tcW w:w="779" w:type="pct"/>
          </w:tcPr>
          <w:p w14:paraId="4E3159CF" w14:textId="122373DD" w:rsidR="00CF3D51" w:rsidRPr="0071735F" w:rsidRDefault="00CF3D51" w:rsidP="00DA5F81">
            <w:pPr>
              <w:spacing w:after="60"/>
              <w:rPr>
                <w:rFonts w:ascii="Times New Roman" w:hAnsi="Times New Roman" w:cs="Times New Roman"/>
                <w:bCs/>
                <w:i/>
                <w:lang w:val="ro-MD"/>
              </w:rPr>
            </w:pPr>
            <w:r w:rsidRPr="0071735F">
              <w:rPr>
                <w:rFonts w:ascii="Times New Roman" w:hAnsi="Times New Roman" w:cs="Times New Roman"/>
                <w:bCs/>
                <w:i/>
                <w:lang w:val="ro-MD"/>
              </w:rPr>
              <w:t>Opțiunea alter</w:t>
            </w:r>
            <w:r w:rsidR="002C7798" w:rsidRPr="0071735F">
              <w:rPr>
                <w:rFonts w:ascii="Times New Roman" w:hAnsi="Times New Roman" w:cs="Times New Roman"/>
                <w:bCs/>
                <w:i/>
                <w:lang w:val="ro-MD"/>
              </w:rPr>
              <w:t>n</w:t>
            </w:r>
            <w:r w:rsidRPr="0071735F">
              <w:rPr>
                <w:rFonts w:ascii="Times New Roman" w:hAnsi="Times New Roman" w:cs="Times New Roman"/>
                <w:bCs/>
                <w:i/>
                <w:lang w:val="ro-MD"/>
              </w:rPr>
              <w:t>ativă 1</w:t>
            </w:r>
          </w:p>
        </w:tc>
        <w:tc>
          <w:tcPr>
            <w:tcW w:w="714" w:type="pct"/>
          </w:tcPr>
          <w:p w14:paraId="564F3935" w14:textId="7520AF29" w:rsidR="00CF3D51" w:rsidRPr="0071735F" w:rsidRDefault="00CF3D51" w:rsidP="00DA5F81">
            <w:pPr>
              <w:spacing w:after="60"/>
              <w:rPr>
                <w:rFonts w:ascii="Times New Roman" w:hAnsi="Times New Roman" w:cs="Times New Roman"/>
                <w:bCs/>
                <w:i/>
                <w:lang w:val="ro-MD"/>
              </w:rPr>
            </w:pPr>
            <w:r w:rsidRPr="0071735F">
              <w:rPr>
                <w:rFonts w:ascii="Times New Roman" w:hAnsi="Times New Roman" w:cs="Times New Roman"/>
                <w:bCs/>
                <w:i/>
                <w:lang w:val="ro-MD"/>
              </w:rPr>
              <w:t>Opțiunea alter</w:t>
            </w:r>
            <w:r w:rsidR="002C7798" w:rsidRPr="0071735F">
              <w:rPr>
                <w:rFonts w:ascii="Times New Roman" w:hAnsi="Times New Roman" w:cs="Times New Roman"/>
                <w:bCs/>
                <w:i/>
                <w:lang w:val="ro-MD"/>
              </w:rPr>
              <w:t>n</w:t>
            </w:r>
            <w:r w:rsidRPr="0071735F">
              <w:rPr>
                <w:rFonts w:ascii="Times New Roman" w:hAnsi="Times New Roman" w:cs="Times New Roman"/>
                <w:bCs/>
                <w:i/>
                <w:lang w:val="ro-MD"/>
              </w:rPr>
              <w:t>ativă 2</w:t>
            </w:r>
          </w:p>
        </w:tc>
      </w:tr>
      <w:tr w:rsidR="00B468B6" w:rsidRPr="0071735F" w14:paraId="2630ADCA" w14:textId="77777777" w:rsidTr="00764EBD">
        <w:trPr>
          <w:trHeight w:val="512"/>
          <w:jc w:val="center"/>
        </w:trPr>
        <w:tc>
          <w:tcPr>
            <w:tcW w:w="5000" w:type="pct"/>
            <w:gridSpan w:val="4"/>
            <w:shd w:val="clear" w:color="auto" w:fill="auto"/>
            <w:tcMar>
              <w:top w:w="15" w:type="dxa"/>
              <w:left w:w="45" w:type="dxa"/>
              <w:bottom w:w="15" w:type="dxa"/>
              <w:right w:w="45" w:type="dxa"/>
            </w:tcMar>
          </w:tcPr>
          <w:p w14:paraId="51E0552E" w14:textId="77777777" w:rsidR="00CF3D51" w:rsidRPr="0071735F" w:rsidRDefault="00CF3D51" w:rsidP="00DA5F81">
            <w:pPr>
              <w:spacing w:after="60"/>
              <w:rPr>
                <w:rFonts w:ascii="Times New Roman" w:hAnsi="Times New Roman" w:cs="Times New Roman"/>
                <w:b/>
                <w:sz w:val="24"/>
                <w:szCs w:val="24"/>
                <w:lang w:val="ro-MD"/>
              </w:rPr>
            </w:pPr>
            <w:r w:rsidRPr="0071735F">
              <w:rPr>
                <w:rFonts w:ascii="Times New Roman" w:hAnsi="Times New Roman" w:cs="Times New Roman"/>
                <w:b/>
                <w:bCs/>
                <w:sz w:val="24"/>
                <w:szCs w:val="24"/>
                <w:lang w:val="ro-MD"/>
              </w:rPr>
              <w:t>Economic</w:t>
            </w:r>
          </w:p>
        </w:tc>
      </w:tr>
      <w:tr w:rsidR="00983497" w:rsidRPr="0071735F" w14:paraId="6846DEC3" w14:textId="77777777" w:rsidTr="005F5039">
        <w:trPr>
          <w:trHeight w:val="219"/>
          <w:jc w:val="center"/>
        </w:trPr>
        <w:tc>
          <w:tcPr>
            <w:tcW w:w="2730" w:type="pct"/>
            <w:tcMar>
              <w:top w:w="15" w:type="dxa"/>
              <w:left w:w="45" w:type="dxa"/>
              <w:bottom w:w="15" w:type="dxa"/>
              <w:right w:w="45" w:type="dxa"/>
            </w:tcMar>
          </w:tcPr>
          <w:p w14:paraId="3487DD53" w14:textId="77777777" w:rsidR="00983497" w:rsidRPr="0071735F" w:rsidRDefault="00983497" w:rsidP="00DA5F81">
            <w:pPr>
              <w:spacing w:after="60"/>
              <w:rPr>
                <w:rFonts w:ascii="Times New Roman" w:hAnsi="Times New Roman" w:cs="Times New Roman"/>
                <w:sz w:val="24"/>
                <w:szCs w:val="24"/>
                <w:lang w:val="ro-MD"/>
              </w:rPr>
            </w:pPr>
            <w:r w:rsidRPr="0071735F">
              <w:rPr>
                <w:rFonts w:ascii="Times New Roman" w:hAnsi="Times New Roman" w:cs="Times New Roman"/>
                <w:bCs/>
                <w:sz w:val="24"/>
                <w:szCs w:val="24"/>
                <w:lang w:val="ro-MD"/>
              </w:rPr>
              <w:t>costurile desfășurării afacerilor</w:t>
            </w:r>
          </w:p>
        </w:tc>
        <w:tc>
          <w:tcPr>
            <w:tcW w:w="777" w:type="pct"/>
          </w:tcPr>
          <w:p w14:paraId="5B4282CE" w14:textId="1C13A8EA" w:rsidR="00983497" w:rsidRPr="0071735F" w:rsidRDefault="00D25F8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21A107E2" w14:textId="16604F19" w:rsidR="00983497" w:rsidRPr="0071735F" w:rsidRDefault="00764EBD" w:rsidP="00DA5F81">
            <w:pPr>
              <w:spacing w:after="60"/>
              <w:rPr>
                <w:rFonts w:ascii="Times New Roman" w:hAnsi="Times New Roman" w:cs="Times New Roman"/>
                <w:bCs/>
                <w:sz w:val="24"/>
                <w:szCs w:val="24"/>
                <w:lang w:val="ro-MD"/>
              </w:rPr>
            </w:pPr>
            <w:r w:rsidRPr="0071735F">
              <w:rPr>
                <w:lang w:val="ro-MD"/>
              </w:rPr>
              <w:t>-</w:t>
            </w:r>
          </w:p>
        </w:tc>
        <w:tc>
          <w:tcPr>
            <w:tcW w:w="714" w:type="pct"/>
          </w:tcPr>
          <w:p w14:paraId="39B823EC" w14:textId="1D8A8DBA" w:rsidR="00983497" w:rsidRPr="0071735F" w:rsidRDefault="00983497"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983497" w:rsidRPr="0071735F" w14:paraId="504E1A22" w14:textId="77777777" w:rsidTr="005F5039">
        <w:trPr>
          <w:trHeight w:val="228"/>
          <w:jc w:val="center"/>
        </w:trPr>
        <w:tc>
          <w:tcPr>
            <w:tcW w:w="2730" w:type="pct"/>
            <w:tcMar>
              <w:top w:w="15" w:type="dxa"/>
              <w:left w:w="45" w:type="dxa"/>
              <w:bottom w:w="15" w:type="dxa"/>
              <w:right w:w="45" w:type="dxa"/>
            </w:tcMar>
          </w:tcPr>
          <w:p w14:paraId="01DCCA5E" w14:textId="77777777" w:rsidR="00983497" w:rsidRPr="0071735F" w:rsidRDefault="00983497"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povara administrativă</w:t>
            </w:r>
          </w:p>
        </w:tc>
        <w:tc>
          <w:tcPr>
            <w:tcW w:w="777" w:type="pct"/>
          </w:tcPr>
          <w:p w14:paraId="0E4C1E5D" w14:textId="12AD5085" w:rsidR="00983497" w:rsidRPr="0071735F" w:rsidRDefault="00124BB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1935A1B1" w14:textId="0040365F" w:rsidR="00983497" w:rsidRPr="0071735F" w:rsidRDefault="00764EBD" w:rsidP="00DA5F81">
            <w:pPr>
              <w:spacing w:after="60"/>
              <w:rPr>
                <w:rFonts w:ascii="Times New Roman" w:hAnsi="Times New Roman" w:cs="Times New Roman"/>
                <w:bCs/>
                <w:sz w:val="24"/>
                <w:szCs w:val="24"/>
                <w:lang w:val="ro-MD"/>
              </w:rPr>
            </w:pPr>
            <w:r w:rsidRPr="0071735F">
              <w:rPr>
                <w:lang w:val="ro-MD"/>
              </w:rPr>
              <w:t>-</w:t>
            </w:r>
          </w:p>
        </w:tc>
        <w:tc>
          <w:tcPr>
            <w:tcW w:w="714" w:type="pct"/>
          </w:tcPr>
          <w:p w14:paraId="3988CDDB" w14:textId="4C457490" w:rsidR="00983497" w:rsidRPr="0071735F" w:rsidRDefault="00983497"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7D08C166" w14:textId="77777777" w:rsidTr="005F5039">
        <w:trPr>
          <w:trHeight w:val="246"/>
          <w:jc w:val="center"/>
        </w:trPr>
        <w:tc>
          <w:tcPr>
            <w:tcW w:w="2730" w:type="pct"/>
            <w:tcMar>
              <w:top w:w="15" w:type="dxa"/>
              <w:left w:w="45" w:type="dxa"/>
              <w:bottom w:w="15" w:type="dxa"/>
              <w:right w:w="45" w:type="dxa"/>
            </w:tcMar>
          </w:tcPr>
          <w:p w14:paraId="5F4D6071" w14:textId="7777777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bCs/>
                <w:sz w:val="24"/>
                <w:szCs w:val="24"/>
                <w:lang w:val="ro-MD"/>
              </w:rPr>
              <w:t>fluxurile comerciale și investiționale</w:t>
            </w:r>
          </w:p>
        </w:tc>
        <w:tc>
          <w:tcPr>
            <w:tcW w:w="777" w:type="pct"/>
          </w:tcPr>
          <w:p w14:paraId="3679C3F1" w14:textId="11BFB392" w:rsidR="0090326C" w:rsidRPr="0071735F" w:rsidRDefault="00764EB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785EB5CF" w14:textId="265265FF"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6471CE6B" w14:textId="05CBCF6C"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CB78F0D" w14:textId="77777777" w:rsidTr="005F5039">
        <w:trPr>
          <w:trHeight w:val="237"/>
          <w:jc w:val="center"/>
        </w:trPr>
        <w:tc>
          <w:tcPr>
            <w:tcW w:w="2730" w:type="pct"/>
            <w:tcMar>
              <w:top w:w="15" w:type="dxa"/>
              <w:left w:w="45" w:type="dxa"/>
              <w:bottom w:w="15" w:type="dxa"/>
              <w:right w:w="45" w:type="dxa"/>
            </w:tcMar>
          </w:tcPr>
          <w:p w14:paraId="53F060C9" w14:textId="7777777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bCs/>
                <w:sz w:val="24"/>
                <w:szCs w:val="24"/>
                <w:lang w:val="ro-MD"/>
              </w:rPr>
              <w:t>competitivitatea afacerilor</w:t>
            </w:r>
          </w:p>
        </w:tc>
        <w:tc>
          <w:tcPr>
            <w:tcW w:w="777" w:type="pct"/>
          </w:tcPr>
          <w:p w14:paraId="47BDED3D" w14:textId="4EF41770"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5C431E6A" w14:textId="421FB231"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5F2BFDF" w14:textId="563DB14D"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699EFCC" w14:textId="77777777" w:rsidTr="005F5039">
        <w:trPr>
          <w:trHeight w:val="138"/>
          <w:jc w:val="center"/>
        </w:trPr>
        <w:tc>
          <w:tcPr>
            <w:tcW w:w="2730" w:type="pct"/>
            <w:tcMar>
              <w:top w:w="15" w:type="dxa"/>
              <w:left w:w="45" w:type="dxa"/>
              <w:bottom w:w="15" w:type="dxa"/>
              <w:right w:w="45" w:type="dxa"/>
            </w:tcMar>
          </w:tcPr>
          <w:p w14:paraId="48F7B2AC"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activitatea diferitor categorii de întreprinderi mici și mijlocii</w:t>
            </w:r>
          </w:p>
        </w:tc>
        <w:tc>
          <w:tcPr>
            <w:tcW w:w="777" w:type="pct"/>
          </w:tcPr>
          <w:p w14:paraId="618E5F3A" w14:textId="1CE440DA" w:rsidR="0090326C" w:rsidRPr="0071735F" w:rsidRDefault="00124BB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DE81FBE" w14:textId="5503D16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D16968A" w14:textId="21C6236C"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69D661C" w14:textId="77777777" w:rsidTr="005F5039">
        <w:trPr>
          <w:trHeight w:val="66"/>
          <w:jc w:val="center"/>
        </w:trPr>
        <w:tc>
          <w:tcPr>
            <w:tcW w:w="2730" w:type="pct"/>
            <w:tcMar>
              <w:top w:w="15" w:type="dxa"/>
              <w:left w:w="45" w:type="dxa"/>
              <w:bottom w:w="15" w:type="dxa"/>
              <w:right w:w="45" w:type="dxa"/>
            </w:tcMar>
          </w:tcPr>
          <w:p w14:paraId="7A911968"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concurența pe piață</w:t>
            </w:r>
          </w:p>
        </w:tc>
        <w:tc>
          <w:tcPr>
            <w:tcW w:w="777" w:type="pct"/>
          </w:tcPr>
          <w:p w14:paraId="2B88A2BE" w14:textId="38D0DBDA"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33D82585" w14:textId="0E8425F9"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062438A3" w14:textId="5A28D9E9"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803DC12" w14:textId="77777777" w:rsidTr="005F5039">
        <w:trPr>
          <w:trHeight w:val="75"/>
          <w:jc w:val="center"/>
        </w:trPr>
        <w:tc>
          <w:tcPr>
            <w:tcW w:w="2730" w:type="pct"/>
            <w:tcMar>
              <w:top w:w="15" w:type="dxa"/>
              <w:left w:w="45" w:type="dxa"/>
              <w:bottom w:w="15" w:type="dxa"/>
              <w:right w:w="45" w:type="dxa"/>
            </w:tcMar>
          </w:tcPr>
          <w:p w14:paraId="4F63100B"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activitatea de inovare și cercetare</w:t>
            </w:r>
          </w:p>
        </w:tc>
        <w:tc>
          <w:tcPr>
            <w:tcW w:w="777" w:type="pct"/>
          </w:tcPr>
          <w:p w14:paraId="266B67F7" w14:textId="6C264FCA"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01802CC6" w14:textId="7EB1699D"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D426AB1" w14:textId="33EA9DE0"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E3AE028" w14:textId="77777777" w:rsidTr="005F5039">
        <w:trPr>
          <w:trHeight w:val="53"/>
          <w:jc w:val="center"/>
        </w:trPr>
        <w:tc>
          <w:tcPr>
            <w:tcW w:w="2730" w:type="pct"/>
            <w:tcMar>
              <w:top w:w="15" w:type="dxa"/>
              <w:left w:w="45" w:type="dxa"/>
              <w:bottom w:w="15" w:type="dxa"/>
              <w:right w:w="45" w:type="dxa"/>
            </w:tcMar>
          </w:tcPr>
          <w:p w14:paraId="771E86B9"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veniturile și cheltuielile publice</w:t>
            </w:r>
          </w:p>
        </w:tc>
        <w:tc>
          <w:tcPr>
            <w:tcW w:w="777" w:type="pct"/>
          </w:tcPr>
          <w:p w14:paraId="69236A2E" w14:textId="29457B92" w:rsidR="0090326C" w:rsidRPr="0071735F" w:rsidRDefault="00124BB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0EAD5409" w14:textId="772DBA05"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A7D9145" w14:textId="10462B40"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C7D9BFB" w14:textId="77777777" w:rsidTr="005F5039">
        <w:trPr>
          <w:trHeight w:val="210"/>
          <w:jc w:val="center"/>
        </w:trPr>
        <w:tc>
          <w:tcPr>
            <w:tcW w:w="2730" w:type="pct"/>
            <w:tcMar>
              <w:top w:w="15" w:type="dxa"/>
              <w:left w:w="45" w:type="dxa"/>
              <w:bottom w:w="15" w:type="dxa"/>
              <w:right w:w="45" w:type="dxa"/>
            </w:tcMar>
          </w:tcPr>
          <w:p w14:paraId="23B61B13"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cadrul instituțional al autorităților publice</w:t>
            </w:r>
          </w:p>
        </w:tc>
        <w:tc>
          <w:tcPr>
            <w:tcW w:w="777" w:type="pct"/>
          </w:tcPr>
          <w:p w14:paraId="1C3978C1" w14:textId="0553145A"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63DA3736" w14:textId="30465A1D"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5850E2D" w14:textId="5ECFC29D"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52FF52D" w14:textId="77777777" w:rsidTr="005F5039">
        <w:trPr>
          <w:trHeight w:val="147"/>
          <w:jc w:val="center"/>
        </w:trPr>
        <w:tc>
          <w:tcPr>
            <w:tcW w:w="2730" w:type="pct"/>
            <w:tcMar>
              <w:top w:w="15" w:type="dxa"/>
              <w:left w:w="45" w:type="dxa"/>
              <w:bottom w:w="15" w:type="dxa"/>
              <w:right w:w="45" w:type="dxa"/>
            </w:tcMar>
          </w:tcPr>
          <w:p w14:paraId="19D5B88A"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alegerea, calitatea și prețurile pentru consumatori</w:t>
            </w:r>
          </w:p>
        </w:tc>
        <w:tc>
          <w:tcPr>
            <w:tcW w:w="777" w:type="pct"/>
          </w:tcPr>
          <w:p w14:paraId="37153D22" w14:textId="5EEF32F1" w:rsidR="0090326C"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4D70144" w14:textId="78CC6AE3" w:rsidR="0090326C" w:rsidRPr="0071735F" w:rsidRDefault="0090326C" w:rsidP="00DA5F81">
            <w:pPr>
              <w:spacing w:after="60"/>
              <w:rPr>
                <w:rFonts w:ascii="Times New Roman" w:hAnsi="Times New Roman" w:cs="Times New Roman"/>
                <w:bCs/>
                <w:sz w:val="24"/>
                <w:szCs w:val="24"/>
                <w:lang w:val="ro-MD"/>
              </w:rPr>
            </w:pPr>
          </w:p>
        </w:tc>
        <w:tc>
          <w:tcPr>
            <w:tcW w:w="714" w:type="pct"/>
          </w:tcPr>
          <w:p w14:paraId="07586539" w14:textId="2B57BBF4"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D90456C" w14:textId="77777777" w:rsidTr="005F5039">
        <w:trPr>
          <w:trHeight w:val="53"/>
          <w:jc w:val="center"/>
        </w:trPr>
        <w:tc>
          <w:tcPr>
            <w:tcW w:w="2730" w:type="pct"/>
            <w:tcMar>
              <w:top w:w="15" w:type="dxa"/>
              <w:left w:w="45" w:type="dxa"/>
              <w:bottom w:w="15" w:type="dxa"/>
              <w:right w:w="45" w:type="dxa"/>
            </w:tcMar>
          </w:tcPr>
          <w:p w14:paraId="7BDDA566"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bunăstarea gospodăriilor casnice și a cetățenilor</w:t>
            </w:r>
          </w:p>
        </w:tc>
        <w:tc>
          <w:tcPr>
            <w:tcW w:w="777" w:type="pct"/>
          </w:tcPr>
          <w:p w14:paraId="011F2309" w14:textId="3B2F6A30"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28FAFD1" w14:textId="780B2FDC"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7D58AA75" w14:textId="5748869E"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789BE0B8" w14:textId="77777777" w:rsidTr="005F5039">
        <w:trPr>
          <w:trHeight w:val="246"/>
          <w:jc w:val="center"/>
        </w:trPr>
        <w:tc>
          <w:tcPr>
            <w:tcW w:w="2730" w:type="pct"/>
            <w:tcMar>
              <w:top w:w="15" w:type="dxa"/>
              <w:left w:w="45" w:type="dxa"/>
              <w:bottom w:w="15" w:type="dxa"/>
              <w:right w:w="45" w:type="dxa"/>
            </w:tcMar>
          </w:tcPr>
          <w:p w14:paraId="32C42CA8"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situația social-economică în anumite regiuni</w:t>
            </w:r>
          </w:p>
        </w:tc>
        <w:tc>
          <w:tcPr>
            <w:tcW w:w="777" w:type="pct"/>
          </w:tcPr>
          <w:p w14:paraId="2AF1FC81" w14:textId="77A0AF71" w:rsidR="0090326C" w:rsidRPr="0071735F" w:rsidRDefault="00CD285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070A1AE" w14:textId="6037FD7C"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BF74843" w14:textId="5CC3ECCD"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2F20E43" w14:textId="77777777" w:rsidTr="005F5039">
        <w:trPr>
          <w:trHeight w:val="246"/>
          <w:jc w:val="center"/>
        </w:trPr>
        <w:tc>
          <w:tcPr>
            <w:tcW w:w="2730" w:type="pct"/>
            <w:tcMar>
              <w:top w:w="15" w:type="dxa"/>
              <w:left w:w="45" w:type="dxa"/>
              <w:bottom w:w="15" w:type="dxa"/>
              <w:right w:w="45" w:type="dxa"/>
            </w:tcMar>
          </w:tcPr>
          <w:p w14:paraId="0F08DD65"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situația macroeconomică</w:t>
            </w:r>
          </w:p>
        </w:tc>
        <w:tc>
          <w:tcPr>
            <w:tcW w:w="777" w:type="pct"/>
          </w:tcPr>
          <w:p w14:paraId="62222A8E" w14:textId="3258B335" w:rsidR="0090326C"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53C772A2" w14:textId="5F0473E8"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585A405" w14:textId="320FB221"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E74EB85" w14:textId="77777777" w:rsidTr="005F5039">
        <w:trPr>
          <w:trHeight w:val="237"/>
          <w:jc w:val="center"/>
        </w:trPr>
        <w:tc>
          <w:tcPr>
            <w:tcW w:w="2730" w:type="pct"/>
            <w:tcMar>
              <w:top w:w="15" w:type="dxa"/>
              <w:left w:w="45" w:type="dxa"/>
              <w:bottom w:w="15" w:type="dxa"/>
              <w:right w:w="45" w:type="dxa"/>
            </w:tcMar>
          </w:tcPr>
          <w:p w14:paraId="6B19EDE3"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alte aspecte economice</w:t>
            </w:r>
          </w:p>
        </w:tc>
        <w:tc>
          <w:tcPr>
            <w:tcW w:w="777" w:type="pct"/>
          </w:tcPr>
          <w:p w14:paraId="5CC81D97" w14:textId="1413A7DE" w:rsidR="0090326C"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04241B13" w14:textId="48DF80C5"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782F6CFC" w14:textId="77B8F868"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2814C05" w14:textId="77777777" w:rsidTr="005F5039">
        <w:trPr>
          <w:trHeight w:val="53"/>
          <w:jc w:val="center"/>
        </w:trPr>
        <w:tc>
          <w:tcPr>
            <w:tcW w:w="5000" w:type="pct"/>
            <w:gridSpan w:val="4"/>
            <w:shd w:val="clear" w:color="auto" w:fill="auto"/>
            <w:tcMar>
              <w:top w:w="15" w:type="dxa"/>
              <w:left w:w="45" w:type="dxa"/>
              <w:bottom w:w="15" w:type="dxa"/>
              <w:right w:w="45" w:type="dxa"/>
            </w:tcMar>
          </w:tcPr>
          <w:p w14:paraId="767C1D69" w14:textId="77777777" w:rsidR="0090326C" w:rsidRPr="0071735F" w:rsidRDefault="0090326C" w:rsidP="00DA5F81">
            <w:pPr>
              <w:spacing w:after="60"/>
              <w:rPr>
                <w:rFonts w:ascii="Times New Roman" w:hAnsi="Times New Roman" w:cs="Times New Roman"/>
                <w:b/>
                <w:sz w:val="24"/>
                <w:szCs w:val="24"/>
                <w:lang w:val="ro-MD"/>
              </w:rPr>
            </w:pPr>
            <w:r w:rsidRPr="0071735F">
              <w:rPr>
                <w:rFonts w:ascii="Times New Roman" w:hAnsi="Times New Roman" w:cs="Times New Roman"/>
                <w:b/>
                <w:bCs/>
                <w:sz w:val="24"/>
                <w:szCs w:val="24"/>
                <w:lang w:val="ro-MD"/>
              </w:rPr>
              <w:t>Social</w:t>
            </w:r>
          </w:p>
        </w:tc>
      </w:tr>
      <w:tr w:rsidR="00B468B6" w:rsidRPr="0071735F" w14:paraId="5501C712" w14:textId="77777777" w:rsidTr="005F5039">
        <w:trPr>
          <w:trHeight w:val="156"/>
          <w:jc w:val="center"/>
        </w:trPr>
        <w:tc>
          <w:tcPr>
            <w:tcW w:w="2730" w:type="pct"/>
            <w:tcMar>
              <w:top w:w="15" w:type="dxa"/>
              <w:left w:w="45" w:type="dxa"/>
              <w:bottom w:w="15" w:type="dxa"/>
              <w:right w:w="45" w:type="dxa"/>
            </w:tcMar>
          </w:tcPr>
          <w:p w14:paraId="054E0D7F"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gradul de ocupare a forței de muncă</w:t>
            </w:r>
          </w:p>
        </w:tc>
        <w:tc>
          <w:tcPr>
            <w:tcW w:w="777" w:type="pct"/>
          </w:tcPr>
          <w:p w14:paraId="1E688506" w14:textId="2AD2655F" w:rsidR="00144628"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AC40063" w14:textId="415BD836"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C4F9B33" w14:textId="57661C49"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52E28F7" w14:textId="77777777" w:rsidTr="005F5039">
        <w:trPr>
          <w:trHeight w:val="53"/>
          <w:jc w:val="center"/>
        </w:trPr>
        <w:tc>
          <w:tcPr>
            <w:tcW w:w="2730" w:type="pct"/>
            <w:tcMar>
              <w:top w:w="15" w:type="dxa"/>
              <w:left w:w="45" w:type="dxa"/>
              <w:bottom w:w="15" w:type="dxa"/>
              <w:right w:w="45" w:type="dxa"/>
            </w:tcMar>
          </w:tcPr>
          <w:p w14:paraId="403EEBAF"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nivelul de salarizare</w:t>
            </w:r>
          </w:p>
        </w:tc>
        <w:tc>
          <w:tcPr>
            <w:tcW w:w="777" w:type="pct"/>
          </w:tcPr>
          <w:p w14:paraId="48E472DD" w14:textId="432F1076" w:rsidR="00144628"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7F175D66" w14:textId="7B8276DD"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E671F72" w14:textId="62FFDA51"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7DADCEC7" w14:textId="77777777" w:rsidTr="005F5039">
        <w:trPr>
          <w:trHeight w:val="53"/>
          <w:jc w:val="center"/>
        </w:trPr>
        <w:tc>
          <w:tcPr>
            <w:tcW w:w="2730" w:type="pct"/>
            <w:tcMar>
              <w:top w:w="15" w:type="dxa"/>
              <w:left w:w="45" w:type="dxa"/>
              <w:bottom w:w="15" w:type="dxa"/>
              <w:right w:w="45" w:type="dxa"/>
            </w:tcMar>
          </w:tcPr>
          <w:p w14:paraId="26E64953"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condițiile și organizarea muncii</w:t>
            </w:r>
          </w:p>
        </w:tc>
        <w:tc>
          <w:tcPr>
            <w:tcW w:w="777" w:type="pct"/>
          </w:tcPr>
          <w:p w14:paraId="6B97B477" w14:textId="7223F948"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35F325BA" w14:textId="57170806"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BFB2B02" w14:textId="38619CBC"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A4ECDF0" w14:textId="77777777" w:rsidTr="005F5039">
        <w:trPr>
          <w:trHeight w:val="53"/>
          <w:jc w:val="center"/>
        </w:trPr>
        <w:tc>
          <w:tcPr>
            <w:tcW w:w="2730" w:type="pct"/>
            <w:tcMar>
              <w:top w:w="15" w:type="dxa"/>
              <w:left w:w="45" w:type="dxa"/>
              <w:bottom w:w="15" w:type="dxa"/>
              <w:right w:w="45" w:type="dxa"/>
            </w:tcMar>
          </w:tcPr>
          <w:p w14:paraId="0FE2AD72"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sănătatea și securitatea muncii</w:t>
            </w:r>
          </w:p>
        </w:tc>
        <w:tc>
          <w:tcPr>
            <w:tcW w:w="777" w:type="pct"/>
          </w:tcPr>
          <w:p w14:paraId="0624995A" w14:textId="691F2641"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51BC83E" w14:textId="299BC53E"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55DDD55A" w14:textId="784C0B1A"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E929FDD" w14:textId="77777777" w:rsidTr="005F5039">
        <w:trPr>
          <w:trHeight w:val="102"/>
          <w:jc w:val="center"/>
        </w:trPr>
        <w:tc>
          <w:tcPr>
            <w:tcW w:w="2730" w:type="pct"/>
            <w:tcMar>
              <w:top w:w="15" w:type="dxa"/>
              <w:left w:w="45" w:type="dxa"/>
              <w:bottom w:w="15" w:type="dxa"/>
              <w:right w:w="45" w:type="dxa"/>
            </w:tcMar>
          </w:tcPr>
          <w:p w14:paraId="7C3F4DC5"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formarea profesională</w:t>
            </w:r>
          </w:p>
        </w:tc>
        <w:tc>
          <w:tcPr>
            <w:tcW w:w="777" w:type="pct"/>
          </w:tcPr>
          <w:p w14:paraId="239779C0" w14:textId="6B0B896A"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052685E8" w14:textId="57EAA70D"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1EBCFE0" w14:textId="698108F7"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07491DE" w14:textId="77777777" w:rsidTr="005F5039">
        <w:trPr>
          <w:trHeight w:val="210"/>
          <w:jc w:val="center"/>
        </w:trPr>
        <w:tc>
          <w:tcPr>
            <w:tcW w:w="2730" w:type="pct"/>
            <w:tcMar>
              <w:top w:w="15" w:type="dxa"/>
              <w:left w:w="45" w:type="dxa"/>
              <w:bottom w:w="15" w:type="dxa"/>
              <w:right w:w="45" w:type="dxa"/>
            </w:tcMar>
          </w:tcPr>
          <w:p w14:paraId="1A0BB2CF"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inegalitatea și distribuția veniturilor</w:t>
            </w:r>
          </w:p>
        </w:tc>
        <w:tc>
          <w:tcPr>
            <w:tcW w:w="777" w:type="pct"/>
          </w:tcPr>
          <w:p w14:paraId="4DD77AA7" w14:textId="34A3A6BD"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5E892F22" w14:textId="60177B28"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FE21CB8" w14:textId="7DADABE9"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567882D3" w14:textId="77777777" w:rsidTr="005F5039">
        <w:trPr>
          <w:trHeight w:val="210"/>
          <w:jc w:val="center"/>
        </w:trPr>
        <w:tc>
          <w:tcPr>
            <w:tcW w:w="2730" w:type="pct"/>
            <w:tcMar>
              <w:top w:w="15" w:type="dxa"/>
              <w:left w:w="45" w:type="dxa"/>
              <w:bottom w:w="15" w:type="dxa"/>
              <w:right w:w="45" w:type="dxa"/>
            </w:tcMar>
          </w:tcPr>
          <w:p w14:paraId="030CAF05"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nivelul veniturilor populației</w:t>
            </w:r>
          </w:p>
        </w:tc>
        <w:tc>
          <w:tcPr>
            <w:tcW w:w="777" w:type="pct"/>
          </w:tcPr>
          <w:p w14:paraId="18A2FD3B" w14:textId="054064A0"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3FD96C92" w14:textId="7FDC9AC6"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326E6FF" w14:textId="4B331BB7"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54F0B358" w14:textId="77777777" w:rsidTr="005F5039">
        <w:trPr>
          <w:trHeight w:val="129"/>
          <w:jc w:val="center"/>
        </w:trPr>
        <w:tc>
          <w:tcPr>
            <w:tcW w:w="2730" w:type="pct"/>
            <w:tcMar>
              <w:top w:w="15" w:type="dxa"/>
              <w:left w:w="45" w:type="dxa"/>
              <w:bottom w:w="15" w:type="dxa"/>
              <w:right w:w="45" w:type="dxa"/>
            </w:tcMar>
          </w:tcPr>
          <w:p w14:paraId="683FCFB6"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nivelul sărăciei</w:t>
            </w:r>
          </w:p>
        </w:tc>
        <w:tc>
          <w:tcPr>
            <w:tcW w:w="777" w:type="pct"/>
          </w:tcPr>
          <w:p w14:paraId="73106B01" w14:textId="6AC2F9FA" w:rsidR="00144628" w:rsidRPr="0071735F" w:rsidRDefault="00A53F3D"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57E60929" w14:textId="4D2A97B0"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EFA5737" w14:textId="7B62C77D"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B0B8DC4" w14:textId="77777777" w:rsidTr="005F5039">
        <w:trPr>
          <w:trHeight w:val="444"/>
          <w:jc w:val="center"/>
        </w:trPr>
        <w:tc>
          <w:tcPr>
            <w:tcW w:w="2730" w:type="pct"/>
            <w:tcMar>
              <w:top w:w="15" w:type="dxa"/>
              <w:left w:w="45" w:type="dxa"/>
              <w:bottom w:w="15" w:type="dxa"/>
              <w:right w:w="45" w:type="dxa"/>
            </w:tcMar>
          </w:tcPr>
          <w:p w14:paraId="311D130F"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la bunuri și servicii de bază, în special pentru persoanele social-vulnerabile</w:t>
            </w:r>
          </w:p>
        </w:tc>
        <w:tc>
          <w:tcPr>
            <w:tcW w:w="777" w:type="pct"/>
          </w:tcPr>
          <w:p w14:paraId="4370E2FE" w14:textId="2D14734D"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5CC0FB1F" w14:textId="760A1B38"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726EADB9" w14:textId="63C7EA98"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0D23F62" w14:textId="77777777" w:rsidTr="005F5039">
        <w:trPr>
          <w:trHeight w:val="53"/>
          <w:jc w:val="center"/>
        </w:trPr>
        <w:tc>
          <w:tcPr>
            <w:tcW w:w="2730" w:type="pct"/>
            <w:tcMar>
              <w:top w:w="15" w:type="dxa"/>
              <w:left w:w="45" w:type="dxa"/>
              <w:bottom w:w="15" w:type="dxa"/>
              <w:right w:w="45" w:type="dxa"/>
            </w:tcMar>
          </w:tcPr>
          <w:p w14:paraId="254A5FE9" w14:textId="7777777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diversitatea culturală și lingvistică</w:t>
            </w:r>
          </w:p>
        </w:tc>
        <w:tc>
          <w:tcPr>
            <w:tcW w:w="777" w:type="pct"/>
          </w:tcPr>
          <w:p w14:paraId="314E40F7" w14:textId="049824E5"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221F1CF9" w14:textId="7CC31CD7" w:rsidR="00144628" w:rsidRPr="0071735F" w:rsidRDefault="00144628"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EA73CBF" w14:textId="1D4BC0B9" w:rsidR="00144628"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01698AC3" w14:textId="77777777" w:rsidTr="005F5039">
        <w:trPr>
          <w:trHeight w:val="53"/>
          <w:jc w:val="center"/>
        </w:trPr>
        <w:tc>
          <w:tcPr>
            <w:tcW w:w="2730" w:type="pct"/>
            <w:tcMar>
              <w:top w:w="15" w:type="dxa"/>
              <w:left w:w="45" w:type="dxa"/>
              <w:bottom w:w="15" w:type="dxa"/>
              <w:right w:w="45" w:type="dxa"/>
            </w:tcMar>
          </w:tcPr>
          <w:p w14:paraId="6CD65DD4"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partidele politice și organizațiile civice</w:t>
            </w:r>
          </w:p>
        </w:tc>
        <w:tc>
          <w:tcPr>
            <w:tcW w:w="777" w:type="pct"/>
          </w:tcPr>
          <w:p w14:paraId="76DA75F0" w14:textId="68D6BA57"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35EB75FE" w14:textId="64365AB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51A6A37" w14:textId="6384A9E8"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79C557F" w14:textId="77777777" w:rsidTr="005F5039">
        <w:trPr>
          <w:trHeight w:val="120"/>
          <w:jc w:val="center"/>
        </w:trPr>
        <w:tc>
          <w:tcPr>
            <w:tcW w:w="2730" w:type="pct"/>
            <w:tcMar>
              <w:top w:w="15" w:type="dxa"/>
              <w:left w:w="45" w:type="dxa"/>
              <w:bottom w:w="15" w:type="dxa"/>
              <w:right w:w="45" w:type="dxa"/>
            </w:tcMar>
          </w:tcPr>
          <w:p w14:paraId="48FD18F5"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sănătatea publică, inclusiv mortalitatea și morbiditatea</w:t>
            </w:r>
          </w:p>
        </w:tc>
        <w:tc>
          <w:tcPr>
            <w:tcW w:w="777" w:type="pct"/>
          </w:tcPr>
          <w:p w14:paraId="30B338BC" w14:textId="78F29ABD" w:rsidR="0090326C" w:rsidRPr="0071735F" w:rsidRDefault="006F71C1"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66945F68" w14:textId="14430D01"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651D1430" w14:textId="326B898C"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5B32F1F" w14:textId="77777777" w:rsidTr="005F5039">
        <w:trPr>
          <w:trHeight w:val="53"/>
          <w:jc w:val="center"/>
        </w:trPr>
        <w:tc>
          <w:tcPr>
            <w:tcW w:w="2730" w:type="pct"/>
            <w:tcMar>
              <w:top w:w="15" w:type="dxa"/>
              <w:left w:w="45" w:type="dxa"/>
              <w:bottom w:w="15" w:type="dxa"/>
              <w:right w:w="45" w:type="dxa"/>
            </w:tcMar>
          </w:tcPr>
          <w:p w14:paraId="3388BDBB"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lastRenderedPageBreak/>
              <w:t>modul sănătos de viață al populației</w:t>
            </w:r>
          </w:p>
        </w:tc>
        <w:tc>
          <w:tcPr>
            <w:tcW w:w="777" w:type="pct"/>
          </w:tcPr>
          <w:p w14:paraId="1FE38B8C" w14:textId="12D75E21"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776D40D0" w14:textId="6B568FC4"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55C6C4A" w14:textId="579D9542"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49A9549" w14:textId="77777777" w:rsidTr="005F5039">
        <w:trPr>
          <w:trHeight w:val="228"/>
          <w:jc w:val="center"/>
        </w:trPr>
        <w:tc>
          <w:tcPr>
            <w:tcW w:w="2730" w:type="pct"/>
            <w:tcMar>
              <w:top w:w="15" w:type="dxa"/>
              <w:left w:w="45" w:type="dxa"/>
              <w:bottom w:w="15" w:type="dxa"/>
              <w:right w:w="45" w:type="dxa"/>
            </w:tcMar>
          </w:tcPr>
          <w:p w14:paraId="362382BE"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nivelul criminalității și securității publice</w:t>
            </w:r>
          </w:p>
        </w:tc>
        <w:tc>
          <w:tcPr>
            <w:tcW w:w="777" w:type="pct"/>
          </w:tcPr>
          <w:p w14:paraId="0B5B7BA2" w14:textId="66616C21"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FA2A9B4" w14:textId="72D63914"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E552C8B" w14:textId="1EC3E1E2"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9DA3DC9" w14:textId="77777777" w:rsidTr="005F5039">
        <w:trPr>
          <w:trHeight w:val="57"/>
          <w:jc w:val="center"/>
        </w:trPr>
        <w:tc>
          <w:tcPr>
            <w:tcW w:w="2730" w:type="pct"/>
            <w:tcMar>
              <w:top w:w="15" w:type="dxa"/>
              <w:left w:w="45" w:type="dxa"/>
              <w:bottom w:w="15" w:type="dxa"/>
              <w:right w:w="45" w:type="dxa"/>
            </w:tcMar>
          </w:tcPr>
          <w:p w14:paraId="095DBB42"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și calitatea serviciilor de protecție socială</w:t>
            </w:r>
          </w:p>
        </w:tc>
        <w:tc>
          <w:tcPr>
            <w:tcW w:w="777" w:type="pct"/>
          </w:tcPr>
          <w:p w14:paraId="6BE58D1E" w14:textId="7B4B13FF"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6063B64D" w14:textId="1F589D3E"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6C55924B" w14:textId="54E802C2"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DCC8647" w14:textId="77777777" w:rsidTr="005F5039">
        <w:trPr>
          <w:trHeight w:val="165"/>
          <w:jc w:val="center"/>
        </w:trPr>
        <w:tc>
          <w:tcPr>
            <w:tcW w:w="2730" w:type="pct"/>
            <w:tcMar>
              <w:top w:w="15" w:type="dxa"/>
              <w:left w:w="45" w:type="dxa"/>
              <w:bottom w:w="15" w:type="dxa"/>
              <w:right w:w="45" w:type="dxa"/>
            </w:tcMar>
          </w:tcPr>
          <w:p w14:paraId="34810948"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și calitatea serviciilor educaționale</w:t>
            </w:r>
          </w:p>
        </w:tc>
        <w:tc>
          <w:tcPr>
            <w:tcW w:w="777" w:type="pct"/>
          </w:tcPr>
          <w:p w14:paraId="554DF103" w14:textId="7D09E6C4"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A23E279" w14:textId="2595196F"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DB40264" w14:textId="43062CB2"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11C813C" w14:textId="77777777" w:rsidTr="005F5039">
        <w:trPr>
          <w:trHeight w:val="53"/>
          <w:jc w:val="center"/>
        </w:trPr>
        <w:tc>
          <w:tcPr>
            <w:tcW w:w="2730" w:type="pct"/>
            <w:tcMar>
              <w:top w:w="15" w:type="dxa"/>
              <w:left w:w="45" w:type="dxa"/>
              <w:bottom w:w="15" w:type="dxa"/>
              <w:right w:w="45" w:type="dxa"/>
            </w:tcMar>
          </w:tcPr>
          <w:p w14:paraId="6A48245D"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și calitatea serviciilor medicale</w:t>
            </w:r>
          </w:p>
        </w:tc>
        <w:tc>
          <w:tcPr>
            <w:tcW w:w="777" w:type="pct"/>
          </w:tcPr>
          <w:p w14:paraId="6CA7E411" w14:textId="5787F376"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7FE549AC" w14:textId="63FD7CDB"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A484219" w14:textId="37AA57A6"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AD79B92" w14:textId="77777777" w:rsidTr="005F5039">
        <w:trPr>
          <w:trHeight w:val="84"/>
          <w:jc w:val="center"/>
        </w:trPr>
        <w:tc>
          <w:tcPr>
            <w:tcW w:w="2730" w:type="pct"/>
            <w:tcMar>
              <w:top w:w="15" w:type="dxa"/>
              <w:left w:w="45" w:type="dxa"/>
              <w:bottom w:w="15" w:type="dxa"/>
              <w:right w:w="45" w:type="dxa"/>
            </w:tcMar>
          </w:tcPr>
          <w:p w14:paraId="1D96D7EE"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și calitatea serviciilor publice administrative</w:t>
            </w:r>
          </w:p>
        </w:tc>
        <w:tc>
          <w:tcPr>
            <w:tcW w:w="777" w:type="pct"/>
          </w:tcPr>
          <w:p w14:paraId="3EE685F9" w14:textId="6711F0B1"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2CAE8A5C" w14:textId="0EABCCFB"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EFEAA49" w14:textId="77CBFD81"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D9B8430" w14:textId="77777777" w:rsidTr="005F5039">
        <w:trPr>
          <w:trHeight w:val="53"/>
          <w:jc w:val="center"/>
        </w:trPr>
        <w:tc>
          <w:tcPr>
            <w:tcW w:w="2730" w:type="pct"/>
            <w:tcMar>
              <w:top w:w="15" w:type="dxa"/>
              <w:left w:w="45" w:type="dxa"/>
              <w:bottom w:w="15" w:type="dxa"/>
              <w:right w:w="45" w:type="dxa"/>
            </w:tcMar>
          </w:tcPr>
          <w:p w14:paraId="4C77FCD7"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nivelul și calitatea educației populației</w:t>
            </w:r>
          </w:p>
        </w:tc>
        <w:tc>
          <w:tcPr>
            <w:tcW w:w="777" w:type="pct"/>
          </w:tcPr>
          <w:p w14:paraId="322BA4EA" w14:textId="14395D06"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F62728F" w14:textId="6FE3707A"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0ED1B1B7" w14:textId="781E4EE4"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7E80E94" w14:textId="77777777" w:rsidTr="005F5039">
        <w:trPr>
          <w:trHeight w:val="111"/>
          <w:jc w:val="center"/>
        </w:trPr>
        <w:tc>
          <w:tcPr>
            <w:tcW w:w="2730" w:type="pct"/>
            <w:tcMar>
              <w:top w:w="15" w:type="dxa"/>
              <w:left w:w="45" w:type="dxa"/>
              <w:bottom w:w="15" w:type="dxa"/>
              <w:right w:w="45" w:type="dxa"/>
            </w:tcMar>
          </w:tcPr>
          <w:p w14:paraId="722ADC95"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conservarea patrimoniului cultural</w:t>
            </w:r>
          </w:p>
        </w:tc>
        <w:tc>
          <w:tcPr>
            <w:tcW w:w="777" w:type="pct"/>
          </w:tcPr>
          <w:p w14:paraId="715D3457" w14:textId="61E1008C"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1FADE352" w14:textId="035EFA7A"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6CF6820D" w14:textId="63D14A30"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9DB6E0C" w14:textId="77777777" w:rsidTr="005F5039">
        <w:trPr>
          <w:trHeight w:val="444"/>
          <w:jc w:val="center"/>
        </w:trPr>
        <w:tc>
          <w:tcPr>
            <w:tcW w:w="2730" w:type="pct"/>
            <w:tcMar>
              <w:top w:w="15" w:type="dxa"/>
              <w:left w:w="45" w:type="dxa"/>
              <w:bottom w:w="15" w:type="dxa"/>
              <w:right w:w="45" w:type="dxa"/>
            </w:tcMar>
          </w:tcPr>
          <w:p w14:paraId="2C84264C"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populației la resurse culturale și participarea în manifestații culturale</w:t>
            </w:r>
          </w:p>
        </w:tc>
        <w:tc>
          <w:tcPr>
            <w:tcW w:w="777" w:type="pct"/>
          </w:tcPr>
          <w:p w14:paraId="64BE05FA" w14:textId="15B05552"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68F835E3" w14:textId="6DBBBB1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5383F27" w14:textId="730A366E"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8B67882" w14:textId="77777777" w:rsidTr="005F5039">
        <w:trPr>
          <w:trHeight w:val="174"/>
          <w:jc w:val="center"/>
        </w:trPr>
        <w:tc>
          <w:tcPr>
            <w:tcW w:w="2730" w:type="pct"/>
            <w:tcMar>
              <w:top w:w="15" w:type="dxa"/>
              <w:left w:w="45" w:type="dxa"/>
              <w:bottom w:w="15" w:type="dxa"/>
              <w:right w:w="45" w:type="dxa"/>
            </w:tcMar>
          </w:tcPr>
          <w:p w14:paraId="621982A5"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accesul și participarea populației în activități sportive</w:t>
            </w:r>
          </w:p>
        </w:tc>
        <w:tc>
          <w:tcPr>
            <w:tcW w:w="777" w:type="pct"/>
          </w:tcPr>
          <w:p w14:paraId="07B5EE4E" w14:textId="28C5EE60"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6983CB33" w14:textId="56043D1D"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00174B75" w14:textId="5157ACF8"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1A8A01F3" w14:textId="77777777" w:rsidTr="005F5039">
        <w:trPr>
          <w:trHeight w:val="273"/>
          <w:jc w:val="center"/>
        </w:trPr>
        <w:tc>
          <w:tcPr>
            <w:tcW w:w="2730" w:type="pct"/>
            <w:tcMar>
              <w:top w:w="15" w:type="dxa"/>
              <w:left w:w="45" w:type="dxa"/>
              <w:bottom w:w="15" w:type="dxa"/>
              <w:right w:w="45" w:type="dxa"/>
            </w:tcMar>
          </w:tcPr>
          <w:p w14:paraId="2B39E520"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discriminarea</w:t>
            </w:r>
          </w:p>
        </w:tc>
        <w:tc>
          <w:tcPr>
            <w:tcW w:w="777" w:type="pct"/>
          </w:tcPr>
          <w:p w14:paraId="6717D236" w14:textId="4C56AC92"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17E8443A" w14:textId="7BA9556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48E1A0B" w14:textId="639CCEC3"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0003102" w14:textId="77777777" w:rsidTr="005F5039">
        <w:trPr>
          <w:trHeight w:val="246"/>
          <w:jc w:val="center"/>
        </w:trPr>
        <w:tc>
          <w:tcPr>
            <w:tcW w:w="2730" w:type="pct"/>
            <w:tcMar>
              <w:top w:w="15" w:type="dxa"/>
              <w:left w:w="45" w:type="dxa"/>
              <w:bottom w:w="15" w:type="dxa"/>
              <w:right w:w="45" w:type="dxa"/>
            </w:tcMar>
          </w:tcPr>
          <w:p w14:paraId="3B79749C"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alte aspecte sociale</w:t>
            </w:r>
          </w:p>
        </w:tc>
        <w:tc>
          <w:tcPr>
            <w:tcW w:w="777" w:type="pct"/>
          </w:tcPr>
          <w:p w14:paraId="3D7B5A64" w14:textId="425F0CD3" w:rsidR="0090326C" w:rsidRPr="0071735F" w:rsidRDefault="00CE587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0478060" w14:textId="2A3D4DE5"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1214B8BF" w14:textId="11B50C89"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540C486D" w14:textId="77777777" w:rsidTr="005F5039">
        <w:trPr>
          <w:trHeight w:val="237"/>
          <w:jc w:val="center"/>
        </w:trPr>
        <w:tc>
          <w:tcPr>
            <w:tcW w:w="5000" w:type="pct"/>
            <w:gridSpan w:val="4"/>
            <w:shd w:val="clear" w:color="auto" w:fill="auto"/>
            <w:tcMar>
              <w:top w:w="15" w:type="dxa"/>
              <w:left w:w="45" w:type="dxa"/>
              <w:bottom w:w="15" w:type="dxa"/>
              <w:right w:w="45" w:type="dxa"/>
            </w:tcMar>
          </w:tcPr>
          <w:p w14:paraId="6264E75A" w14:textId="77777777" w:rsidR="0090326C" w:rsidRPr="0071735F" w:rsidRDefault="0090326C" w:rsidP="00DA5F81">
            <w:pPr>
              <w:spacing w:after="60"/>
              <w:rPr>
                <w:rFonts w:ascii="Times New Roman" w:hAnsi="Times New Roman" w:cs="Times New Roman"/>
                <w:b/>
                <w:sz w:val="24"/>
                <w:szCs w:val="24"/>
                <w:lang w:val="ro-MD"/>
              </w:rPr>
            </w:pPr>
            <w:r w:rsidRPr="0071735F">
              <w:rPr>
                <w:rFonts w:ascii="Times New Roman" w:hAnsi="Times New Roman" w:cs="Times New Roman"/>
                <w:b/>
                <w:sz w:val="24"/>
                <w:szCs w:val="24"/>
                <w:lang w:val="ro-MD"/>
              </w:rPr>
              <w:t>De mediu</w:t>
            </w:r>
          </w:p>
        </w:tc>
      </w:tr>
      <w:tr w:rsidR="00B468B6" w:rsidRPr="0071735F" w14:paraId="73F9B21E" w14:textId="77777777" w:rsidTr="005F5039">
        <w:trPr>
          <w:trHeight w:val="444"/>
          <w:jc w:val="center"/>
        </w:trPr>
        <w:tc>
          <w:tcPr>
            <w:tcW w:w="2730" w:type="pct"/>
            <w:tcMar>
              <w:top w:w="15" w:type="dxa"/>
              <w:left w:w="45" w:type="dxa"/>
              <w:bottom w:w="15" w:type="dxa"/>
              <w:right w:w="45" w:type="dxa"/>
            </w:tcMar>
          </w:tcPr>
          <w:p w14:paraId="76436A8A"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clima, inclusiv emisiile gazelor cu efect de seră și celor care afectează stratul de ozon</w:t>
            </w:r>
          </w:p>
        </w:tc>
        <w:tc>
          <w:tcPr>
            <w:tcW w:w="777" w:type="pct"/>
          </w:tcPr>
          <w:p w14:paraId="135B3462" w14:textId="11C2033F"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2</w:t>
            </w:r>
          </w:p>
        </w:tc>
        <w:tc>
          <w:tcPr>
            <w:tcW w:w="779" w:type="pct"/>
          </w:tcPr>
          <w:p w14:paraId="2CF55E02" w14:textId="0CE21426"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5C24345D" w14:textId="69AE9EF6"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85380EC" w14:textId="77777777" w:rsidTr="005F5039">
        <w:trPr>
          <w:trHeight w:val="53"/>
          <w:jc w:val="center"/>
        </w:trPr>
        <w:tc>
          <w:tcPr>
            <w:tcW w:w="2730" w:type="pct"/>
            <w:tcMar>
              <w:top w:w="15" w:type="dxa"/>
              <w:left w:w="45" w:type="dxa"/>
              <w:bottom w:w="15" w:type="dxa"/>
              <w:right w:w="45" w:type="dxa"/>
            </w:tcMar>
          </w:tcPr>
          <w:p w14:paraId="4D331D09"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calitatea aerului</w:t>
            </w:r>
          </w:p>
        </w:tc>
        <w:tc>
          <w:tcPr>
            <w:tcW w:w="777" w:type="pct"/>
          </w:tcPr>
          <w:p w14:paraId="3CEDD117" w14:textId="78257CD0" w:rsidR="0090326C" w:rsidRPr="0071735F" w:rsidRDefault="006F71C1"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0A7B2BA3" w14:textId="582BB3FE"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245BC3F" w14:textId="6B15303C"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229F449" w14:textId="77777777" w:rsidTr="005F5039">
        <w:trPr>
          <w:trHeight w:val="444"/>
          <w:jc w:val="center"/>
        </w:trPr>
        <w:tc>
          <w:tcPr>
            <w:tcW w:w="2730" w:type="pct"/>
            <w:tcMar>
              <w:top w:w="15" w:type="dxa"/>
              <w:left w:w="45" w:type="dxa"/>
              <w:bottom w:w="15" w:type="dxa"/>
              <w:right w:w="45" w:type="dxa"/>
            </w:tcMar>
          </w:tcPr>
          <w:p w14:paraId="7685B4DF" w14:textId="7777777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bCs/>
                <w:sz w:val="24"/>
                <w:szCs w:val="24"/>
                <w:lang w:val="ro-MD"/>
              </w:rPr>
              <w:t>calitatea și cantitatea apei și resurselor acvatice, inclusiv a apei potabile și de alt gen</w:t>
            </w:r>
          </w:p>
        </w:tc>
        <w:tc>
          <w:tcPr>
            <w:tcW w:w="777" w:type="pct"/>
          </w:tcPr>
          <w:p w14:paraId="0278D8BC" w14:textId="0D029DDB" w:rsidR="0090326C" w:rsidRPr="0071735F" w:rsidRDefault="006F71C1"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711F5260" w14:textId="1FA50E56"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59A821EA" w14:textId="26E86B14"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538575E" w14:textId="77777777" w:rsidTr="005F5039">
        <w:trPr>
          <w:trHeight w:val="129"/>
          <w:jc w:val="center"/>
        </w:trPr>
        <w:tc>
          <w:tcPr>
            <w:tcW w:w="2730" w:type="pct"/>
            <w:tcMar>
              <w:top w:w="15" w:type="dxa"/>
              <w:left w:w="45" w:type="dxa"/>
              <w:bottom w:w="15" w:type="dxa"/>
              <w:right w:w="45" w:type="dxa"/>
            </w:tcMar>
          </w:tcPr>
          <w:p w14:paraId="3E8D6C09"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biodiversitatea</w:t>
            </w:r>
          </w:p>
        </w:tc>
        <w:tc>
          <w:tcPr>
            <w:tcW w:w="777" w:type="pct"/>
          </w:tcPr>
          <w:p w14:paraId="5276751A" w14:textId="6F7DB1F5" w:rsidR="0090326C" w:rsidRPr="0071735F" w:rsidRDefault="00F73ED4"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25774C80" w14:textId="1A23C4C6"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6CBE8D1C" w14:textId="3D60ACB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5A0CF4CE" w14:textId="77777777" w:rsidTr="005F5039">
        <w:trPr>
          <w:trHeight w:val="228"/>
          <w:jc w:val="center"/>
        </w:trPr>
        <w:tc>
          <w:tcPr>
            <w:tcW w:w="2730" w:type="pct"/>
            <w:tcMar>
              <w:top w:w="15" w:type="dxa"/>
              <w:left w:w="45" w:type="dxa"/>
              <w:bottom w:w="15" w:type="dxa"/>
              <w:right w:w="45" w:type="dxa"/>
            </w:tcMar>
          </w:tcPr>
          <w:p w14:paraId="3D7C9614"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flora</w:t>
            </w:r>
          </w:p>
        </w:tc>
        <w:tc>
          <w:tcPr>
            <w:tcW w:w="777" w:type="pct"/>
          </w:tcPr>
          <w:p w14:paraId="6F964A70" w14:textId="28A10FBC"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73B2AE55" w14:textId="6940970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8D6F8A1" w14:textId="40CEC923"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0A0A3A2" w14:textId="77777777" w:rsidTr="005F5039">
        <w:trPr>
          <w:trHeight w:val="53"/>
          <w:jc w:val="center"/>
        </w:trPr>
        <w:tc>
          <w:tcPr>
            <w:tcW w:w="2730" w:type="pct"/>
            <w:tcMar>
              <w:top w:w="15" w:type="dxa"/>
              <w:left w:w="45" w:type="dxa"/>
              <w:bottom w:w="15" w:type="dxa"/>
              <w:right w:w="45" w:type="dxa"/>
            </w:tcMar>
          </w:tcPr>
          <w:p w14:paraId="3E186524"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fauna</w:t>
            </w:r>
          </w:p>
        </w:tc>
        <w:tc>
          <w:tcPr>
            <w:tcW w:w="777" w:type="pct"/>
          </w:tcPr>
          <w:p w14:paraId="48ECFBE8" w14:textId="45E565F4"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4688C75A" w14:textId="6DEDC83E"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085499E5" w14:textId="580729B1"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4D3E8EDF" w14:textId="77777777" w:rsidTr="005F5039">
        <w:trPr>
          <w:trHeight w:val="66"/>
          <w:jc w:val="center"/>
        </w:trPr>
        <w:tc>
          <w:tcPr>
            <w:tcW w:w="2730" w:type="pct"/>
            <w:tcMar>
              <w:top w:w="15" w:type="dxa"/>
              <w:left w:w="45" w:type="dxa"/>
              <w:bottom w:w="15" w:type="dxa"/>
              <w:right w:w="45" w:type="dxa"/>
            </w:tcMar>
          </w:tcPr>
          <w:p w14:paraId="1DB25598"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peisajele naturale</w:t>
            </w:r>
          </w:p>
        </w:tc>
        <w:tc>
          <w:tcPr>
            <w:tcW w:w="777" w:type="pct"/>
          </w:tcPr>
          <w:p w14:paraId="5D8A7698" w14:textId="0C85267F"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23F47EE9" w14:textId="5627EC48"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75B57460" w14:textId="25D74D4F"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7BC28BF0" w14:textId="77777777" w:rsidTr="005F5039">
        <w:trPr>
          <w:trHeight w:val="165"/>
          <w:jc w:val="center"/>
        </w:trPr>
        <w:tc>
          <w:tcPr>
            <w:tcW w:w="2730" w:type="pct"/>
            <w:tcMar>
              <w:top w:w="15" w:type="dxa"/>
              <w:left w:w="45" w:type="dxa"/>
              <w:bottom w:w="15" w:type="dxa"/>
              <w:right w:w="45" w:type="dxa"/>
            </w:tcMar>
          </w:tcPr>
          <w:p w14:paraId="73FBCE8F"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starea și resursele solului</w:t>
            </w:r>
          </w:p>
        </w:tc>
        <w:tc>
          <w:tcPr>
            <w:tcW w:w="777" w:type="pct"/>
          </w:tcPr>
          <w:p w14:paraId="1E304414" w14:textId="6B229C58"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3CB07E1F" w14:textId="54A0667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59E33058" w14:textId="4FBD99A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7A7E66E3" w14:textId="77777777" w:rsidTr="005F5039">
        <w:trPr>
          <w:trHeight w:val="53"/>
          <w:jc w:val="center"/>
        </w:trPr>
        <w:tc>
          <w:tcPr>
            <w:tcW w:w="2730" w:type="pct"/>
            <w:tcMar>
              <w:top w:w="15" w:type="dxa"/>
              <w:left w:w="45" w:type="dxa"/>
              <w:bottom w:w="15" w:type="dxa"/>
              <w:right w:w="45" w:type="dxa"/>
            </w:tcMar>
          </w:tcPr>
          <w:p w14:paraId="717F6C92"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producerea și reciclarea deșeurilor</w:t>
            </w:r>
          </w:p>
        </w:tc>
        <w:tc>
          <w:tcPr>
            <w:tcW w:w="777" w:type="pct"/>
          </w:tcPr>
          <w:p w14:paraId="40751CF1" w14:textId="7DADEBCB"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67E425C9" w14:textId="2886C030"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68A80DD" w14:textId="37BC8039"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5E888E26" w14:textId="77777777" w:rsidTr="005F5039">
        <w:trPr>
          <w:trHeight w:val="102"/>
          <w:jc w:val="center"/>
        </w:trPr>
        <w:tc>
          <w:tcPr>
            <w:tcW w:w="2730" w:type="pct"/>
            <w:tcMar>
              <w:top w:w="15" w:type="dxa"/>
              <w:left w:w="45" w:type="dxa"/>
              <w:bottom w:w="15" w:type="dxa"/>
              <w:right w:w="45" w:type="dxa"/>
            </w:tcMar>
          </w:tcPr>
          <w:p w14:paraId="5E3E130A"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utilizarea eficientă a resurselor regenerabile și neregenerabile</w:t>
            </w:r>
          </w:p>
        </w:tc>
        <w:tc>
          <w:tcPr>
            <w:tcW w:w="777" w:type="pct"/>
          </w:tcPr>
          <w:p w14:paraId="0E6D5B26" w14:textId="258AB626"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1</w:t>
            </w:r>
          </w:p>
        </w:tc>
        <w:tc>
          <w:tcPr>
            <w:tcW w:w="779" w:type="pct"/>
          </w:tcPr>
          <w:p w14:paraId="144E8598" w14:textId="5487C1AF"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367C1F5" w14:textId="558FDB67"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166F88D" w14:textId="77777777" w:rsidTr="005F5039">
        <w:trPr>
          <w:trHeight w:val="53"/>
          <w:jc w:val="center"/>
        </w:trPr>
        <w:tc>
          <w:tcPr>
            <w:tcW w:w="2730" w:type="pct"/>
            <w:tcMar>
              <w:top w:w="15" w:type="dxa"/>
              <w:left w:w="45" w:type="dxa"/>
              <w:bottom w:w="15" w:type="dxa"/>
              <w:right w:w="45" w:type="dxa"/>
            </w:tcMar>
          </w:tcPr>
          <w:p w14:paraId="37C21FD9"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consumul și producția durabilă</w:t>
            </w:r>
          </w:p>
        </w:tc>
        <w:tc>
          <w:tcPr>
            <w:tcW w:w="777" w:type="pct"/>
          </w:tcPr>
          <w:p w14:paraId="2D4C8BB8" w14:textId="5C27437E"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2</w:t>
            </w:r>
          </w:p>
        </w:tc>
        <w:tc>
          <w:tcPr>
            <w:tcW w:w="779" w:type="pct"/>
          </w:tcPr>
          <w:p w14:paraId="6C98DB0C" w14:textId="771E4504"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3F1846F5" w14:textId="0AE0F050"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3A1E8ED5" w14:textId="77777777" w:rsidTr="005F5039">
        <w:trPr>
          <w:trHeight w:val="111"/>
          <w:jc w:val="center"/>
        </w:trPr>
        <w:tc>
          <w:tcPr>
            <w:tcW w:w="2730" w:type="pct"/>
            <w:tcMar>
              <w:top w:w="15" w:type="dxa"/>
              <w:left w:w="45" w:type="dxa"/>
              <w:bottom w:w="15" w:type="dxa"/>
              <w:right w:w="45" w:type="dxa"/>
            </w:tcMar>
          </w:tcPr>
          <w:p w14:paraId="065A0102"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intensitatea energetică</w:t>
            </w:r>
          </w:p>
        </w:tc>
        <w:tc>
          <w:tcPr>
            <w:tcW w:w="777" w:type="pct"/>
          </w:tcPr>
          <w:p w14:paraId="45E55DA7" w14:textId="7B1F5D87"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2</w:t>
            </w:r>
          </w:p>
        </w:tc>
        <w:tc>
          <w:tcPr>
            <w:tcW w:w="779" w:type="pct"/>
          </w:tcPr>
          <w:p w14:paraId="0B46A4CA" w14:textId="71F75ADA"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w:t>
            </w:r>
          </w:p>
        </w:tc>
        <w:tc>
          <w:tcPr>
            <w:tcW w:w="714" w:type="pct"/>
          </w:tcPr>
          <w:p w14:paraId="302C9A0C" w14:textId="726FE422"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2F2FA4EA" w14:textId="77777777" w:rsidTr="005F5039">
        <w:trPr>
          <w:trHeight w:val="129"/>
          <w:jc w:val="center"/>
        </w:trPr>
        <w:tc>
          <w:tcPr>
            <w:tcW w:w="2730" w:type="pct"/>
            <w:tcMar>
              <w:top w:w="15" w:type="dxa"/>
              <w:left w:w="45" w:type="dxa"/>
              <w:bottom w:w="15" w:type="dxa"/>
              <w:right w:w="45" w:type="dxa"/>
            </w:tcMar>
          </w:tcPr>
          <w:p w14:paraId="415A5E5D"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eficiența și performanța energetică</w:t>
            </w:r>
          </w:p>
        </w:tc>
        <w:tc>
          <w:tcPr>
            <w:tcW w:w="777" w:type="pct"/>
          </w:tcPr>
          <w:p w14:paraId="42E2FF96" w14:textId="1B8712D0" w:rsidR="0090326C" w:rsidRPr="0071735F" w:rsidRDefault="002E519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2</w:t>
            </w:r>
          </w:p>
        </w:tc>
        <w:tc>
          <w:tcPr>
            <w:tcW w:w="779" w:type="pct"/>
          </w:tcPr>
          <w:p w14:paraId="1973E341" w14:textId="4D00921B"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0DE1EC37" w14:textId="498FD999"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CDDAB0F" w14:textId="77777777" w:rsidTr="005F5039">
        <w:trPr>
          <w:trHeight w:val="192"/>
          <w:jc w:val="center"/>
        </w:trPr>
        <w:tc>
          <w:tcPr>
            <w:tcW w:w="2730" w:type="pct"/>
            <w:tcMar>
              <w:top w:w="15" w:type="dxa"/>
              <w:left w:w="45" w:type="dxa"/>
              <w:bottom w:w="15" w:type="dxa"/>
              <w:right w:w="45" w:type="dxa"/>
            </w:tcMar>
          </w:tcPr>
          <w:p w14:paraId="51D681EB"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bunăstarea animalelor</w:t>
            </w:r>
          </w:p>
        </w:tc>
        <w:tc>
          <w:tcPr>
            <w:tcW w:w="777" w:type="pct"/>
          </w:tcPr>
          <w:p w14:paraId="2D42F734" w14:textId="143BD5F7" w:rsidR="0090326C" w:rsidRPr="0071735F" w:rsidRDefault="006D3DCE"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7D124FC4" w14:textId="29F2054E"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28B1627" w14:textId="2E9B9621"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CD81F1B" w14:textId="77777777" w:rsidTr="005F5039">
        <w:trPr>
          <w:jc w:val="center"/>
        </w:trPr>
        <w:tc>
          <w:tcPr>
            <w:tcW w:w="2730" w:type="pct"/>
            <w:tcMar>
              <w:top w:w="15" w:type="dxa"/>
              <w:left w:w="45" w:type="dxa"/>
              <w:bottom w:w="15" w:type="dxa"/>
              <w:right w:w="45" w:type="dxa"/>
            </w:tcMar>
          </w:tcPr>
          <w:p w14:paraId="0EF856F0"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riscuri majore pentru mediu (incendii, explozii, accidente etc.)</w:t>
            </w:r>
          </w:p>
        </w:tc>
        <w:tc>
          <w:tcPr>
            <w:tcW w:w="777" w:type="pct"/>
          </w:tcPr>
          <w:p w14:paraId="682BEBA9" w14:textId="38F07312" w:rsidR="0090326C" w:rsidRPr="0071735F" w:rsidRDefault="008E54F4"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77FC8E41" w14:textId="44C23F9A"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EEA47FA" w14:textId="21DB37C6"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0DFBB229" w14:textId="77777777" w:rsidTr="005F5039">
        <w:trPr>
          <w:jc w:val="center"/>
        </w:trPr>
        <w:tc>
          <w:tcPr>
            <w:tcW w:w="2730" w:type="pct"/>
            <w:tcMar>
              <w:top w:w="15" w:type="dxa"/>
              <w:left w:w="45" w:type="dxa"/>
              <w:bottom w:w="15" w:type="dxa"/>
              <w:right w:w="45" w:type="dxa"/>
            </w:tcMar>
          </w:tcPr>
          <w:p w14:paraId="3A2E2E1E"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utilizarea terenurilor</w:t>
            </w:r>
          </w:p>
        </w:tc>
        <w:tc>
          <w:tcPr>
            <w:tcW w:w="777" w:type="pct"/>
          </w:tcPr>
          <w:p w14:paraId="18AC108A" w14:textId="7B7B4A15" w:rsidR="0090326C" w:rsidRPr="0071735F" w:rsidRDefault="00E76B62"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1C03373B" w14:textId="6B0ECE9C"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426A95A5" w14:textId="396558AE"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71735F" w14:paraId="6A1A0C6F" w14:textId="77777777" w:rsidTr="005F5039">
        <w:trPr>
          <w:jc w:val="center"/>
        </w:trPr>
        <w:tc>
          <w:tcPr>
            <w:tcW w:w="2730" w:type="pct"/>
            <w:tcMar>
              <w:top w:w="15" w:type="dxa"/>
              <w:left w:w="45" w:type="dxa"/>
              <w:bottom w:w="15" w:type="dxa"/>
              <w:right w:w="45" w:type="dxa"/>
            </w:tcMar>
          </w:tcPr>
          <w:p w14:paraId="0BEE92DC" w14:textId="77777777"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bCs/>
                <w:sz w:val="24"/>
                <w:szCs w:val="24"/>
                <w:lang w:val="ro-MD"/>
              </w:rPr>
              <w:t>alte aspecte de mediu</w:t>
            </w:r>
          </w:p>
        </w:tc>
        <w:tc>
          <w:tcPr>
            <w:tcW w:w="777" w:type="pct"/>
          </w:tcPr>
          <w:p w14:paraId="5A84ABBB" w14:textId="43D611F2" w:rsidR="0090326C" w:rsidRPr="0071735F" w:rsidRDefault="00144628"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0</w:t>
            </w:r>
          </w:p>
        </w:tc>
        <w:tc>
          <w:tcPr>
            <w:tcW w:w="779" w:type="pct"/>
          </w:tcPr>
          <w:p w14:paraId="2EBD0C69" w14:textId="32192471" w:rsidR="0090326C" w:rsidRPr="0071735F" w:rsidRDefault="0090326C" w:rsidP="00DA5F81">
            <w:pPr>
              <w:spacing w:after="60"/>
              <w:rPr>
                <w:rFonts w:ascii="Times New Roman" w:hAnsi="Times New Roman" w:cs="Times New Roman"/>
                <w:bCs/>
                <w:sz w:val="24"/>
                <w:szCs w:val="24"/>
                <w:lang w:val="ro-MD"/>
              </w:rPr>
            </w:pPr>
            <w:r w:rsidRPr="0071735F">
              <w:rPr>
                <w:rFonts w:ascii="Times New Roman" w:hAnsi="Times New Roman" w:cs="Times New Roman"/>
                <w:sz w:val="24"/>
                <w:szCs w:val="24"/>
                <w:lang w:val="ro-MD"/>
              </w:rPr>
              <w:t>-</w:t>
            </w:r>
          </w:p>
        </w:tc>
        <w:tc>
          <w:tcPr>
            <w:tcW w:w="714" w:type="pct"/>
          </w:tcPr>
          <w:p w14:paraId="2591EC11" w14:textId="0007CBE1" w:rsidR="0090326C" w:rsidRPr="0071735F" w:rsidRDefault="0090326C" w:rsidP="00DA5F81">
            <w:pPr>
              <w:spacing w:after="60"/>
              <w:rPr>
                <w:rFonts w:ascii="Times New Roman" w:hAnsi="Times New Roman" w:cs="Times New Roman"/>
                <w:sz w:val="24"/>
                <w:szCs w:val="24"/>
                <w:lang w:val="ro-MD"/>
              </w:rPr>
            </w:pPr>
            <w:r w:rsidRPr="0071735F">
              <w:rPr>
                <w:rFonts w:ascii="Times New Roman" w:hAnsi="Times New Roman" w:cs="Times New Roman"/>
                <w:sz w:val="24"/>
                <w:szCs w:val="24"/>
                <w:lang w:val="ro-MD"/>
              </w:rPr>
              <w:t>-</w:t>
            </w:r>
          </w:p>
        </w:tc>
      </w:tr>
      <w:tr w:rsidR="00B468B6" w:rsidRPr="00D22310" w14:paraId="553B1581" w14:textId="77777777" w:rsidTr="005F5039">
        <w:trPr>
          <w:jc w:val="center"/>
        </w:trPr>
        <w:tc>
          <w:tcPr>
            <w:tcW w:w="5000" w:type="pct"/>
            <w:gridSpan w:val="4"/>
            <w:tcMar>
              <w:top w:w="15" w:type="dxa"/>
              <w:left w:w="45" w:type="dxa"/>
              <w:bottom w:w="15" w:type="dxa"/>
              <w:right w:w="45" w:type="dxa"/>
            </w:tcMar>
          </w:tcPr>
          <w:p w14:paraId="045BEA60" w14:textId="44BB8B18" w:rsidR="0090326C" w:rsidRPr="0071735F" w:rsidRDefault="0090326C" w:rsidP="00DA5F81">
            <w:pPr>
              <w:spacing w:after="60"/>
              <w:jc w:val="both"/>
              <w:rPr>
                <w:rFonts w:ascii="Times New Roman" w:hAnsi="Times New Roman" w:cs="Times New Roman"/>
                <w:sz w:val="24"/>
                <w:szCs w:val="24"/>
                <w:lang w:val="ro-MD"/>
              </w:rPr>
            </w:pPr>
            <w:r w:rsidRPr="0071735F">
              <w:rPr>
                <w:rFonts w:ascii="Times New Roman" w:hAnsi="Times New Roman" w:cs="Times New Roman"/>
                <w:bCs/>
                <w:i/>
                <w:iCs/>
                <w:sz w:val="24"/>
                <w:szCs w:val="24"/>
                <w:lang w:val="ro-MD"/>
              </w:rPr>
              <w:lastRenderedPageBreak/>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w:t>
            </w:r>
            <w:r w:rsidR="00144628" w:rsidRPr="0071735F">
              <w:rPr>
                <w:rFonts w:ascii="Times New Roman" w:hAnsi="Times New Roman" w:cs="Times New Roman"/>
                <w:bCs/>
                <w:i/>
                <w:iCs/>
                <w:sz w:val="24"/>
                <w:szCs w:val="24"/>
                <w:lang w:val="ro-MD"/>
              </w:rPr>
              <w:t xml:space="preserve"> </w:t>
            </w:r>
            <w:r w:rsidRPr="0071735F">
              <w:rPr>
                <w:rFonts w:ascii="Times New Roman" w:hAnsi="Times New Roman" w:cs="Times New Roman"/>
                <w:bCs/>
                <w:i/>
                <w:iCs/>
                <w:sz w:val="24"/>
                <w:szCs w:val="24"/>
                <w:lang w:val="ro-MD"/>
              </w:rPr>
              <w:t>în comparație cu situația din alte opțiuni și alte categorii de impact. Impacturile identificate prin acest tabel se descriu pe larg, cu argumentarea punctajului acordat, inclusiv prin date cuantificate, în compartimentul 4 din Formular, lit. b</w:t>
            </w:r>
            <w:r w:rsidRPr="0071735F">
              <w:rPr>
                <w:rFonts w:ascii="Times New Roman" w:hAnsi="Times New Roman" w:cs="Times New Roman"/>
                <w:bCs/>
                <w:i/>
                <w:iCs/>
                <w:sz w:val="24"/>
                <w:szCs w:val="24"/>
                <w:vertAlign w:val="superscript"/>
                <w:lang w:val="ro-MD"/>
              </w:rPr>
              <w:t>1</w:t>
            </w:r>
            <w:r w:rsidRPr="0071735F">
              <w:rPr>
                <w:rFonts w:ascii="Times New Roman" w:hAnsi="Times New Roman" w:cs="Times New Roman"/>
                <w:bCs/>
                <w:i/>
                <w:iCs/>
                <w:sz w:val="24"/>
                <w:szCs w:val="24"/>
                <w:lang w:val="ro-MD"/>
              </w:rPr>
              <w:t>) și, după caz,</w:t>
            </w:r>
            <w:r w:rsidR="00144628" w:rsidRPr="0071735F">
              <w:rPr>
                <w:rFonts w:ascii="Times New Roman" w:hAnsi="Times New Roman" w:cs="Times New Roman"/>
                <w:bCs/>
                <w:i/>
                <w:iCs/>
                <w:sz w:val="24"/>
                <w:szCs w:val="24"/>
                <w:lang w:val="ro-MD"/>
              </w:rPr>
              <w:t xml:space="preserve"> </w:t>
            </w:r>
            <w:r w:rsidRPr="0071735F">
              <w:rPr>
                <w:rFonts w:ascii="Times New Roman" w:hAnsi="Times New Roman" w:cs="Times New Roman"/>
                <w:bCs/>
                <w:i/>
                <w:iCs/>
                <w:sz w:val="24"/>
                <w:szCs w:val="24"/>
                <w:lang w:val="ro-MD"/>
              </w:rPr>
              <w:t>b</w:t>
            </w:r>
            <w:r w:rsidRPr="0071735F">
              <w:rPr>
                <w:rFonts w:ascii="Times New Roman" w:hAnsi="Times New Roman" w:cs="Times New Roman"/>
                <w:bCs/>
                <w:i/>
                <w:iCs/>
                <w:sz w:val="24"/>
                <w:szCs w:val="24"/>
                <w:vertAlign w:val="superscript"/>
                <w:lang w:val="ro-MD"/>
              </w:rPr>
              <w:t>2</w:t>
            </w:r>
            <w:r w:rsidRPr="0071735F">
              <w:rPr>
                <w:rFonts w:ascii="Times New Roman" w:hAnsi="Times New Roman" w:cs="Times New Roman"/>
                <w:bCs/>
                <w:i/>
                <w:iCs/>
                <w:sz w:val="24"/>
                <w:szCs w:val="24"/>
                <w:lang w:val="ro-MD"/>
              </w:rPr>
              <w:t>), privind analiza impacturilor opțiunilor.</w:t>
            </w:r>
          </w:p>
        </w:tc>
      </w:tr>
    </w:tbl>
    <w:p w14:paraId="5F024BD4" w14:textId="31E3363B" w:rsidR="0083279A" w:rsidRPr="0071735F" w:rsidRDefault="0083279A" w:rsidP="00DA5F81">
      <w:pPr>
        <w:tabs>
          <w:tab w:val="left" w:pos="-284"/>
          <w:tab w:val="left" w:pos="709"/>
          <w:tab w:val="left" w:pos="1418"/>
        </w:tabs>
        <w:spacing w:after="60"/>
        <w:jc w:val="both"/>
        <w:rPr>
          <w:rFonts w:ascii="Times New Roman" w:eastAsia="Calibri" w:hAnsi="Times New Roman" w:cs="Times New Roman"/>
          <w:sz w:val="26"/>
          <w:szCs w:val="26"/>
          <w:lang w:val="ro-MD"/>
        </w:rPr>
      </w:pPr>
    </w:p>
    <w:sectPr w:rsidR="0083279A" w:rsidRPr="0071735F" w:rsidSect="00342F1B">
      <w:footerReference w:type="default" r:id="rId10"/>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94D3" w14:textId="77777777" w:rsidR="00D27FD2" w:rsidRDefault="00D27FD2" w:rsidP="0035780C">
      <w:pPr>
        <w:spacing w:after="0" w:line="240" w:lineRule="auto"/>
      </w:pPr>
      <w:r>
        <w:separator/>
      </w:r>
    </w:p>
  </w:endnote>
  <w:endnote w:type="continuationSeparator" w:id="0">
    <w:p w14:paraId="5D26DBC0" w14:textId="77777777" w:rsidR="00D27FD2" w:rsidRDefault="00D27FD2"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03098"/>
      <w:docPartObj>
        <w:docPartGallery w:val="Page Numbers (Bottom of Page)"/>
        <w:docPartUnique/>
      </w:docPartObj>
    </w:sdtPr>
    <w:sdtEndPr>
      <w:rPr>
        <w:noProof/>
      </w:rPr>
    </w:sdtEndPr>
    <w:sdtContent>
      <w:p w14:paraId="624A27F0" w14:textId="073061D7" w:rsidR="0085308C" w:rsidRDefault="0085308C" w:rsidP="0041348D">
        <w:pPr>
          <w:pStyle w:val="Footer"/>
          <w:tabs>
            <w:tab w:val="left" w:pos="8352"/>
            <w:tab w:val="right" w:pos="9637"/>
          </w:tabs>
        </w:pPr>
        <w:r>
          <w:tab/>
        </w:r>
        <w:r>
          <w:tab/>
        </w:r>
        <w:r>
          <w:tab/>
        </w:r>
        <w:r>
          <w:tab/>
        </w:r>
        <w:r>
          <w:fldChar w:fldCharType="begin"/>
        </w:r>
        <w:r>
          <w:instrText xml:space="preserve"> PAGE   \* MERGEFORMAT </w:instrText>
        </w:r>
        <w:r>
          <w:fldChar w:fldCharType="separate"/>
        </w:r>
        <w:r w:rsidR="00063A11">
          <w:rPr>
            <w:noProof/>
          </w:rPr>
          <w:t>13</w:t>
        </w:r>
        <w:r>
          <w:rPr>
            <w:noProof/>
          </w:rPr>
          <w:fldChar w:fldCharType="end"/>
        </w:r>
      </w:p>
    </w:sdtContent>
  </w:sdt>
  <w:p w14:paraId="51EAFB5A" w14:textId="77777777" w:rsidR="0085308C" w:rsidRDefault="0085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08BA" w14:textId="77777777" w:rsidR="00D27FD2" w:rsidRDefault="00D27FD2" w:rsidP="0035780C">
      <w:pPr>
        <w:spacing w:after="0" w:line="240" w:lineRule="auto"/>
      </w:pPr>
      <w:r>
        <w:separator/>
      </w:r>
    </w:p>
  </w:footnote>
  <w:footnote w:type="continuationSeparator" w:id="0">
    <w:p w14:paraId="1F4AEFEB" w14:textId="77777777" w:rsidR="00D27FD2" w:rsidRDefault="00D27FD2" w:rsidP="0035780C">
      <w:pPr>
        <w:spacing w:after="0" w:line="240" w:lineRule="auto"/>
      </w:pPr>
      <w:r>
        <w:continuationSeparator/>
      </w:r>
    </w:p>
  </w:footnote>
  <w:footnote w:id="1">
    <w:p w14:paraId="48CCBBC1" w14:textId="699C6675" w:rsidR="00F00B6C" w:rsidRPr="0001458E" w:rsidRDefault="00D70E3E">
      <w:pPr>
        <w:pStyle w:val="FootnoteText"/>
        <w:rPr>
          <w:rFonts w:ascii="Times New Roman" w:hAnsi="Times New Roman" w:cs="Times New Roman"/>
          <w:sz w:val="16"/>
          <w:szCs w:val="16"/>
          <w:lang w:val="ro-MD"/>
        </w:rPr>
      </w:pPr>
      <w:r w:rsidRPr="00D70E3E">
        <w:rPr>
          <w:rStyle w:val="FootnoteReference"/>
          <w:rFonts w:ascii="Times New Roman" w:hAnsi="Times New Roman" w:cs="Times New Roman"/>
          <w:sz w:val="16"/>
          <w:szCs w:val="16"/>
        </w:rPr>
        <w:footnoteRef/>
      </w:r>
      <w:r w:rsidRPr="00D22310">
        <w:rPr>
          <w:rFonts w:ascii="Times New Roman" w:hAnsi="Times New Roman" w:cs="Times New Roman"/>
          <w:sz w:val="16"/>
          <w:szCs w:val="16"/>
          <w:lang w:val="it-IT"/>
        </w:rPr>
        <w:t xml:space="preserve"> </w:t>
      </w:r>
      <w:r w:rsidRPr="00D70E3E">
        <w:rPr>
          <w:rFonts w:ascii="Times New Roman" w:hAnsi="Times New Roman" w:cs="Times New Roman"/>
          <w:sz w:val="16"/>
          <w:szCs w:val="16"/>
          <w:lang w:val="ro-MD"/>
        </w:rPr>
        <w:t xml:space="preserve">Versiunea electronică a Directivei poate fi accesată pe platforma EURLEX - </w:t>
      </w:r>
      <w:hyperlink r:id="rId1" w:history="1">
        <w:r w:rsidRPr="00D70E3E">
          <w:rPr>
            <w:rStyle w:val="Hyperlink"/>
            <w:rFonts w:ascii="Times New Roman" w:hAnsi="Times New Roman" w:cs="Times New Roman"/>
            <w:sz w:val="16"/>
            <w:szCs w:val="16"/>
            <w:lang w:val="ro-MD"/>
          </w:rPr>
          <w:t>https://eur-lex.europa.eu/legal-content/RO/ALL/?uri=CELEX:32018L2002</w:t>
        </w:r>
      </w:hyperlink>
      <w:r w:rsidRPr="00D70E3E">
        <w:rPr>
          <w:rFonts w:ascii="Times New Roman" w:hAnsi="Times New Roman" w:cs="Times New Roman"/>
          <w:sz w:val="16"/>
          <w:szCs w:val="16"/>
          <w:lang w:val="ro-MD"/>
        </w:rPr>
        <w:t xml:space="preserve"> </w:t>
      </w:r>
    </w:p>
  </w:footnote>
  <w:footnote w:id="2">
    <w:p w14:paraId="59DAFDCE" w14:textId="0D0E87EF" w:rsidR="0001458E" w:rsidRPr="00B54556" w:rsidRDefault="0001458E">
      <w:pPr>
        <w:pStyle w:val="FootnoteText"/>
        <w:rPr>
          <w:rFonts w:ascii="Times New Roman" w:hAnsi="Times New Roman" w:cs="Times New Roman"/>
          <w:lang w:val="ro-MD"/>
        </w:rPr>
      </w:pPr>
      <w:r>
        <w:rPr>
          <w:rStyle w:val="FootnoteReference"/>
        </w:rPr>
        <w:footnoteRef/>
      </w:r>
      <w:r w:rsidRPr="00D22310">
        <w:rPr>
          <w:lang w:val="it-IT"/>
        </w:rPr>
        <w:t xml:space="preserve"> </w:t>
      </w:r>
      <w:r>
        <w:rPr>
          <w:rFonts w:ascii="Times New Roman" w:hAnsi="Times New Roman" w:cs="Times New Roman"/>
          <w:sz w:val="16"/>
          <w:szCs w:val="16"/>
          <w:lang w:val="ro-MD"/>
        </w:rPr>
        <w:t xml:space="preserve">Versiunea electronică a Decizie MC poate fi accesată pe pagina web a Secretariatului Comunității Energetice - </w:t>
      </w:r>
      <w:hyperlink r:id="rId2" w:history="1">
        <w:r w:rsidRPr="00381A2A">
          <w:rPr>
            <w:rStyle w:val="Hyperlink"/>
            <w:rFonts w:ascii="Times New Roman" w:hAnsi="Times New Roman" w:cs="Times New Roman"/>
            <w:sz w:val="16"/>
            <w:szCs w:val="16"/>
            <w:lang w:val="ro-MD"/>
          </w:rPr>
          <w:t>https://docs.google.com/viewer?docex=1&amp;url=https://www.energy-community.org/dam/jcr:c755f9db-f6e7-448c-9cf5-0a5f02113ae2/19thMCDecision14_CEPII_30112021.pdf</w:t>
        </w:r>
      </w:hyperlink>
      <w:r>
        <w:rPr>
          <w:rFonts w:ascii="Times New Roman" w:hAnsi="Times New Roman" w:cs="Times New Roman"/>
          <w:sz w:val="16"/>
          <w:szCs w:val="16"/>
          <w:lang w:val="ro-MD"/>
        </w:rPr>
        <w:t xml:space="preserve"> </w:t>
      </w:r>
    </w:p>
  </w:footnote>
  <w:footnote w:id="3">
    <w:p w14:paraId="46300E2A" w14:textId="76B7DD68" w:rsidR="00B54556" w:rsidRPr="007B0561" w:rsidRDefault="00B54556">
      <w:pPr>
        <w:pStyle w:val="FootnoteText"/>
        <w:rPr>
          <w:rFonts w:ascii="Times New Roman" w:hAnsi="Times New Roman" w:cs="Times New Roman"/>
          <w:lang w:val="ro-MD"/>
        </w:rPr>
      </w:pPr>
      <w:r w:rsidRPr="007B0561">
        <w:rPr>
          <w:rStyle w:val="FootnoteReference"/>
          <w:rFonts w:ascii="Times New Roman" w:hAnsi="Times New Roman" w:cs="Times New Roman"/>
          <w:sz w:val="16"/>
          <w:szCs w:val="16"/>
        </w:rPr>
        <w:footnoteRef/>
      </w:r>
      <w:r w:rsidRPr="00D22310">
        <w:rPr>
          <w:rFonts w:ascii="Times New Roman" w:hAnsi="Times New Roman" w:cs="Times New Roman"/>
          <w:sz w:val="16"/>
          <w:szCs w:val="16"/>
          <w:lang w:val="en-US"/>
        </w:rPr>
        <w:t xml:space="preserve"> </w:t>
      </w:r>
      <w:r w:rsidR="007B0561" w:rsidRPr="007B0561">
        <w:rPr>
          <w:rFonts w:ascii="Times New Roman" w:hAnsi="Times New Roman" w:cs="Times New Roman"/>
          <w:sz w:val="16"/>
          <w:szCs w:val="16"/>
          <w:lang w:val="ro-MD"/>
        </w:rPr>
        <w:t>„</w:t>
      </w:r>
      <w:r w:rsidR="007B0561" w:rsidRPr="00D22310">
        <w:rPr>
          <w:rFonts w:ascii="Times New Roman" w:hAnsi="Times New Roman" w:cs="Times New Roman"/>
          <w:sz w:val="16"/>
          <w:szCs w:val="16"/>
          <w:lang w:val="en-US"/>
        </w:rPr>
        <w:t>Clean energy for all Europeans package</w:t>
      </w:r>
      <w:r w:rsidR="007B0561" w:rsidRPr="007B0561">
        <w:rPr>
          <w:rFonts w:ascii="Times New Roman" w:hAnsi="Times New Roman" w:cs="Times New Roman"/>
          <w:sz w:val="16"/>
          <w:szCs w:val="16"/>
          <w:lang w:val="ro-MD"/>
        </w:rPr>
        <w:t xml:space="preserve">”, </w:t>
      </w:r>
      <w:hyperlink r:id="rId3" w:history="1">
        <w:r w:rsidR="007B0561" w:rsidRPr="007B0561">
          <w:rPr>
            <w:rStyle w:val="Hyperlink"/>
            <w:rFonts w:ascii="Times New Roman" w:hAnsi="Times New Roman" w:cs="Times New Roman"/>
            <w:sz w:val="16"/>
            <w:szCs w:val="16"/>
            <w:lang w:val="ro-MD"/>
          </w:rPr>
          <w:t>https://energy.ec.europa.eu/topics/energy-strategy/clean-energy-all-europeans-package_en</w:t>
        </w:r>
      </w:hyperlink>
      <w:r w:rsidR="007B0561" w:rsidRPr="007B0561">
        <w:rPr>
          <w:rFonts w:ascii="Times New Roman" w:hAnsi="Times New Roman" w:cs="Times New Roman"/>
          <w:sz w:val="16"/>
          <w:szCs w:val="16"/>
          <w:lang w:val="ro-MD"/>
        </w:rPr>
        <w:t xml:space="preserve"> </w:t>
      </w:r>
    </w:p>
  </w:footnote>
  <w:footnote w:id="4">
    <w:p w14:paraId="0239F241" w14:textId="5432998F" w:rsidR="00CE4A91" w:rsidRPr="00CE4A91" w:rsidRDefault="00CE4A91">
      <w:pPr>
        <w:pStyle w:val="FootnoteText"/>
        <w:rPr>
          <w:rFonts w:ascii="Times New Roman" w:hAnsi="Times New Roman" w:cs="Times New Roman"/>
          <w:lang w:val="ro-MD"/>
        </w:rPr>
      </w:pPr>
      <w:r w:rsidRPr="00CE4A91">
        <w:rPr>
          <w:rStyle w:val="FootnoteReference"/>
          <w:rFonts w:ascii="Times New Roman" w:hAnsi="Times New Roman" w:cs="Times New Roman"/>
          <w:sz w:val="18"/>
          <w:szCs w:val="18"/>
        </w:rPr>
        <w:footnoteRef/>
      </w:r>
      <w:r w:rsidRPr="00D22310">
        <w:rPr>
          <w:rFonts w:ascii="Times New Roman" w:hAnsi="Times New Roman" w:cs="Times New Roman"/>
          <w:sz w:val="18"/>
          <w:szCs w:val="18"/>
          <w:lang w:val="ro-MD"/>
        </w:rPr>
        <w:t xml:space="preserve"> </w:t>
      </w:r>
      <w:hyperlink r:id="rId4" w:history="1">
        <w:r w:rsidRPr="00D22310">
          <w:rPr>
            <w:rStyle w:val="Hyperlink"/>
            <w:rFonts w:ascii="Times New Roman" w:hAnsi="Times New Roman" w:cs="Times New Roman"/>
            <w:sz w:val="18"/>
            <w:szCs w:val="18"/>
            <w:lang w:val="ro-MD"/>
          </w:rPr>
          <w:t>https://www.undp.org/ro/moldova/projects/abordarea-impactului-crizei-energetice-în-republica-moldova</w:t>
        </w:r>
      </w:hyperlink>
      <w:r w:rsidRPr="00CE4A91">
        <w:rPr>
          <w:rFonts w:ascii="Times New Roman" w:hAnsi="Times New Roman" w:cs="Times New Roman"/>
          <w:sz w:val="18"/>
          <w:szCs w:val="18"/>
          <w:lang w:val="ro-MD"/>
        </w:rPr>
        <w:t xml:space="preserve"> </w:t>
      </w:r>
    </w:p>
  </w:footnote>
  <w:footnote w:id="5">
    <w:p w14:paraId="69EEA6A0" w14:textId="57A9C3FD" w:rsidR="004B4E12" w:rsidRPr="00E778ED" w:rsidRDefault="004B4E12">
      <w:pPr>
        <w:pStyle w:val="FootnoteText"/>
        <w:rPr>
          <w:rFonts w:ascii="Times New Roman" w:hAnsi="Times New Roman" w:cs="Times New Roman"/>
          <w:lang w:val="ro-MD"/>
        </w:rPr>
      </w:pPr>
      <w:r w:rsidRPr="00E778ED">
        <w:rPr>
          <w:rStyle w:val="FootnoteReference"/>
          <w:rFonts w:ascii="Times New Roman" w:hAnsi="Times New Roman" w:cs="Times New Roman"/>
          <w:sz w:val="18"/>
          <w:szCs w:val="18"/>
        </w:rPr>
        <w:footnoteRef/>
      </w:r>
      <w:r w:rsidRPr="00D22310">
        <w:rPr>
          <w:rFonts w:ascii="Times New Roman" w:hAnsi="Times New Roman" w:cs="Times New Roman"/>
          <w:sz w:val="18"/>
          <w:szCs w:val="18"/>
          <w:lang w:val="it-IT"/>
        </w:rPr>
        <w:t xml:space="preserve"> </w:t>
      </w:r>
      <w:r w:rsidRPr="00E778ED">
        <w:rPr>
          <w:rFonts w:ascii="Times New Roman" w:hAnsi="Times New Roman" w:cs="Times New Roman"/>
          <w:sz w:val="18"/>
          <w:szCs w:val="18"/>
          <w:lang w:val="ro-MD"/>
        </w:rPr>
        <w:t xml:space="preserve">Decizia cu privire la modalitatea de transpunere a Regulamentului UE </w:t>
      </w:r>
      <w:r w:rsidR="00E778ED" w:rsidRPr="00E778ED">
        <w:rPr>
          <w:rFonts w:ascii="Times New Roman" w:hAnsi="Times New Roman" w:cs="Times New Roman"/>
          <w:sz w:val="18"/>
          <w:szCs w:val="18"/>
          <w:lang w:val="ro-MD"/>
        </w:rPr>
        <w:t>Nr. 2018/1999 privind Guvernanța urmează a  fi luată de Ministerul Mediului și Ministerul Infrastructurii și Dezvoltării Regionale</w:t>
      </w:r>
    </w:p>
  </w:footnote>
  <w:footnote w:id="6">
    <w:p w14:paraId="7AFD8C9A" w14:textId="619A93D8" w:rsidR="007D40BA" w:rsidRPr="00157239" w:rsidRDefault="007D40BA">
      <w:pPr>
        <w:pStyle w:val="FootnoteText"/>
        <w:rPr>
          <w:rFonts w:ascii="Times New Roman" w:hAnsi="Times New Roman" w:cs="Times New Roman"/>
          <w:lang w:val="ro-MD"/>
        </w:rPr>
      </w:pPr>
      <w:r w:rsidRPr="00157239">
        <w:rPr>
          <w:rStyle w:val="FootnoteReference"/>
          <w:rFonts w:ascii="Times New Roman" w:hAnsi="Times New Roman" w:cs="Times New Roman"/>
          <w:sz w:val="18"/>
          <w:szCs w:val="18"/>
        </w:rPr>
        <w:footnoteRef/>
      </w:r>
      <w:r w:rsidRPr="00D22310">
        <w:rPr>
          <w:rFonts w:ascii="Times New Roman" w:hAnsi="Times New Roman" w:cs="Times New Roman"/>
          <w:sz w:val="18"/>
          <w:szCs w:val="18"/>
          <w:lang w:val="it-IT"/>
        </w:rPr>
        <w:t xml:space="preserve"> </w:t>
      </w:r>
      <w:r w:rsidRPr="00157239">
        <w:rPr>
          <w:rFonts w:ascii="Times New Roman" w:hAnsi="Times New Roman" w:cs="Times New Roman"/>
          <w:sz w:val="18"/>
          <w:szCs w:val="18"/>
          <w:lang w:val="ro-MD"/>
        </w:rPr>
        <w:t xml:space="preserve">Hotărârea Guvernului Nr. 372 din 10.06.2020, disponibilă aici - </w:t>
      </w:r>
      <w:hyperlink r:id="rId5" w:history="1">
        <w:r w:rsidR="00157239" w:rsidRPr="00157239">
          <w:rPr>
            <w:rStyle w:val="Hyperlink"/>
            <w:rFonts w:ascii="Times New Roman" w:hAnsi="Times New Roman" w:cs="Times New Roman"/>
            <w:sz w:val="18"/>
            <w:szCs w:val="18"/>
            <w:lang w:val="ro-MD"/>
          </w:rPr>
          <w:t>https://www.legis.md/cautare/getResults?doc_id=121818&amp;lang=ro</w:t>
        </w:r>
      </w:hyperlink>
      <w:r w:rsidR="00157239" w:rsidRPr="00157239">
        <w:rPr>
          <w:rFonts w:ascii="Times New Roman" w:hAnsi="Times New Roman" w:cs="Times New Roman"/>
          <w:sz w:val="18"/>
          <w:szCs w:val="18"/>
          <w:lang w:val="ro-MD"/>
        </w:rPr>
        <w:t xml:space="preserve"> </w:t>
      </w:r>
    </w:p>
  </w:footnote>
  <w:footnote w:id="7">
    <w:p w14:paraId="59C9B27C" w14:textId="522959B7" w:rsidR="00344953" w:rsidRPr="00344953" w:rsidRDefault="00344953" w:rsidP="00344953">
      <w:pPr>
        <w:pStyle w:val="FootnoteText"/>
        <w:rPr>
          <w:rFonts w:ascii="Times New Roman" w:hAnsi="Times New Roman" w:cs="Times New Roman"/>
          <w:lang w:val="ro-MD"/>
        </w:rPr>
      </w:pPr>
      <w:r w:rsidRPr="00344953">
        <w:rPr>
          <w:rStyle w:val="FootnoteReference"/>
          <w:rFonts w:ascii="Times New Roman" w:hAnsi="Times New Roman" w:cs="Times New Roman"/>
          <w:sz w:val="18"/>
          <w:szCs w:val="18"/>
        </w:rPr>
        <w:footnoteRef/>
      </w:r>
      <w:r w:rsidRPr="00D22310">
        <w:rPr>
          <w:rFonts w:ascii="Times New Roman" w:hAnsi="Times New Roman" w:cs="Times New Roman"/>
          <w:sz w:val="18"/>
          <w:szCs w:val="18"/>
          <w:lang w:val="ro-MD"/>
        </w:rPr>
        <w:t xml:space="preserve"> Raport</w:t>
      </w:r>
      <w:r w:rsidRPr="00344953">
        <w:rPr>
          <w:rFonts w:ascii="Times New Roman" w:hAnsi="Times New Roman" w:cs="Times New Roman"/>
          <w:sz w:val="18"/>
          <w:szCs w:val="18"/>
          <w:lang w:val="ro-MD"/>
        </w:rPr>
        <w:t xml:space="preserve"> </w:t>
      </w:r>
      <w:r w:rsidRPr="00D22310">
        <w:rPr>
          <w:rFonts w:ascii="Times New Roman" w:hAnsi="Times New Roman" w:cs="Times New Roman"/>
          <w:sz w:val="18"/>
          <w:szCs w:val="18"/>
          <w:lang w:val="ro-MD"/>
        </w:rPr>
        <w:t>generalizat privind îndeplinirea obiectivelor</w:t>
      </w:r>
      <w:r w:rsidRPr="00344953">
        <w:rPr>
          <w:rFonts w:ascii="Times New Roman" w:hAnsi="Times New Roman" w:cs="Times New Roman"/>
          <w:sz w:val="18"/>
          <w:szCs w:val="18"/>
          <w:lang w:val="ro-MD"/>
        </w:rPr>
        <w:t xml:space="preserve"> </w:t>
      </w:r>
      <w:r w:rsidRPr="00D22310">
        <w:rPr>
          <w:rFonts w:ascii="Times New Roman" w:hAnsi="Times New Roman" w:cs="Times New Roman"/>
          <w:sz w:val="18"/>
          <w:szCs w:val="18"/>
          <w:lang w:val="ro-MD"/>
        </w:rPr>
        <w:t>în domeniul EE și SER stabilite în PNEE</w:t>
      </w:r>
      <w:r w:rsidRPr="00344953">
        <w:rPr>
          <w:rFonts w:ascii="Times New Roman" w:hAnsi="Times New Roman" w:cs="Times New Roman"/>
          <w:sz w:val="18"/>
          <w:szCs w:val="18"/>
          <w:lang w:val="ro-MD"/>
        </w:rPr>
        <w:t xml:space="preserve"> </w:t>
      </w:r>
      <w:r w:rsidRPr="00D22310">
        <w:rPr>
          <w:rFonts w:ascii="Times New Roman" w:hAnsi="Times New Roman" w:cs="Times New Roman"/>
          <w:sz w:val="18"/>
          <w:szCs w:val="18"/>
          <w:lang w:val="ro-MD"/>
        </w:rPr>
        <w:t>2011-2020/ PNAEE 2019-2021/ PNAESR</w:t>
      </w:r>
      <w:r w:rsidRPr="00344953">
        <w:rPr>
          <w:rFonts w:ascii="Times New Roman" w:hAnsi="Times New Roman" w:cs="Times New Roman"/>
          <w:sz w:val="18"/>
          <w:szCs w:val="18"/>
          <w:lang w:val="ro-MD"/>
        </w:rPr>
        <w:t xml:space="preserve"> </w:t>
      </w:r>
      <w:r w:rsidRPr="00D22310">
        <w:rPr>
          <w:rFonts w:ascii="Times New Roman" w:hAnsi="Times New Roman" w:cs="Times New Roman"/>
          <w:sz w:val="18"/>
          <w:szCs w:val="18"/>
          <w:lang w:val="ro-MD"/>
        </w:rPr>
        <w:t>2013-2020</w:t>
      </w:r>
      <w:r>
        <w:rPr>
          <w:rFonts w:ascii="Times New Roman" w:hAnsi="Times New Roman" w:cs="Times New Roman"/>
          <w:sz w:val="18"/>
          <w:szCs w:val="18"/>
          <w:lang w:val="ro-MD"/>
        </w:rPr>
        <w:t xml:space="preserve">, </w:t>
      </w:r>
      <w:hyperlink r:id="rId6" w:history="1">
        <w:r w:rsidR="008A4857" w:rsidRPr="007660F5">
          <w:rPr>
            <w:rStyle w:val="Hyperlink"/>
            <w:rFonts w:ascii="Times New Roman" w:hAnsi="Times New Roman" w:cs="Times New Roman"/>
            <w:sz w:val="18"/>
            <w:szCs w:val="18"/>
            <w:lang w:val="ro-MD"/>
          </w:rPr>
          <w:t>https://docs.google.com/viewer?docex=1&amp;url=https://aee.gov.md/storage/Rapoarte/Raport%20Privind%20EE%20SER%202020.pdf</w:t>
        </w:r>
      </w:hyperlink>
      <w:r w:rsidR="008A4857">
        <w:rPr>
          <w:rFonts w:ascii="Times New Roman" w:hAnsi="Times New Roman" w:cs="Times New Roman"/>
          <w:sz w:val="18"/>
          <w:szCs w:val="18"/>
          <w:lang w:val="ro-MD"/>
        </w:rPr>
        <w:t xml:space="preserve"> </w:t>
      </w:r>
    </w:p>
  </w:footnote>
  <w:footnote w:id="8">
    <w:p w14:paraId="79576F8D" w14:textId="20B77580" w:rsidR="0085308C" w:rsidRPr="00D22310" w:rsidRDefault="0085308C" w:rsidP="002C61AA">
      <w:pPr>
        <w:pStyle w:val="FootnoteText"/>
        <w:rPr>
          <w:lang w:val="ro-MD"/>
        </w:rPr>
      </w:pPr>
    </w:p>
  </w:footnote>
  <w:footnote w:id="9">
    <w:p w14:paraId="2DDBCFEC" w14:textId="3D99F5EE" w:rsidR="008D75AE" w:rsidRPr="008D75AE" w:rsidRDefault="008D75AE">
      <w:pPr>
        <w:pStyle w:val="FootnoteText"/>
        <w:rPr>
          <w:rFonts w:ascii="Times New Roman" w:hAnsi="Times New Roman" w:cs="Times New Roman"/>
          <w:lang w:val="ro-MD"/>
        </w:rPr>
      </w:pPr>
      <w:r w:rsidRPr="008D75AE">
        <w:rPr>
          <w:rStyle w:val="FootnoteReference"/>
          <w:rFonts w:ascii="Times New Roman" w:hAnsi="Times New Roman" w:cs="Times New Roman"/>
          <w:sz w:val="18"/>
          <w:szCs w:val="18"/>
        </w:rPr>
        <w:footnoteRef/>
      </w:r>
      <w:r w:rsidRPr="00D22310">
        <w:rPr>
          <w:rFonts w:ascii="Times New Roman" w:hAnsi="Times New Roman" w:cs="Times New Roman"/>
          <w:sz w:val="18"/>
          <w:szCs w:val="18"/>
          <w:lang w:val="it-IT"/>
        </w:rPr>
        <w:t xml:space="preserve"> </w:t>
      </w:r>
      <w:r w:rsidRPr="008D75AE">
        <w:rPr>
          <w:rFonts w:ascii="Times New Roman" w:hAnsi="Times New Roman" w:cs="Times New Roman"/>
          <w:sz w:val="18"/>
          <w:szCs w:val="18"/>
          <w:lang w:val="ro-MD"/>
        </w:rPr>
        <w:t>Prevederea de la art. 30, alin. (2), lit. a) stipulează că „</w:t>
      </w:r>
      <w:r w:rsidRPr="00D22310">
        <w:rPr>
          <w:rFonts w:ascii="Times New Roman" w:hAnsi="Times New Roman" w:cs="Times New Roman"/>
          <w:i/>
          <w:iCs/>
          <w:color w:val="333333"/>
          <w:sz w:val="18"/>
          <w:szCs w:val="18"/>
          <w:shd w:val="clear" w:color="auto" w:fill="FFFFFF"/>
          <w:lang w:val="en-US"/>
        </w:rPr>
        <w:t xml:space="preserve">Guvernul, în sensul art. 8 alin. </w:t>
      </w:r>
      <w:r w:rsidRPr="00D22310">
        <w:rPr>
          <w:rFonts w:ascii="Times New Roman" w:hAnsi="Times New Roman" w:cs="Times New Roman"/>
          <w:i/>
          <w:iCs/>
          <w:color w:val="333333"/>
          <w:sz w:val="18"/>
          <w:szCs w:val="18"/>
          <w:shd w:val="clear" w:color="auto" w:fill="FFFFFF"/>
          <w:lang w:val="it-IT"/>
        </w:rPr>
        <w:t>(2), la calcularea cantității totale cumulate a economiilor de energie pentru perioada 1 ianuarie 2019–31 decembrie 2020, va utiliza valoarea procentuală în mărime de 0,7% anual;</w:t>
      </w:r>
      <w:r w:rsidRPr="008D75AE">
        <w:rPr>
          <w:rFonts w:ascii="Times New Roman" w:hAnsi="Times New Roman" w:cs="Times New Roman"/>
          <w:i/>
          <w:iCs/>
          <w:color w:val="333333"/>
          <w:sz w:val="18"/>
          <w:szCs w:val="18"/>
          <w:shd w:val="clear" w:color="auto" w:fill="FFFFFF"/>
          <w:lang w:val="ro-MD"/>
        </w:rPr>
        <w:t>”</w:t>
      </w:r>
    </w:p>
  </w:footnote>
  <w:footnote w:id="10">
    <w:p w14:paraId="55B165CE" w14:textId="65C418DA" w:rsidR="00E44A8F" w:rsidRPr="008663FD" w:rsidRDefault="00E44A8F">
      <w:pPr>
        <w:pStyle w:val="FootnoteText"/>
        <w:rPr>
          <w:lang w:val="ro-MD"/>
        </w:rPr>
      </w:pPr>
      <w:r>
        <w:rPr>
          <w:rStyle w:val="FootnoteReference"/>
        </w:rPr>
        <w:footnoteRef/>
      </w:r>
      <w:r w:rsidRPr="008D75AE">
        <w:rPr>
          <w:rFonts w:ascii="Times New Roman" w:hAnsi="Times New Roman" w:cs="Times New Roman"/>
          <w:sz w:val="18"/>
          <w:szCs w:val="18"/>
          <w:lang w:val="ro-MD"/>
        </w:rPr>
        <w:t>Prevederea de la art. 30, alin. (</w:t>
      </w:r>
      <w:r>
        <w:rPr>
          <w:rFonts w:ascii="Times New Roman" w:hAnsi="Times New Roman" w:cs="Times New Roman"/>
          <w:sz w:val="18"/>
          <w:szCs w:val="18"/>
          <w:lang w:val="ro-MD"/>
        </w:rPr>
        <w:t>3</w:t>
      </w:r>
      <w:r w:rsidRPr="008D75AE">
        <w:rPr>
          <w:rFonts w:ascii="Times New Roman" w:hAnsi="Times New Roman" w:cs="Times New Roman"/>
          <w:sz w:val="18"/>
          <w:szCs w:val="18"/>
          <w:lang w:val="ro-MD"/>
        </w:rPr>
        <w:t>)</w:t>
      </w:r>
      <w:r>
        <w:rPr>
          <w:rFonts w:ascii="Times New Roman" w:hAnsi="Times New Roman" w:cs="Times New Roman"/>
          <w:sz w:val="18"/>
          <w:szCs w:val="18"/>
          <w:lang w:val="ro-MD"/>
        </w:rPr>
        <w:t xml:space="preserve"> </w:t>
      </w:r>
      <w:r w:rsidRPr="008D75AE">
        <w:rPr>
          <w:rFonts w:ascii="Times New Roman" w:hAnsi="Times New Roman" w:cs="Times New Roman"/>
          <w:sz w:val="18"/>
          <w:szCs w:val="18"/>
          <w:lang w:val="ro-MD"/>
        </w:rPr>
        <w:t xml:space="preserve">stipulează că </w:t>
      </w:r>
      <w:r w:rsidRPr="008663FD">
        <w:rPr>
          <w:rFonts w:ascii="Times New Roman" w:hAnsi="Times New Roman" w:cs="Times New Roman"/>
          <w:i/>
          <w:iCs/>
          <w:sz w:val="18"/>
          <w:szCs w:val="18"/>
          <w:lang w:val="ro-MD"/>
        </w:rPr>
        <w:t>„</w:t>
      </w:r>
      <w:r w:rsidR="008663FD" w:rsidRPr="00533753">
        <w:rPr>
          <w:rFonts w:ascii="Times New Roman" w:hAnsi="Times New Roman" w:cs="Times New Roman"/>
          <w:i/>
          <w:iCs/>
          <w:sz w:val="18"/>
          <w:szCs w:val="18"/>
          <w:lang w:val="ro-MD"/>
        </w:rPr>
        <w:t xml:space="preserve">[…] </w:t>
      </w:r>
      <w:r w:rsidR="008663FD" w:rsidRPr="008663FD">
        <w:rPr>
          <w:rFonts w:ascii="Times New Roman" w:hAnsi="Times New Roman" w:cs="Times New Roman"/>
          <w:i/>
          <w:iCs/>
          <w:sz w:val="18"/>
          <w:szCs w:val="18"/>
          <w:lang w:val="ro-MD"/>
        </w:rPr>
        <w:t>pentru perioada 2019–2020, 1% din suprafața totală a clădirilor din domeniul public al statului, încălzite și/sau răcite, în care își desfășoară activitatea autoritățile administrației publice centrale de specialitate, anual, trebuie să fie renovat</w:t>
      </w:r>
      <w:r w:rsidR="008663FD">
        <w:rPr>
          <w:rFonts w:ascii="Times New Roman" w:hAnsi="Times New Roman" w:cs="Times New Roman"/>
          <w:i/>
          <w:iCs/>
          <w:sz w:val="18"/>
          <w:szCs w:val="18"/>
          <w:lang w:val="ro-MD"/>
        </w:rPr>
        <w:t xml:space="preserve"> [...]”</w:t>
      </w:r>
    </w:p>
  </w:footnote>
  <w:footnote w:id="11">
    <w:p w14:paraId="5580FC49" w14:textId="30194ABC" w:rsidR="004A58FF" w:rsidRPr="004A58FF" w:rsidRDefault="004A58FF">
      <w:pPr>
        <w:pStyle w:val="FootnoteText"/>
        <w:rPr>
          <w:rFonts w:ascii="Times New Roman" w:hAnsi="Times New Roman" w:cs="Times New Roman"/>
          <w:lang w:val="ro-MD"/>
        </w:rPr>
      </w:pPr>
      <w:r w:rsidRPr="004A58FF">
        <w:rPr>
          <w:rStyle w:val="FootnoteReference"/>
          <w:rFonts w:ascii="Times New Roman" w:hAnsi="Times New Roman" w:cs="Times New Roman"/>
        </w:rPr>
        <w:footnoteRef/>
      </w:r>
      <w:r w:rsidRPr="00D22310">
        <w:rPr>
          <w:rFonts w:ascii="Times New Roman" w:hAnsi="Times New Roman" w:cs="Times New Roman"/>
          <w:lang w:val="it-IT"/>
        </w:rPr>
        <w:t xml:space="preserve"> </w:t>
      </w:r>
      <w:r w:rsidRPr="004A58FF">
        <w:rPr>
          <w:rFonts w:ascii="Times New Roman" w:hAnsi="Times New Roman" w:cs="Times New Roman"/>
          <w:lang w:val="ro-MD"/>
        </w:rPr>
        <w:t>Balanța Energetică a Republicii Moldova</w:t>
      </w:r>
      <w:r w:rsidR="00AE6547">
        <w:rPr>
          <w:rFonts w:ascii="Times New Roman" w:hAnsi="Times New Roman" w:cs="Times New Roman"/>
          <w:lang w:val="ro-MD"/>
        </w:rPr>
        <w:t>, Ediția 2021</w:t>
      </w:r>
      <w:r>
        <w:rPr>
          <w:rFonts w:ascii="Times New Roman" w:hAnsi="Times New Roman" w:cs="Times New Roman"/>
          <w:lang w:val="ro-MD"/>
        </w:rPr>
        <w:t xml:space="preserve">, disponibilă </w:t>
      </w:r>
      <w:r w:rsidR="00AE6547">
        <w:rPr>
          <w:rFonts w:ascii="Times New Roman" w:hAnsi="Times New Roman" w:cs="Times New Roman"/>
          <w:lang w:val="ro-MD"/>
        </w:rPr>
        <w:t xml:space="preserve">electronic - </w:t>
      </w:r>
      <w:hyperlink r:id="rId7" w:history="1">
        <w:r w:rsidR="00AE6547" w:rsidRPr="004E5E46">
          <w:rPr>
            <w:rStyle w:val="Hyperlink"/>
            <w:rFonts w:ascii="Times New Roman" w:hAnsi="Times New Roman" w:cs="Times New Roman"/>
            <w:sz w:val="16"/>
            <w:szCs w:val="16"/>
            <w:lang w:val="ro-MD"/>
          </w:rPr>
          <w:t>https://docs.google.com/viewer?docex=1&amp;url=https://statistica.gov.md/public/files/publicatii_electronice/balanta_energetica/Balanta_energetica_2020_ro.pdf</w:t>
        </w:r>
      </w:hyperlink>
      <w:r w:rsidR="00AE6547" w:rsidRPr="004E5E46">
        <w:rPr>
          <w:rFonts w:ascii="Times New Roman" w:hAnsi="Times New Roman" w:cs="Times New Roman"/>
          <w:sz w:val="16"/>
          <w:szCs w:val="16"/>
          <w:lang w:val="ro-MD"/>
        </w:rPr>
        <w:t xml:space="preserve"> </w:t>
      </w:r>
    </w:p>
  </w:footnote>
  <w:footnote w:id="12">
    <w:p w14:paraId="60778C1A" w14:textId="023A429A" w:rsidR="00604145" w:rsidRPr="002A4C73" w:rsidRDefault="00604145">
      <w:pPr>
        <w:pStyle w:val="FootnoteText"/>
        <w:rPr>
          <w:rFonts w:ascii="Times New Roman" w:hAnsi="Times New Roman" w:cs="Times New Roman"/>
          <w:lang w:val="ro-MD"/>
        </w:rPr>
      </w:pPr>
      <w:r w:rsidRPr="002A4C73">
        <w:rPr>
          <w:rStyle w:val="FootnoteReference"/>
          <w:rFonts w:ascii="Times New Roman" w:hAnsi="Times New Roman" w:cs="Times New Roman"/>
        </w:rPr>
        <w:footnoteRef/>
      </w:r>
      <w:r w:rsidRPr="00D22310">
        <w:rPr>
          <w:rFonts w:ascii="Times New Roman" w:hAnsi="Times New Roman" w:cs="Times New Roman"/>
          <w:lang w:val="it-IT"/>
        </w:rPr>
        <w:t xml:space="preserve"> </w:t>
      </w:r>
      <w:r w:rsidRPr="002A4C73">
        <w:rPr>
          <w:rFonts w:ascii="Times New Roman" w:hAnsi="Times New Roman" w:cs="Times New Roman"/>
          <w:lang w:val="ro-MD"/>
        </w:rPr>
        <w:t>În conformitate cu Inventarul clădirilor publice</w:t>
      </w:r>
      <w:r w:rsidR="00E707FB" w:rsidRPr="002A4C73">
        <w:rPr>
          <w:rFonts w:ascii="Times New Roman" w:hAnsi="Times New Roman" w:cs="Times New Roman"/>
          <w:lang w:val="ro-MD"/>
        </w:rPr>
        <w:t xml:space="preserve"> deținute și ocupate de administrația publică centrală, elaborat de AEE și publicat </w:t>
      </w:r>
      <w:r w:rsidR="004E5E46">
        <w:rPr>
          <w:rFonts w:ascii="Times New Roman" w:hAnsi="Times New Roman" w:cs="Times New Roman"/>
          <w:lang w:val="ro-MD"/>
        </w:rPr>
        <w:t xml:space="preserve">în anul 2019 </w:t>
      </w:r>
      <w:r w:rsidR="00E707FB" w:rsidRPr="002A4C73">
        <w:rPr>
          <w:rFonts w:ascii="Times New Roman" w:hAnsi="Times New Roman" w:cs="Times New Roman"/>
          <w:lang w:val="ro-MD"/>
        </w:rPr>
        <w:t xml:space="preserve">pe pagina web a acesteia - </w:t>
      </w:r>
      <w:hyperlink r:id="rId8" w:history="1">
        <w:r w:rsidR="004E5E46" w:rsidRPr="004E5E46">
          <w:rPr>
            <w:rStyle w:val="Hyperlink"/>
            <w:rFonts w:ascii="Times New Roman" w:hAnsi="Times New Roman" w:cs="Times New Roman"/>
            <w:sz w:val="16"/>
            <w:szCs w:val="16"/>
            <w:lang w:val="ro-MD"/>
          </w:rPr>
          <w:t>https://docs.google.com/viewer?docex=1&amp;url=https://aee.gov.md/storage/eficienta%20energetica/Inventarul%20cl%c4%83dirilor%20publice%20de%c8%9binute%20%c8%99i%20ocupate%20de%20c%c4%83tre%20Administra%c8%9bia%20Public%c4%83%20Central%c4%83.pdf</w:t>
        </w:r>
      </w:hyperlink>
      <w:r w:rsidR="004E5E46" w:rsidRPr="004E5E46">
        <w:rPr>
          <w:rFonts w:ascii="Times New Roman" w:hAnsi="Times New Roman" w:cs="Times New Roman"/>
          <w:sz w:val="16"/>
          <w:szCs w:val="16"/>
          <w:lang w:val="ro-M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2D004CD"/>
    <w:multiLevelType w:val="hybridMultilevel"/>
    <w:tmpl w:val="E8B29E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4C1210"/>
    <w:multiLevelType w:val="hybridMultilevel"/>
    <w:tmpl w:val="24B4568C"/>
    <w:lvl w:ilvl="0" w:tplc="420E67C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92C67"/>
    <w:multiLevelType w:val="hybridMultilevel"/>
    <w:tmpl w:val="0F80DF50"/>
    <w:lvl w:ilvl="0" w:tplc="C164AD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76C353C"/>
    <w:multiLevelType w:val="hybridMultilevel"/>
    <w:tmpl w:val="D5108308"/>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99E077D"/>
    <w:multiLevelType w:val="hybridMultilevel"/>
    <w:tmpl w:val="EFC623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5A73F38"/>
    <w:multiLevelType w:val="hybridMultilevel"/>
    <w:tmpl w:val="DBE46D44"/>
    <w:lvl w:ilvl="0" w:tplc="EDFC86E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49157AA"/>
    <w:multiLevelType w:val="hybridMultilevel"/>
    <w:tmpl w:val="A2ECE6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6DE2823"/>
    <w:multiLevelType w:val="hybridMultilevel"/>
    <w:tmpl w:val="A766936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C0A7D27"/>
    <w:multiLevelType w:val="hybridMultilevel"/>
    <w:tmpl w:val="334A16FA"/>
    <w:lvl w:ilvl="0" w:tplc="73982044">
      <w:start w:val="15"/>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F9A25C1"/>
    <w:multiLevelType w:val="hybridMultilevel"/>
    <w:tmpl w:val="4D96FA9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0D72838"/>
    <w:multiLevelType w:val="hybridMultilevel"/>
    <w:tmpl w:val="0CA44B20"/>
    <w:lvl w:ilvl="0" w:tplc="EBD28E4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47636"/>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C3FF1"/>
    <w:multiLevelType w:val="hybridMultilevel"/>
    <w:tmpl w:val="946C8DB2"/>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A864A8C"/>
    <w:multiLevelType w:val="hybridMultilevel"/>
    <w:tmpl w:val="3A1EF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E0978CF"/>
    <w:multiLevelType w:val="hybridMultilevel"/>
    <w:tmpl w:val="BB0C5FFE"/>
    <w:lvl w:ilvl="0" w:tplc="D792905C">
      <w:start w:val="1"/>
      <w:numFmt w:val="lowerLetter"/>
      <w:lvlText w:val="%1)"/>
      <w:lvlJc w:val="left"/>
      <w:pPr>
        <w:ind w:left="-1341" w:hanging="360"/>
      </w:pPr>
      <w:rPr>
        <w:rFonts w:hint="default"/>
      </w:rPr>
    </w:lvl>
    <w:lvl w:ilvl="1" w:tplc="04180019" w:tentative="1">
      <w:start w:val="1"/>
      <w:numFmt w:val="lowerLetter"/>
      <w:lvlText w:val="%2."/>
      <w:lvlJc w:val="left"/>
      <w:pPr>
        <w:ind w:left="-621" w:hanging="360"/>
      </w:pPr>
    </w:lvl>
    <w:lvl w:ilvl="2" w:tplc="0418001B" w:tentative="1">
      <w:start w:val="1"/>
      <w:numFmt w:val="lowerRoman"/>
      <w:lvlText w:val="%3."/>
      <w:lvlJc w:val="right"/>
      <w:pPr>
        <w:ind w:left="99" w:hanging="180"/>
      </w:pPr>
    </w:lvl>
    <w:lvl w:ilvl="3" w:tplc="0418000F" w:tentative="1">
      <w:start w:val="1"/>
      <w:numFmt w:val="decimal"/>
      <w:lvlText w:val="%4."/>
      <w:lvlJc w:val="left"/>
      <w:pPr>
        <w:ind w:left="819" w:hanging="360"/>
      </w:pPr>
    </w:lvl>
    <w:lvl w:ilvl="4" w:tplc="04180019" w:tentative="1">
      <w:start w:val="1"/>
      <w:numFmt w:val="lowerLetter"/>
      <w:lvlText w:val="%5."/>
      <w:lvlJc w:val="left"/>
      <w:pPr>
        <w:ind w:left="1539" w:hanging="360"/>
      </w:pPr>
    </w:lvl>
    <w:lvl w:ilvl="5" w:tplc="0418001B" w:tentative="1">
      <w:start w:val="1"/>
      <w:numFmt w:val="lowerRoman"/>
      <w:lvlText w:val="%6."/>
      <w:lvlJc w:val="right"/>
      <w:pPr>
        <w:ind w:left="2259" w:hanging="180"/>
      </w:pPr>
    </w:lvl>
    <w:lvl w:ilvl="6" w:tplc="0418000F" w:tentative="1">
      <w:start w:val="1"/>
      <w:numFmt w:val="decimal"/>
      <w:lvlText w:val="%7."/>
      <w:lvlJc w:val="left"/>
      <w:pPr>
        <w:ind w:left="2979" w:hanging="360"/>
      </w:pPr>
    </w:lvl>
    <w:lvl w:ilvl="7" w:tplc="04180019" w:tentative="1">
      <w:start w:val="1"/>
      <w:numFmt w:val="lowerLetter"/>
      <w:lvlText w:val="%8."/>
      <w:lvlJc w:val="left"/>
      <w:pPr>
        <w:ind w:left="3699" w:hanging="360"/>
      </w:pPr>
    </w:lvl>
    <w:lvl w:ilvl="8" w:tplc="0418001B" w:tentative="1">
      <w:start w:val="1"/>
      <w:numFmt w:val="lowerRoman"/>
      <w:lvlText w:val="%9."/>
      <w:lvlJc w:val="right"/>
      <w:pPr>
        <w:ind w:left="4419" w:hanging="180"/>
      </w:pPr>
    </w:lvl>
  </w:abstractNum>
  <w:abstractNum w:abstractNumId="18" w15:restartNumberingAfterBreak="0">
    <w:nsid w:val="53261EA5"/>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26F7C"/>
    <w:multiLevelType w:val="hybridMultilevel"/>
    <w:tmpl w:val="8D94E794"/>
    <w:lvl w:ilvl="0" w:tplc="822EA662">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C7B3E"/>
    <w:multiLevelType w:val="hybridMultilevel"/>
    <w:tmpl w:val="80E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672305AE"/>
    <w:multiLevelType w:val="hybridMultilevel"/>
    <w:tmpl w:val="4490BD7A"/>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683A58A1"/>
    <w:multiLevelType w:val="hybridMultilevel"/>
    <w:tmpl w:val="FF5275A6"/>
    <w:lvl w:ilvl="0" w:tplc="BAEC7D08">
      <w:start w:val="1"/>
      <w:numFmt w:val="bullet"/>
      <w:lvlText w:val="-"/>
      <w:lvlJc w:val="left"/>
      <w:pPr>
        <w:ind w:left="1145" w:hanging="360"/>
      </w:pPr>
      <w:rPr>
        <w:rFonts w:ascii="Cambria"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8686E"/>
    <w:multiLevelType w:val="hybridMultilevel"/>
    <w:tmpl w:val="8BFCC73E"/>
    <w:lvl w:ilvl="0" w:tplc="13FCE81A">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25D3A17"/>
    <w:multiLevelType w:val="hybridMultilevel"/>
    <w:tmpl w:val="940E582C"/>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6280C"/>
    <w:multiLevelType w:val="hybridMultilevel"/>
    <w:tmpl w:val="0DE2F570"/>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A4902AC"/>
    <w:multiLevelType w:val="hybridMultilevel"/>
    <w:tmpl w:val="7366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F2C65"/>
    <w:multiLevelType w:val="multilevel"/>
    <w:tmpl w:val="A7A4DE3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627688"/>
    <w:multiLevelType w:val="hybridMultilevel"/>
    <w:tmpl w:val="6F1ADA2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E303E1D"/>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7F930F9F"/>
    <w:multiLevelType w:val="hybridMultilevel"/>
    <w:tmpl w:val="E7B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700682">
    <w:abstractNumId w:val="0"/>
  </w:num>
  <w:num w:numId="2" w16cid:durableId="556009859">
    <w:abstractNumId w:val="21"/>
  </w:num>
  <w:num w:numId="3" w16cid:durableId="2133473757">
    <w:abstractNumId w:val="8"/>
  </w:num>
  <w:num w:numId="4" w16cid:durableId="1433666069">
    <w:abstractNumId w:val="25"/>
  </w:num>
  <w:num w:numId="5" w16cid:durableId="2093701737">
    <w:abstractNumId w:val="12"/>
  </w:num>
  <w:num w:numId="6" w16cid:durableId="843670322">
    <w:abstractNumId w:val="10"/>
  </w:num>
  <w:num w:numId="7" w16cid:durableId="1026443025">
    <w:abstractNumId w:val="23"/>
  </w:num>
  <w:num w:numId="8" w16cid:durableId="352734138">
    <w:abstractNumId w:val="31"/>
  </w:num>
  <w:num w:numId="9" w16cid:durableId="890724170">
    <w:abstractNumId w:val="22"/>
  </w:num>
  <w:num w:numId="10" w16cid:durableId="1011948849">
    <w:abstractNumId w:val="5"/>
  </w:num>
  <w:num w:numId="11" w16cid:durableId="244263278">
    <w:abstractNumId w:val="4"/>
  </w:num>
  <w:num w:numId="12" w16cid:durableId="212234961">
    <w:abstractNumId w:val="16"/>
  </w:num>
  <w:num w:numId="13" w16cid:durableId="161431894">
    <w:abstractNumId w:val="6"/>
  </w:num>
  <w:num w:numId="14" w16cid:durableId="984818719">
    <w:abstractNumId w:val="1"/>
  </w:num>
  <w:num w:numId="15" w16cid:durableId="1555122366">
    <w:abstractNumId w:val="9"/>
  </w:num>
  <w:num w:numId="16" w16cid:durableId="735398556">
    <w:abstractNumId w:val="27"/>
  </w:num>
  <w:num w:numId="17" w16cid:durableId="594368094">
    <w:abstractNumId w:val="15"/>
  </w:num>
  <w:num w:numId="18" w16cid:durableId="1324819006">
    <w:abstractNumId w:val="17"/>
  </w:num>
  <w:num w:numId="19" w16cid:durableId="1332685840">
    <w:abstractNumId w:val="30"/>
  </w:num>
  <w:num w:numId="20" w16cid:durableId="1114667320">
    <w:abstractNumId w:val="7"/>
  </w:num>
  <w:num w:numId="21" w16cid:durableId="1443496078">
    <w:abstractNumId w:val="26"/>
  </w:num>
  <w:num w:numId="22" w16cid:durableId="275065294">
    <w:abstractNumId w:val="11"/>
  </w:num>
  <w:num w:numId="23" w16cid:durableId="1527477891">
    <w:abstractNumId w:val="2"/>
  </w:num>
  <w:num w:numId="24" w16cid:durableId="622228932">
    <w:abstractNumId w:val="24"/>
  </w:num>
  <w:num w:numId="25" w16cid:durableId="1727605760">
    <w:abstractNumId w:val="32"/>
  </w:num>
  <w:num w:numId="26" w16cid:durableId="810097911">
    <w:abstractNumId w:val="20"/>
  </w:num>
  <w:num w:numId="27" w16cid:durableId="816721522">
    <w:abstractNumId w:val="19"/>
  </w:num>
  <w:num w:numId="28" w16cid:durableId="221214058">
    <w:abstractNumId w:val="29"/>
  </w:num>
  <w:num w:numId="29" w16cid:durableId="1949122305">
    <w:abstractNumId w:val="14"/>
  </w:num>
  <w:num w:numId="30" w16cid:durableId="1625112466">
    <w:abstractNumId w:val="18"/>
  </w:num>
  <w:num w:numId="31" w16cid:durableId="1796020138">
    <w:abstractNumId w:val="28"/>
  </w:num>
  <w:num w:numId="32" w16cid:durableId="1494833610">
    <w:abstractNumId w:val="13"/>
  </w:num>
  <w:num w:numId="33" w16cid:durableId="136906804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6" w:nlCheck="1" w:checkStyle="1"/>
  <w:activeWritingStyle w:appName="MSWord" w:lang="it-IT" w:vendorID="64" w:dllVersion="0" w:nlCheck="1" w:checkStyle="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46"/>
    <w:rsid w:val="00000874"/>
    <w:rsid w:val="0000122D"/>
    <w:rsid w:val="00001C15"/>
    <w:rsid w:val="00002A61"/>
    <w:rsid w:val="00002D28"/>
    <w:rsid w:val="00003536"/>
    <w:rsid w:val="00003A6E"/>
    <w:rsid w:val="0000569E"/>
    <w:rsid w:val="00005965"/>
    <w:rsid w:val="00005FB7"/>
    <w:rsid w:val="00006519"/>
    <w:rsid w:val="00007B38"/>
    <w:rsid w:val="00007E41"/>
    <w:rsid w:val="00007EA0"/>
    <w:rsid w:val="00007FB9"/>
    <w:rsid w:val="000111E4"/>
    <w:rsid w:val="000114D6"/>
    <w:rsid w:val="00011914"/>
    <w:rsid w:val="00011B3F"/>
    <w:rsid w:val="00011ED7"/>
    <w:rsid w:val="00011FF6"/>
    <w:rsid w:val="000124B6"/>
    <w:rsid w:val="00012D99"/>
    <w:rsid w:val="0001416A"/>
    <w:rsid w:val="0001458E"/>
    <w:rsid w:val="00015ED7"/>
    <w:rsid w:val="000167CD"/>
    <w:rsid w:val="000177DC"/>
    <w:rsid w:val="00021BE4"/>
    <w:rsid w:val="000229CB"/>
    <w:rsid w:val="00024467"/>
    <w:rsid w:val="00024D27"/>
    <w:rsid w:val="0002509A"/>
    <w:rsid w:val="0002525D"/>
    <w:rsid w:val="00025BC2"/>
    <w:rsid w:val="00025F4A"/>
    <w:rsid w:val="000261AF"/>
    <w:rsid w:val="00026AAB"/>
    <w:rsid w:val="00026D6E"/>
    <w:rsid w:val="0002702C"/>
    <w:rsid w:val="0002777B"/>
    <w:rsid w:val="00027C2C"/>
    <w:rsid w:val="0003050E"/>
    <w:rsid w:val="000305DF"/>
    <w:rsid w:val="00030CC7"/>
    <w:rsid w:val="00030D64"/>
    <w:rsid w:val="00032A55"/>
    <w:rsid w:val="00033D4B"/>
    <w:rsid w:val="0003497E"/>
    <w:rsid w:val="00034D1A"/>
    <w:rsid w:val="000355A0"/>
    <w:rsid w:val="00036256"/>
    <w:rsid w:val="00036CE0"/>
    <w:rsid w:val="00037B10"/>
    <w:rsid w:val="00040146"/>
    <w:rsid w:val="00041314"/>
    <w:rsid w:val="0004225E"/>
    <w:rsid w:val="000422D9"/>
    <w:rsid w:val="00043869"/>
    <w:rsid w:val="00043DBC"/>
    <w:rsid w:val="00044448"/>
    <w:rsid w:val="000445A0"/>
    <w:rsid w:val="000447D1"/>
    <w:rsid w:val="00044B16"/>
    <w:rsid w:val="0004501C"/>
    <w:rsid w:val="000458D9"/>
    <w:rsid w:val="00045F19"/>
    <w:rsid w:val="00046241"/>
    <w:rsid w:val="0004693D"/>
    <w:rsid w:val="000469D6"/>
    <w:rsid w:val="000472B0"/>
    <w:rsid w:val="0004742E"/>
    <w:rsid w:val="00047845"/>
    <w:rsid w:val="00047C3F"/>
    <w:rsid w:val="0005025C"/>
    <w:rsid w:val="00050F75"/>
    <w:rsid w:val="000512EE"/>
    <w:rsid w:val="0005173D"/>
    <w:rsid w:val="000518D0"/>
    <w:rsid w:val="000524BB"/>
    <w:rsid w:val="00052DBE"/>
    <w:rsid w:val="00052FEA"/>
    <w:rsid w:val="000535D0"/>
    <w:rsid w:val="000536E6"/>
    <w:rsid w:val="00053870"/>
    <w:rsid w:val="000545A7"/>
    <w:rsid w:val="00054B87"/>
    <w:rsid w:val="000555BD"/>
    <w:rsid w:val="000556D6"/>
    <w:rsid w:val="00056DBE"/>
    <w:rsid w:val="00056DF9"/>
    <w:rsid w:val="0005732C"/>
    <w:rsid w:val="0005761F"/>
    <w:rsid w:val="00060AD2"/>
    <w:rsid w:val="00060DDD"/>
    <w:rsid w:val="00061BD3"/>
    <w:rsid w:val="00061F5C"/>
    <w:rsid w:val="00062571"/>
    <w:rsid w:val="00063582"/>
    <w:rsid w:val="00063A11"/>
    <w:rsid w:val="0006417E"/>
    <w:rsid w:val="00064291"/>
    <w:rsid w:val="00064D2A"/>
    <w:rsid w:val="00065617"/>
    <w:rsid w:val="000657FA"/>
    <w:rsid w:val="00065CD3"/>
    <w:rsid w:val="00065FE7"/>
    <w:rsid w:val="000663F3"/>
    <w:rsid w:val="0006685B"/>
    <w:rsid w:val="00066936"/>
    <w:rsid w:val="00067106"/>
    <w:rsid w:val="000706E4"/>
    <w:rsid w:val="0007125A"/>
    <w:rsid w:val="00071C27"/>
    <w:rsid w:val="00071E39"/>
    <w:rsid w:val="00071FD9"/>
    <w:rsid w:val="0007273A"/>
    <w:rsid w:val="00072D1B"/>
    <w:rsid w:val="0007334C"/>
    <w:rsid w:val="000739D1"/>
    <w:rsid w:val="000742BA"/>
    <w:rsid w:val="00074AD2"/>
    <w:rsid w:val="00075981"/>
    <w:rsid w:val="000808BB"/>
    <w:rsid w:val="00080F15"/>
    <w:rsid w:val="0008120E"/>
    <w:rsid w:val="000812F2"/>
    <w:rsid w:val="0008242F"/>
    <w:rsid w:val="00083A6D"/>
    <w:rsid w:val="00083B3C"/>
    <w:rsid w:val="00083EFF"/>
    <w:rsid w:val="00083FD5"/>
    <w:rsid w:val="000844D9"/>
    <w:rsid w:val="000846B2"/>
    <w:rsid w:val="00084B83"/>
    <w:rsid w:val="00084B98"/>
    <w:rsid w:val="00084BB8"/>
    <w:rsid w:val="00084E14"/>
    <w:rsid w:val="00085E8C"/>
    <w:rsid w:val="00085E96"/>
    <w:rsid w:val="00086238"/>
    <w:rsid w:val="000862B2"/>
    <w:rsid w:val="000877A0"/>
    <w:rsid w:val="0009025C"/>
    <w:rsid w:val="00090766"/>
    <w:rsid w:val="000937FF"/>
    <w:rsid w:val="00093B53"/>
    <w:rsid w:val="00093BD5"/>
    <w:rsid w:val="00093E4B"/>
    <w:rsid w:val="0009419A"/>
    <w:rsid w:val="00094D68"/>
    <w:rsid w:val="00095543"/>
    <w:rsid w:val="0009579F"/>
    <w:rsid w:val="00096202"/>
    <w:rsid w:val="000975D3"/>
    <w:rsid w:val="00097C30"/>
    <w:rsid w:val="000A09BA"/>
    <w:rsid w:val="000A0CF0"/>
    <w:rsid w:val="000A11C0"/>
    <w:rsid w:val="000A15D8"/>
    <w:rsid w:val="000A1680"/>
    <w:rsid w:val="000A2369"/>
    <w:rsid w:val="000A2406"/>
    <w:rsid w:val="000A2485"/>
    <w:rsid w:val="000A32F6"/>
    <w:rsid w:val="000A38A3"/>
    <w:rsid w:val="000A3EE4"/>
    <w:rsid w:val="000A3F43"/>
    <w:rsid w:val="000A4D7A"/>
    <w:rsid w:val="000A4DD4"/>
    <w:rsid w:val="000A50CF"/>
    <w:rsid w:val="000A5464"/>
    <w:rsid w:val="000A5CBF"/>
    <w:rsid w:val="000A5D14"/>
    <w:rsid w:val="000A6071"/>
    <w:rsid w:val="000A6D56"/>
    <w:rsid w:val="000A74ED"/>
    <w:rsid w:val="000A7F16"/>
    <w:rsid w:val="000B0ED5"/>
    <w:rsid w:val="000B212E"/>
    <w:rsid w:val="000B21C3"/>
    <w:rsid w:val="000B228F"/>
    <w:rsid w:val="000B273E"/>
    <w:rsid w:val="000B2E49"/>
    <w:rsid w:val="000B35E9"/>
    <w:rsid w:val="000B3A13"/>
    <w:rsid w:val="000B3A95"/>
    <w:rsid w:val="000B3AE3"/>
    <w:rsid w:val="000B4442"/>
    <w:rsid w:val="000B4ACD"/>
    <w:rsid w:val="000B5DF2"/>
    <w:rsid w:val="000B5EC6"/>
    <w:rsid w:val="000B6F75"/>
    <w:rsid w:val="000B7194"/>
    <w:rsid w:val="000C0AEC"/>
    <w:rsid w:val="000C1B9E"/>
    <w:rsid w:val="000C1E84"/>
    <w:rsid w:val="000C3810"/>
    <w:rsid w:val="000C3B15"/>
    <w:rsid w:val="000C3E1E"/>
    <w:rsid w:val="000C3E85"/>
    <w:rsid w:val="000C4774"/>
    <w:rsid w:val="000C4B1D"/>
    <w:rsid w:val="000C4CC7"/>
    <w:rsid w:val="000C61D0"/>
    <w:rsid w:val="000C6640"/>
    <w:rsid w:val="000C696A"/>
    <w:rsid w:val="000C6CA9"/>
    <w:rsid w:val="000C726C"/>
    <w:rsid w:val="000C7774"/>
    <w:rsid w:val="000C7B99"/>
    <w:rsid w:val="000D0018"/>
    <w:rsid w:val="000D03BA"/>
    <w:rsid w:val="000D0D26"/>
    <w:rsid w:val="000D1A21"/>
    <w:rsid w:val="000D2125"/>
    <w:rsid w:val="000D310D"/>
    <w:rsid w:val="000D393E"/>
    <w:rsid w:val="000D4906"/>
    <w:rsid w:val="000D4C2F"/>
    <w:rsid w:val="000D5B06"/>
    <w:rsid w:val="000D6840"/>
    <w:rsid w:val="000D7634"/>
    <w:rsid w:val="000D7F66"/>
    <w:rsid w:val="000E05A6"/>
    <w:rsid w:val="000E0D2B"/>
    <w:rsid w:val="000E1272"/>
    <w:rsid w:val="000E1627"/>
    <w:rsid w:val="000E2050"/>
    <w:rsid w:val="000E25AE"/>
    <w:rsid w:val="000E320D"/>
    <w:rsid w:val="000E3DDF"/>
    <w:rsid w:val="000E3E97"/>
    <w:rsid w:val="000E48C1"/>
    <w:rsid w:val="000E4E04"/>
    <w:rsid w:val="000E5559"/>
    <w:rsid w:val="000E6764"/>
    <w:rsid w:val="000E6E4A"/>
    <w:rsid w:val="000E7670"/>
    <w:rsid w:val="000E7D61"/>
    <w:rsid w:val="000E7F03"/>
    <w:rsid w:val="000F0087"/>
    <w:rsid w:val="000F08E0"/>
    <w:rsid w:val="000F0EEA"/>
    <w:rsid w:val="000F1AAB"/>
    <w:rsid w:val="000F1DA7"/>
    <w:rsid w:val="000F2439"/>
    <w:rsid w:val="000F29F4"/>
    <w:rsid w:val="000F3691"/>
    <w:rsid w:val="000F3A28"/>
    <w:rsid w:val="000F47EE"/>
    <w:rsid w:val="000F4C85"/>
    <w:rsid w:val="000F5341"/>
    <w:rsid w:val="000F581A"/>
    <w:rsid w:val="000F5E00"/>
    <w:rsid w:val="000F6142"/>
    <w:rsid w:val="000F7592"/>
    <w:rsid w:val="00100468"/>
    <w:rsid w:val="001009F7"/>
    <w:rsid w:val="00101696"/>
    <w:rsid w:val="00101CBA"/>
    <w:rsid w:val="00101F7A"/>
    <w:rsid w:val="00102262"/>
    <w:rsid w:val="00102413"/>
    <w:rsid w:val="00102B11"/>
    <w:rsid w:val="001039CA"/>
    <w:rsid w:val="00104B1A"/>
    <w:rsid w:val="00106B30"/>
    <w:rsid w:val="0011095E"/>
    <w:rsid w:val="001111C9"/>
    <w:rsid w:val="001115A8"/>
    <w:rsid w:val="00112008"/>
    <w:rsid w:val="0011202B"/>
    <w:rsid w:val="00112FC5"/>
    <w:rsid w:val="00113148"/>
    <w:rsid w:val="00113303"/>
    <w:rsid w:val="001136D0"/>
    <w:rsid w:val="00113878"/>
    <w:rsid w:val="00113BE1"/>
    <w:rsid w:val="00113F89"/>
    <w:rsid w:val="001146C8"/>
    <w:rsid w:val="00116F2F"/>
    <w:rsid w:val="00116FBD"/>
    <w:rsid w:val="001177E0"/>
    <w:rsid w:val="00117A9A"/>
    <w:rsid w:val="001206BA"/>
    <w:rsid w:val="00120C67"/>
    <w:rsid w:val="00120DFB"/>
    <w:rsid w:val="00120E13"/>
    <w:rsid w:val="00121278"/>
    <w:rsid w:val="00121BB6"/>
    <w:rsid w:val="00121F07"/>
    <w:rsid w:val="00122A0C"/>
    <w:rsid w:val="00123EE8"/>
    <w:rsid w:val="0012463A"/>
    <w:rsid w:val="00124BB2"/>
    <w:rsid w:val="00125D3C"/>
    <w:rsid w:val="00126617"/>
    <w:rsid w:val="00126836"/>
    <w:rsid w:val="0012746A"/>
    <w:rsid w:val="00127631"/>
    <w:rsid w:val="00127908"/>
    <w:rsid w:val="00130A9C"/>
    <w:rsid w:val="00130E0A"/>
    <w:rsid w:val="001316A4"/>
    <w:rsid w:val="00131DDD"/>
    <w:rsid w:val="001321D6"/>
    <w:rsid w:val="00132248"/>
    <w:rsid w:val="0013304F"/>
    <w:rsid w:val="00133675"/>
    <w:rsid w:val="001353E8"/>
    <w:rsid w:val="00135D55"/>
    <w:rsid w:val="001362EC"/>
    <w:rsid w:val="001407AA"/>
    <w:rsid w:val="001409BF"/>
    <w:rsid w:val="00140EC6"/>
    <w:rsid w:val="0014103A"/>
    <w:rsid w:val="00141115"/>
    <w:rsid w:val="001420F2"/>
    <w:rsid w:val="001427F7"/>
    <w:rsid w:val="00142852"/>
    <w:rsid w:val="00142DB5"/>
    <w:rsid w:val="001442B1"/>
    <w:rsid w:val="001445E1"/>
    <w:rsid w:val="00144628"/>
    <w:rsid w:val="001447A5"/>
    <w:rsid w:val="00144CFC"/>
    <w:rsid w:val="00146206"/>
    <w:rsid w:val="00146928"/>
    <w:rsid w:val="00146D98"/>
    <w:rsid w:val="00147D71"/>
    <w:rsid w:val="00151F6A"/>
    <w:rsid w:val="00152909"/>
    <w:rsid w:val="001532B1"/>
    <w:rsid w:val="0015359B"/>
    <w:rsid w:val="00154177"/>
    <w:rsid w:val="001549D1"/>
    <w:rsid w:val="00155220"/>
    <w:rsid w:val="00155244"/>
    <w:rsid w:val="00155473"/>
    <w:rsid w:val="00155FBA"/>
    <w:rsid w:val="00156377"/>
    <w:rsid w:val="00157239"/>
    <w:rsid w:val="00157770"/>
    <w:rsid w:val="001579AA"/>
    <w:rsid w:val="001600A8"/>
    <w:rsid w:val="00160276"/>
    <w:rsid w:val="001609EC"/>
    <w:rsid w:val="00160F19"/>
    <w:rsid w:val="001610E3"/>
    <w:rsid w:val="0016123E"/>
    <w:rsid w:val="00161314"/>
    <w:rsid w:val="0016134B"/>
    <w:rsid w:val="00161C70"/>
    <w:rsid w:val="001627BF"/>
    <w:rsid w:val="00162887"/>
    <w:rsid w:val="00162986"/>
    <w:rsid w:val="001630D7"/>
    <w:rsid w:val="0016393E"/>
    <w:rsid w:val="001645B9"/>
    <w:rsid w:val="00164E6D"/>
    <w:rsid w:val="00164F19"/>
    <w:rsid w:val="00164FA9"/>
    <w:rsid w:val="00165380"/>
    <w:rsid w:val="00165681"/>
    <w:rsid w:val="00165D4B"/>
    <w:rsid w:val="00165EAA"/>
    <w:rsid w:val="001665FC"/>
    <w:rsid w:val="00166785"/>
    <w:rsid w:val="00166CD4"/>
    <w:rsid w:val="00167405"/>
    <w:rsid w:val="00170275"/>
    <w:rsid w:val="001705FF"/>
    <w:rsid w:val="00170834"/>
    <w:rsid w:val="00171B7C"/>
    <w:rsid w:val="001736CC"/>
    <w:rsid w:val="00173BC1"/>
    <w:rsid w:val="00173F6C"/>
    <w:rsid w:val="00174F10"/>
    <w:rsid w:val="00175D6A"/>
    <w:rsid w:val="00176412"/>
    <w:rsid w:val="00176935"/>
    <w:rsid w:val="001800FA"/>
    <w:rsid w:val="00180221"/>
    <w:rsid w:val="00180350"/>
    <w:rsid w:val="001807CD"/>
    <w:rsid w:val="00180983"/>
    <w:rsid w:val="00181011"/>
    <w:rsid w:val="0018158F"/>
    <w:rsid w:val="00181E6F"/>
    <w:rsid w:val="001825F5"/>
    <w:rsid w:val="00182F42"/>
    <w:rsid w:val="001839D8"/>
    <w:rsid w:val="00183D19"/>
    <w:rsid w:val="00183F84"/>
    <w:rsid w:val="001842FD"/>
    <w:rsid w:val="00184F9F"/>
    <w:rsid w:val="0018512C"/>
    <w:rsid w:val="001853CE"/>
    <w:rsid w:val="001859C6"/>
    <w:rsid w:val="00185D5D"/>
    <w:rsid w:val="001862C5"/>
    <w:rsid w:val="00186BFC"/>
    <w:rsid w:val="00186C09"/>
    <w:rsid w:val="00186CCF"/>
    <w:rsid w:val="00186F26"/>
    <w:rsid w:val="00187579"/>
    <w:rsid w:val="001877D9"/>
    <w:rsid w:val="00187C1E"/>
    <w:rsid w:val="00187CEE"/>
    <w:rsid w:val="00190B16"/>
    <w:rsid w:val="00190FBC"/>
    <w:rsid w:val="00191104"/>
    <w:rsid w:val="00192A25"/>
    <w:rsid w:val="001936DF"/>
    <w:rsid w:val="00193889"/>
    <w:rsid w:val="0019454A"/>
    <w:rsid w:val="0019464C"/>
    <w:rsid w:val="00194AF4"/>
    <w:rsid w:val="00196367"/>
    <w:rsid w:val="0019730A"/>
    <w:rsid w:val="0019764D"/>
    <w:rsid w:val="001A0562"/>
    <w:rsid w:val="001A08F4"/>
    <w:rsid w:val="001A0BBE"/>
    <w:rsid w:val="001A2669"/>
    <w:rsid w:val="001A31E6"/>
    <w:rsid w:val="001A35C8"/>
    <w:rsid w:val="001A392B"/>
    <w:rsid w:val="001A3BC3"/>
    <w:rsid w:val="001A3FA2"/>
    <w:rsid w:val="001A5354"/>
    <w:rsid w:val="001A5481"/>
    <w:rsid w:val="001A720B"/>
    <w:rsid w:val="001A7949"/>
    <w:rsid w:val="001B0525"/>
    <w:rsid w:val="001B0B0F"/>
    <w:rsid w:val="001B0D79"/>
    <w:rsid w:val="001B0E04"/>
    <w:rsid w:val="001B1B0B"/>
    <w:rsid w:val="001B303F"/>
    <w:rsid w:val="001B38E1"/>
    <w:rsid w:val="001B3AE7"/>
    <w:rsid w:val="001B4264"/>
    <w:rsid w:val="001B440F"/>
    <w:rsid w:val="001B498C"/>
    <w:rsid w:val="001B4B62"/>
    <w:rsid w:val="001B4B8F"/>
    <w:rsid w:val="001B596B"/>
    <w:rsid w:val="001B61F4"/>
    <w:rsid w:val="001B6301"/>
    <w:rsid w:val="001B638A"/>
    <w:rsid w:val="001B65E8"/>
    <w:rsid w:val="001B6946"/>
    <w:rsid w:val="001B7011"/>
    <w:rsid w:val="001C0D8D"/>
    <w:rsid w:val="001C1498"/>
    <w:rsid w:val="001C1831"/>
    <w:rsid w:val="001C223E"/>
    <w:rsid w:val="001C23B2"/>
    <w:rsid w:val="001C32DA"/>
    <w:rsid w:val="001C59C1"/>
    <w:rsid w:val="001C64F0"/>
    <w:rsid w:val="001C6619"/>
    <w:rsid w:val="001C66AC"/>
    <w:rsid w:val="001C671D"/>
    <w:rsid w:val="001C67B9"/>
    <w:rsid w:val="001C6940"/>
    <w:rsid w:val="001C6BBD"/>
    <w:rsid w:val="001C6D5E"/>
    <w:rsid w:val="001C7099"/>
    <w:rsid w:val="001C732C"/>
    <w:rsid w:val="001C79DC"/>
    <w:rsid w:val="001C7A97"/>
    <w:rsid w:val="001C7CB1"/>
    <w:rsid w:val="001D0AEF"/>
    <w:rsid w:val="001D0B6D"/>
    <w:rsid w:val="001D0F55"/>
    <w:rsid w:val="001D17A4"/>
    <w:rsid w:val="001D27BD"/>
    <w:rsid w:val="001D2939"/>
    <w:rsid w:val="001D2EB3"/>
    <w:rsid w:val="001D318C"/>
    <w:rsid w:val="001D35BD"/>
    <w:rsid w:val="001D3AB9"/>
    <w:rsid w:val="001D3B47"/>
    <w:rsid w:val="001D4A2A"/>
    <w:rsid w:val="001D4C66"/>
    <w:rsid w:val="001D521B"/>
    <w:rsid w:val="001D59A3"/>
    <w:rsid w:val="001D6787"/>
    <w:rsid w:val="001D78E9"/>
    <w:rsid w:val="001D79D0"/>
    <w:rsid w:val="001E03FF"/>
    <w:rsid w:val="001E0522"/>
    <w:rsid w:val="001E075D"/>
    <w:rsid w:val="001E0B9B"/>
    <w:rsid w:val="001E1406"/>
    <w:rsid w:val="001E1EA7"/>
    <w:rsid w:val="001E20BC"/>
    <w:rsid w:val="001E23A2"/>
    <w:rsid w:val="001E4344"/>
    <w:rsid w:val="001E4824"/>
    <w:rsid w:val="001E5B57"/>
    <w:rsid w:val="001E67BB"/>
    <w:rsid w:val="001E6CB1"/>
    <w:rsid w:val="001E6E56"/>
    <w:rsid w:val="001E6ECD"/>
    <w:rsid w:val="001E72A0"/>
    <w:rsid w:val="001F0A52"/>
    <w:rsid w:val="001F0B24"/>
    <w:rsid w:val="001F0F3C"/>
    <w:rsid w:val="001F12C9"/>
    <w:rsid w:val="001F1747"/>
    <w:rsid w:val="001F1EAD"/>
    <w:rsid w:val="001F2089"/>
    <w:rsid w:val="001F2435"/>
    <w:rsid w:val="001F25FF"/>
    <w:rsid w:val="001F29F7"/>
    <w:rsid w:val="001F301A"/>
    <w:rsid w:val="001F3B39"/>
    <w:rsid w:val="001F4C76"/>
    <w:rsid w:val="001F4F79"/>
    <w:rsid w:val="001F5D21"/>
    <w:rsid w:val="001F6333"/>
    <w:rsid w:val="001F7394"/>
    <w:rsid w:val="002019ED"/>
    <w:rsid w:val="00202992"/>
    <w:rsid w:val="00202A32"/>
    <w:rsid w:val="00202D8A"/>
    <w:rsid w:val="00202DE8"/>
    <w:rsid w:val="002031B6"/>
    <w:rsid w:val="0020382B"/>
    <w:rsid w:val="00203A0F"/>
    <w:rsid w:val="0020454E"/>
    <w:rsid w:val="00204752"/>
    <w:rsid w:val="0020508D"/>
    <w:rsid w:val="0020513B"/>
    <w:rsid w:val="00205427"/>
    <w:rsid w:val="00205C43"/>
    <w:rsid w:val="002079F4"/>
    <w:rsid w:val="00207F35"/>
    <w:rsid w:val="00207F99"/>
    <w:rsid w:val="00210492"/>
    <w:rsid w:val="002104EC"/>
    <w:rsid w:val="00210A12"/>
    <w:rsid w:val="002115E0"/>
    <w:rsid w:val="002126E5"/>
    <w:rsid w:val="00212CB1"/>
    <w:rsid w:val="00212D4C"/>
    <w:rsid w:val="00212E23"/>
    <w:rsid w:val="00212E6B"/>
    <w:rsid w:val="00212E8C"/>
    <w:rsid w:val="002140F0"/>
    <w:rsid w:val="0021590C"/>
    <w:rsid w:val="00216E64"/>
    <w:rsid w:val="00220250"/>
    <w:rsid w:val="002211EA"/>
    <w:rsid w:val="00221429"/>
    <w:rsid w:val="002220C8"/>
    <w:rsid w:val="00222B84"/>
    <w:rsid w:val="00222BC2"/>
    <w:rsid w:val="00222E77"/>
    <w:rsid w:val="00223573"/>
    <w:rsid w:val="00223775"/>
    <w:rsid w:val="00224C86"/>
    <w:rsid w:val="00224CC1"/>
    <w:rsid w:val="00226530"/>
    <w:rsid w:val="0022783B"/>
    <w:rsid w:val="002279CF"/>
    <w:rsid w:val="00227C8D"/>
    <w:rsid w:val="0023001A"/>
    <w:rsid w:val="002301C0"/>
    <w:rsid w:val="00230F94"/>
    <w:rsid w:val="00231D38"/>
    <w:rsid w:val="002326D6"/>
    <w:rsid w:val="00232A42"/>
    <w:rsid w:val="00233349"/>
    <w:rsid w:val="00233572"/>
    <w:rsid w:val="00233651"/>
    <w:rsid w:val="00233817"/>
    <w:rsid w:val="00234BAE"/>
    <w:rsid w:val="0023610E"/>
    <w:rsid w:val="0023621E"/>
    <w:rsid w:val="002367B0"/>
    <w:rsid w:val="00237D1E"/>
    <w:rsid w:val="00240114"/>
    <w:rsid w:val="00241418"/>
    <w:rsid w:val="00241B7F"/>
    <w:rsid w:val="00241BAB"/>
    <w:rsid w:val="00242558"/>
    <w:rsid w:val="00242911"/>
    <w:rsid w:val="00242D5F"/>
    <w:rsid w:val="00242D60"/>
    <w:rsid w:val="00243481"/>
    <w:rsid w:val="00243817"/>
    <w:rsid w:val="00243DCD"/>
    <w:rsid w:val="00243F7E"/>
    <w:rsid w:val="002450A6"/>
    <w:rsid w:val="00246958"/>
    <w:rsid w:val="00246DD0"/>
    <w:rsid w:val="00246FD5"/>
    <w:rsid w:val="00247F16"/>
    <w:rsid w:val="0025033F"/>
    <w:rsid w:val="00250700"/>
    <w:rsid w:val="0025078A"/>
    <w:rsid w:val="002507FC"/>
    <w:rsid w:val="00250F2E"/>
    <w:rsid w:val="002512AE"/>
    <w:rsid w:val="00251609"/>
    <w:rsid w:val="002519D2"/>
    <w:rsid w:val="00251ABA"/>
    <w:rsid w:val="00251B74"/>
    <w:rsid w:val="00251C44"/>
    <w:rsid w:val="002522C2"/>
    <w:rsid w:val="00252EB0"/>
    <w:rsid w:val="00253141"/>
    <w:rsid w:val="002537C1"/>
    <w:rsid w:val="00253BA2"/>
    <w:rsid w:val="002542BD"/>
    <w:rsid w:val="0025478C"/>
    <w:rsid w:val="002547D2"/>
    <w:rsid w:val="002549CF"/>
    <w:rsid w:val="00255A9C"/>
    <w:rsid w:val="00257F35"/>
    <w:rsid w:val="00260281"/>
    <w:rsid w:val="002623D2"/>
    <w:rsid w:val="00262563"/>
    <w:rsid w:val="0026278E"/>
    <w:rsid w:val="002628C0"/>
    <w:rsid w:val="00263456"/>
    <w:rsid w:val="00263A3C"/>
    <w:rsid w:val="002643F4"/>
    <w:rsid w:val="002645D7"/>
    <w:rsid w:val="0026510E"/>
    <w:rsid w:val="00265742"/>
    <w:rsid w:val="00266086"/>
    <w:rsid w:val="002678CC"/>
    <w:rsid w:val="00267A9D"/>
    <w:rsid w:val="002701B2"/>
    <w:rsid w:val="0027089F"/>
    <w:rsid w:val="00270F9B"/>
    <w:rsid w:val="002715A0"/>
    <w:rsid w:val="002718AE"/>
    <w:rsid w:val="002718F4"/>
    <w:rsid w:val="00271AAA"/>
    <w:rsid w:val="00271FE5"/>
    <w:rsid w:val="002724EE"/>
    <w:rsid w:val="0027283F"/>
    <w:rsid w:val="00272BE2"/>
    <w:rsid w:val="00273446"/>
    <w:rsid w:val="00273521"/>
    <w:rsid w:val="00274051"/>
    <w:rsid w:val="0027585A"/>
    <w:rsid w:val="00275D09"/>
    <w:rsid w:val="00276022"/>
    <w:rsid w:val="00277AEA"/>
    <w:rsid w:val="00277B8B"/>
    <w:rsid w:val="00277D33"/>
    <w:rsid w:val="00280298"/>
    <w:rsid w:val="00280398"/>
    <w:rsid w:val="00280E99"/>
    <w:rsid w:val="00281175"/>
    <w:rsid w:val="002814A9"/>
    <w:rsid w:val="00282947"/>
    <w:rsid w:val="002833CE"/>
    <w:rsid w:val="002834BB"/>
    <w:rsid w:val="002835DC"/>
    <w:rsid w:val="00283E66"/>
    <w:rsid w:val="00284535"/>
    <w:rsid w:val="002854B5"/>
    <w:rsid w:val="002863D5"/>
    <w:rsid w:val="002864EE"/>
    <w:rsid w:val="00287110"/>
    <w:rsid w:val="002877B0"/>
    <w:rsid w:val="0028793C"/>
    <w:rsid w:val="002900AB"/>
    <w:rsid w:val="00290788"/>
    <w:rsid w:val="00290F06"/>
    <w:rsid w:val="00291EB8"/>
    <w:rsid w:val="00292818"/>
    <w:rsid w:val="002928C9"/>
    <w:rsid w:val="002928CD"/>
    <w:rsid w:val="00292B9B"/>
    <w:rsid w:val="00292EC7"/>
    <w:rsid w:val="00292F94"/>
    <w:rsid w:val="0029522B"/>
    <w:rsid w:val="00295B00"/>
    <w:rsid w:val="00295DD2"/>
    <w:rsid w:val="00295DFF"/>
    <w:rsid w:val="002975F9"/>
    <w:rsid w:val="0029786E"/>
    <w:rsid w:val="002A07CA"/>
    <w:rsid w:val="002A1526"/>
    <w:rsid w:val="002A398C"/>
    <w:rsid w:val="002A3A27"/>
    <w:rsid w:val="002A3A44"/>
    <w:rsid w:val="002A4C73"/>
    <w:rsid w:val="002A5087"/>
    <w:rsid w:val="002A575F"/>
    <w:rsid w:val="002A5B0F"/>
    <w:rsid w:val="002A61BC"/>
    <w:rsid w:val="002A62EA"/>
    <w:rsid w:val="002A6D52"/>
    <w:rsid w:val="002A6F87"/>
    <w:rsid w:val="002A71C6"/>
    <w:rsid w:val="002A72A2"/>
    <w:rsid w:val="002A73D0"/>
    <w:rsid w:val="002A778F"/>
    <w:rsid w:val="002B124D"/>
    <w:rsid w:val="002B15F5"/>
    <w:rsid w:val="002B1890"/>
    <w:rsid w:val="002B269B"/>
    <w:rsid w:val="002B29A2"/>
    <w:rsid w:val="002B2AF5"/>
    <w:rsid w:val="002B2BB1"/>
    <w:rsid w:val="002B3B7A"/>
    <w:rsid w:val="002B3C10"/>
    <w:rsid w:val="002B4D30"/>
    <w:rsid w:val="002B5043"/>
    <w:rsid w:val="002B5C0D"/>
    <w:rsid w:val="002B70E9"/>
    <w:rsid w:val="002B73B8"/>
    <w:rsid w:val="002B7A1F"/>
    <w:rsid w:val="002C0FC8"/>
    <w:rsid w:val="002C1530"/>
    <w:rsid w:val="002C1676"/>
    <w:rsid w:val="002C3209"/>
    <w:rsid w:val="002C3343"/>
    <w:rsid w:val="002C4080"/>
    <w:rsid w:val="002C46E1"/>
    <w:rsid w:val="002C4E40"/>
    <w:rsid w:val="002C5689"/>
    <w:rsid w:val="002C59BE"/>
    <w:rsid w:val="002C5A27"/>
    <w:rsid w:val="002C5D64"/>
    <w:rsid w:val="002C61AA"/>
    <w:rsid w:val="002C6264"/>
    <w:rsid w:val="002C6EA6"/>
    <w:rsid w:val="002C7798"/>
    <w:rsid w:val="002C7CAC"/>
    <w:rsid w:val="002C7FA1"/>
    <w:rsid w:val="002C7FB0"/>
    <w:rsid w:val="002D0227"/>
    <w:rsid w:val="002D0875"/>
    <w:rsid w:val="002D09CB"/>
    <w:rsid w:val="002D0F98"/>
    <w:rsid w:val="002D1BA6"/>
    <w:rsid w:val="002D2DB2"/>
    <w:rsid w:val="002D3659"/>
    <w:rsid w:val="002D383C"/>
    <w:rsid w:val="002D3854"/>
    <w:rsid w:val="002D4C4D"/>
    <w:rsid w:val="002D5918"/>
    <w:rsid w:val="002D5EA8"/>
    <w:rsid w:val="002D613D"/>
    <w:rsid w:val="002D62B3"/>
    <w:rsid w:val="002D724F"/>
    <w:rsid w:val="002D725D"/>
    <w:rsid w:val="002D761B"/>
    <w:rsid w:val="002D77A1"/>
    <w:rsid w:val="002D7B89"/>
    <w:rsid w:val="002D7BF1"/>
    <w:rsid w:val="002E075D"/>
    <w:rsid w:val="002E08CE"/>
    <w:rsid w:val="002E1366"/>
    <w:rsid w:val="002E221F"/>
    <w:rsid w:val="002E24B4"/>
    <w:rsid w:val="002E34C7"/>
    <w:rsid w:val="002E4074"/>
    <w:rsid w:val="002E4154"/>
    <w:rsid w:val="002E519E"/>
    <w:rsid w:val="002E74C4"/>
    <w:rsid w:val="002E7F6B"/>
    <w:rsid w:val="002F0346"/>
    <w:rsid w:val="002F1137"/>
    <w:rsid w:val="002F14CE"/>
    <w:rsid w:val="002F1786"/>
    <w:rsid w:val="002F2B89"/>
    <w:rsid w:val="002F2D6B"/>
    <w:rsid w:val="002F3E56"/>
    <w:rsid w:val="002F4947"/>
    <w:rsid w:val="002F4965"/>
    <w:rsid w:val="002F54A4"/>
    <w:rsid w:val="002F5E3B"/>
    <w:rsid w:val="002F5EE0"/>
    <w:rsid w:val="002F706D"/>
    <w:rsid w:val="002F7A96"/>
    <w:rsid w:val="002F7D61"/>
    <w:rsid w:val="00300045"/>
    <w:rsid w:val="00300747"/>
    <w:rsid w:val="0030134C"/>
    <w:rsid w:val="003014F8"/>
    <w:rsid w:val="003017C6"/>
    <w:rsid w:val="00301D45"/>
    <w:rsid w:val="003022B2"/>
    <w:rsid w:val="0030289D"/>
    <w:rsid w:val="00302A4B"/>
    <w:rsid w:val="00302E88"/>
    <w:rsid w:val="003031E9"/>
    <w:rsid w:val="003032BD"/>
    <w:rsid w:val="00303887"/>
    <w:rsid w:val="0030390C"/>
    <w:rsid w:val="003055E9"/>
    <w:rsid w:val="003058F1"/>
    <w:rsid w:val="00305DC4"/>
    <w:rsid w:val="0030655C"/>
    <w:rsid w:val="003069EF"/>
    <w:rsid w:val="003074F7"/>
    <w:rsid w:val="0030766A"/>
    <w:rsid w:val="003102FF"/>
    <w:rsid w:val="0031066E"/>
    <w:rsid w:val="00311805"/>
    <w:rsid w:val="00312D07"/>
    <w:rsid w:val="00313250"/>
    <w:rsid w:val="003135E1"/>
    <w:rsid w:val="00313752"/>
    <w:rsid w:val="00314A91"/>
    <w:rsid w:val="00315C3A"/>
    <w:rsid w:val="00316089"/>
    <w:rsid w:val="003164AF"/>
    <w:rsid w:val="00316984"/>
    <w:rsid w:val="00317B9B"/>
    <w:rsid w:val="00317E3C"/>
    <w:rsid w:val="00320200"/>
    <w:rsid w:val="0032033F"/>
    <w:rsid w:val="003208E1"/>
    <w:rsid w:val="00320CEC"/>
    <w:rsid w:val="00321355"/>
    <w:rsid w:val="00321593"/>
    <w:rsid w:val="003218CC"/>
    <w:rsid w:val="00322A89"/>
    <w:rsid w:val="00322D0C"/>
    <w:rsid w:val="003232CA"/>
    <w:rsid w:val="00323B4B"/>
    <w:rsid w:val="003244E5"/>
    <w:rsid w:val="003244FB"/>
    <w:rsid w:val="00324AEC"/>
    <w:rsid w:val="00325B0A"/>
    <w:rsid w:val="003273D4"/>
    <w:rsid w:val="00330196"/>
    <w:rsid w:val="0033085C"/>
    <w:rsid w:val="003316CE"/>
    <w:rsid w:val="003319EB"/>
    <w:rsid w:val="003324A9"/>
    <w:rsid w:val="00332DC0"/>
    <w:rsid w:val="00332ECF"/>
    <w:rsid w:val="003337CD"/>
    <w:rsid w:val="00333892"/>
    <w:rsid w:val="00333ACF"/>
    <w:rsid w:val="003340FA"/>
    <w:rsid w:val="00335150"/>
    <w:rsid w:val="00335939"/>
    <w:rsid w:val="00336441"/>
    <w:rsid w:val="00336511"/>
    <w:rsid w:val="00336B1E"/>
    <w:rsid w:val="00337BCD"/>
    <w:rsid w:val="003400F4"/>
    <w:rsid w:val="003408C9"/>
    <w:rsid w:val="00341FCF"/>
    <w:rsid w:val="0034203C"/>
    <w:rsid w:val="003423AA"/>
    <w:rsid w:val="00342DC4"/>
    <w:rsid w:val="00342F1B"/>
    <w:rsid w:val="003436E1"/>
    <w:rsid w:val="00343C67"/>
    <w:rsid w:val="00343C7C"/>
    <w:rsid w:val="00344933"/>
    <w:rsid w:val="00344953"/>
    <w:rsid w:val="003453FE"/>
    <w:rsid w:val="00345833"/>
    <w:rsid w:val="00346453"/>
    <w:rsid w:val="00347957"/>
    <w:rsid w:val="00350462"/>
    <w:rsid w:val="00350BF1"/>
    <w:rsid w:val="00350E99"/>
    <w:rsid w:val="00351220"/>
    <w:rsid w:val="00351790"/>
    <w:rsid w:val="00351E1E"/>
    <w:rsid w:val="00351E26"/>
    <w:rsid w:val="00351EBB"/>
    <w:rsid w:val="0035282A"/>
    <w:rsid w:val="00352E9B"/>
    <w:rsid w:val="00353D94"/>
    <w:rsid w:val="00354394"/>
    <w:rsid w:val="00355D11"/>
    <w:rsid w:val="003560E2"/>
    <w:rsid w:val="00356C0A"/>
    <w:rsid w:val="00357067"/>
    <w:rsid w:val="0035780C"/>
    <w:rsid w:val="00357921"/>
    <w:rsid w:val="00357BFB"/>
    <w:rsid w:val="00360260"/>
    <w:rsid w:val="003622FB"/>
    <w:rsid w:val="00362367"/>
    <w:rsid w:val="0036236F"/>
    <w:rsid w:val="00362DA5"/>
    <w:rsid w:val="00362FC5"/>
    <w:rsid w:val="00363CC0"/>
    <w:rsid w:val="003646F3"/>
    <w:rsid w:val="0036500D"/>
    <w:rsid w:val="003650CF"/>
    <w:rsid w:val="0036524A"/>
    <w:rsid w:val="003668B4"/>
    <w:rsid w:val="00367001"/>
    <w:rsid w:val="00367C00"/>
    <w:rsid w:val="00370A2B"/>
    <w:rsid w:val="0037103C"/>
    <w:rsid w:val="0037289C"/>
    <w:rsid w:val="00372CEF"/>
    <w:rsid w:val="003733E2"/>
    <w:rsid w:val="00373A5C"/>
    <w:rsid w:val="00373E79"/>
    <w:rsid w:val="00374266"/>
    <w:rsid w:val="00374852"/>
    <w:rsid w:val="00375793"/>
    <w:rsid w:val="003761D1"/>
    <w:rsid w:val="003761ED"/>
    <w:rsid w:val="0037739B"/>
    <w:rsid w:val="00377779"/>
    <w:rsid w:val="00380DBB"/>
    <w:rsid w:val="00381460"/>
    <w:rsid w:val="00382038"/>
    <w:rsid w:val="00382721"/>
    <w:rsid w:val="0038289F"/>
    <w:rsid w:val="00382D06"/>
    <w:rsid w:val="00382D0D"/>
    <w:rsid w:val="003830AE"/>
    <w:rsid w:val="003834C5"/>
    <w:rsid w:val="00383B3D"/>
    <w:rsid w:val="00383CAA"/>
    <w:rsid w:val="00384109"/>
    <w:rsid w:val="0038438B"/>
    <w:rsid w:val="00384767"/>
    <w:rsid w:val="003849A2"/>
    <w:rsid w:val="00384CA5"/>
    <w:rsid w:val="0038627C"/>
    <w:rsid w:val="003863FE"/>
    <w:rsid w:val="00386589"/>
    <w:rsid w:val="00386EF9"/>
    <w:rsid w:val="003874C8"/>
    <w:rsid w:val="00387641"/>
    <w:rsid w:val="00387A4F"/>
    <w:rsid w:val="00387C32"/>
    <w:rsid w:val="00390E72"/>
    <w:rsid w:val="00390F18"/>
    <w:rsid w:val="0039148C"/>
    <w:rsid w:val="00393D5E"/>
    <w:rsid w:val="00395AEA"/>
    <w:rsid w:val="00395B57"/>
    <w:rsid w:val="00396356"/>
    <w:rsid w:val="003966A2"/>
    <w:rsid w:val="003967EC"/>
    <w:rsid w:val="00396B95"/>
    <w:rsid w:val="00396BA1"/>
    <w:rsid w:val="00397B1B"/>
    <w:rsid w:val="00397CA8"/>
    <w:rsid w:val="003A08C8"/>
    <w:rsid w:val="003A0F24"/>
    <w:rsid w:val="003A13D0"/>
    <w:rsid w:val="003A1641"/>
    <w:rsid w:val="003A1659"/>
    <w:rsid w:val="003A1C14"/>
    <w:rsid w:val="003A21EE"/>
    <w:rsid w:val="003A2E84"/>
    <w:rsid w:val="003A33C3"/>
    <w:rsid w:val="003A3D8C"/>
    <w:rsid w:val="003A502F"/>
    <w:rsid w:val="003A542E"/>
    <w:rsid w:val="003A572B"/>
    <w:rsid w:val="003A58CD"/>
    <w:rsid w:val="003A5AA5"/>
    <w:rsid w:val="003A5C5E"/>
    <w:rsid w:val="003A61A3"/>
    <w:rsid w:val="003A6219"/>
    <w:rsid w:val="003A6958"/>
    <w:rsid w:val="003A726E"/>
    <w:rsid w:val="003A7C94"/>
    <w:rsid w:val="003B1E64"/>
    <w:rsid w:val="003B24BE"/>
    <w:rsid w:val="003B2FBA"/>
    <w:rsid w:val="003B321D"/>
    <w:rsid w:val="003B32A0"/>
    <w:rsid w:val="003B3524"/>
    <w:rsid w:val="003B39E2"/>
    <w:rsid w:val="003B3CA1"/>
    <w:rsid w:val="003B3E52"/>
    <w:rsid w:val="003B436B"/>
    <w:rsid w:val="003B4A26"/>
    <w:rsid w:val="003B4CB0"/>
    <w:rsid w:val="003B56A5"/>
    <w:rsid w:val="003B6147"/>
    <w:rsid w:val="003B7479"/>
    <w:rsid w:val="003C026C"/>
    <w:rsid w:val="003C05EE"/>
    <w:rsid w:val="003C147C"/>
    <w:rsid w:val="003C1C58"/>
    <w:rsid w:val="003C2576"/>
    <w:rsid w:val="003C373B"/>
    <w:rsid w:val="003C43DD"/>
    <w:rsid w:val="003C54D4"/>
    <w:rsid w:val="003C557B"/>
    <w:rsid w:val="003C56EB"/>
    <w:rsid w:val="003C6686"/>
    <w:rsid w:val="003C69DC"/>
    <w:rsid w:val="003C6A06"/>
    <w:rsid w:val="003C73D9"/>
    <w:rsid w:val="003C7FF8"/>
    <w:rsid w:val="003D1036"/>
    <w:rsid w:val="003D14A7"/>
    <w:rsid w:val="003D1C19"/>
    <w:rsid w:val="003D2335"/>
    <w:rsid w:val="003D23E9"/>
    <w:rsid w:val="003D2588"/>
    <w:rsid w:val="003D2954"/>
    <w:rsid w:val="003D32A9"/>
    <w:rsid w:val="003D344F"/>
    <w:rsid w:val="003D42DB"/>
    <w:rsid w:val="003D4C68"/>
    <w:rsid w:val="003D5026"/>
    <w:rsid w:val="003D55F0"/>
    <w:rsid w:val="003D56A6"/>
    <w:rsid w:val="003D58AB"/>
    <w:rsid w:val="003D5F38"/>
    <w:rsid w:val="003D7B22"/>
    <w:rsid w:val="003D7E5A"/>
    <w:rsid w:val="003E168A"/>
    <w:rsid w:val="003E1D6B"/>
    <w:rsid w:val="003E2179"/>
    <w:rsid w:val="003E23E1"/>
    <w:rsid w:val="003E2957"/>
    <w:rsid w:val="003E2A68"/>
    <w:rsid w:val="003E2C01"/>
    <w:rsid w:val="003E437C"/>
    <w:rsid w:val="003E495B"/>
    <w:rsid w:val="003E4E4B"/>
    <w:rsid w:val="003E52D6"/>
    <w:rsid w:val="003E611A"/>
    <w:rsid w:val="003E633D"/>
    <w:rsid w:val="003E66A9"/>
    <w:rsid w:val="003E75A3"/>
    <w:rsid w:val="003E791D"/>
    <w:rsid w:val="003F0CAC"/>
    <w:rsid w:val="003F182B"/>
    <w:rsid w:val="003F270A"/>
    <w:rsid w:val="003F3201"/>
    <w:rsid w:val="003F612C"/>
    <w:rsid w:val="003F65AD"/>
    <w:rsid w:val="003F6C93"/>
    <w:rsid w:val="003F6F11"/>
    <w:rsid w:val="004020D1"/>
    <w:rsid w:val="00402DC8"/>
    <w:rsid w:val="00403282"/>
    <w:rsid w:val="00405E7D"/>
    <w:rsid w:val="00406251"/>
    <w:rsid w:val="004066B1"/>
    <w:rsid w:val="00406D63"/>
    <w:rsid w:val="00407A4F"/>
    <w:rsid w:val="0041025D"/>
    <w:rsid w:val="004106BB"/>
    <w:rsid w:val="00411918"/>
    <w:rsid w:val="004121AB"/>
    <w:rsid w:val="00412403"/>
    <w:rsid w:val="0041279B"/>
    <w:rsid w:val="00413024"/>
    <w:rsid w:val="0041348D"/>
    <w:rsid w:val="00413D2A"/>
    <w:rsid w:val="0041412E"/>
    <w:rsid w:val="004143CF"/>
    <w:rsid w:val="0041677D"/>
    <w:rsid w:val="004167FB"/>
    <w:rsid w:val="00416885"/>
    <w:rsid w:val="004168A0"/>
    <w:rsid w:val="00416B1E"/>
    <w:rsid w:val="00416B44"/>
    <w:rsid w:val="004171C3"/>
    <w:rsid w:val="0042016A"/>
    <w:rsid w:val="0042065E"/>
    <w:rsid w:val="00421085"/>
    <w:rsid w:val="00421356"/>
    <w:rsid w:val="00421416"/>
    <w:rsid w:val="004225F3"/>
    <w:rsid w:val="00422DBF"/>
    <w:rsid w:val="0042336F"/>
    <w:rsid w:val="00423A39"/>
    <w:rsid w:val="0042404E"/>
    <w:rsid w:val="00424082"/>
    <w:rsid w:val="004248D0"/>
    <w:rsid w:val="00426898"/>
    <w:rsid w:val="00426D05"/>
    <w:rsid w:val="00427EC7"/>
    <w:rsid w:val="00430351"/>
    <w:rsid w:val="004303D5"/>
    <w:rsid w:val="00430BC8"/>
    <w:rsid w:val="00430D0F"/>
    <w:rsid w:val="0043285B"/>
    <w:rsid w:val="004341C1"/>
    <w:rsid w:val="004343D4"/>
    <w:rsid w:val="004343DE"/>
    <w:rsid w:val="00434650"/>
    <w:rsid w:val="00435D18"/>
    <w:rsid w:val="00436076"/>
    <w:rsid w:val="004364E3"/>
    <w:rsid w:val="0043674F"/>
    <w:rsid w:val="004371C7"/>
    <w:rsid w:val="00437E04"/>
    <w:rsid w:val="0044015D"/>
    <w:rsid w:val="00441001"/>
    <w:rsid w:val="004413D9"/>
    <w:rsid w:val="004415CF"/>
    <w:rsid w:val="00441F84"/>
    <w:rsid w:val="004432A0"/>
    <w:rsid w:val="00444680"/>
    <w:rsid w:val="0044689F"/>
    <w:rsid w:val="00446E75"/>
    <w:rsid w:val="00447466"/>
    <w:rsid w:val="004503A8"/>
    <w:rsid w:val="0045092D"/>
    <w:rsid w:val="0045093C"/>
    <w:rsid w:val="0045096F"/>
    <w:rsid w:val="004510A9"/>
    <w:rsid w:val="00451165"/>
    <w:rsid w:val="0045167D"/>
    <w:rsid w:val="0045173A"/>
    <w:rsid w:val="004521DD"/>
    <w:rsid w:val="00452465"/>
    <w:rsid w:val="00453D75"/>
    <w:rsid w:val="00455283"/>
    <w:rsid w:val="00455390"/>
    <w:rsid w:val="00456C54"/>
    <w:rsid w:val="004576DD"/>
    <w:rsid w:val="004602DA"/>
    <w:rsid w:val="0046102A"/>
    <w:rsid w:val="004611EF"/>
    <w:rsid w:val="00461C7A"/>
    <w:rsid w:val="0046221F"/>
    <w:rsid w:val="00462CE7"/>
    <w:rsid w:val="00462E1E"/>
    <w:rsid w:val="00463845"/>
    <w:rsid w:val="004641C7"/>
    <w:rsid w:val="00465500"/>
    <w:rsid w:val="00465E50"/>
    <w:rsid w:val="00466072"/>
    <w:rsid w:val="004661F2"/>
    <w:rsid w:val="00466399"/>
    <w:rsid w:val="00466CE2"/>
    <w:rsid w:val="00466D8E"/>
    <w:rsid w:val="004676C0"/>
    <w:rsid w:val="00467998"/>
    <w:rsid w:val="004706E6"/>
    <w:rsid w:val="00470F3F"/>
    <w:rsid w:val="00470F7B"/>
    <w:rsid w:val="0047265C"/>
    <w:rsid w:val="004731A3"/>
    <w:rsid w:val="004748EF"/>
    <w:rsid w:val="004758B3"/>
    <w:rsid w:val="0047680D"/>
    <w:rsid w:val="004768A6"/>
    <w:rsid w:val="00476C39"/>
    <w:rsid w:val="00476F29"/>
    <w:rsid w:val="00477275"/>
    <w:rsid w:val="004773CA"/>
    <w:rsid w:val="004806A1"/>
    <w:rsid w:val="00480E8B"/>
    <w:rsid w:val="00481F4F"/>
    <w:rsid w:val="004839E1"/>
    <w:rsid w:val="00483F6F"/>
    <w:rsid w:val="00484049"/>
    <w:rsid w:val="00484E47"/>
    <w:rsid w:val="00484F0E"/>
    <w:rsid w:val="004854F7"/>
    <w:rsid w:val="0048578C"/>
    <w:rsid w:val="004860B7"/>
    <w:rsid w:val="00486249"/>
    <w:rsid w:val="00486370"/>
    <w:rsid w:val="00486E52"/>
    <w:rsid w:val="0048762B"/>
    <w:rsid w:val="004877BE"/>
    <w:rsid w:val="00487B06"/>
    <w:rsid w:val="0049032E"/>
    <w:rsid w:val="004904CC"/>
    <w:rsid w:val="00490B84"/>
    <w:rsid w:val="00490F48"/>
    <w:rsid w:val="004919F1"/>
    <w:rsid w:val="00492234"/>
    <w:rsid w:val="00492ED6"/>
    <w:rsid w:val="00493486"/>
    <w:rsid w:val="004956A9"/>
    <w:rsid w:val="004960CD"/>
    <w:rsid w:val="004967D1"/>
    <w:rsid w:val="00496C85"/>
    <w:rsid w:val="00496EF1"/>
    <w:rsid w:val="00497030"/>
    <w:rsid w:val="004971E8"/>
    <w:rsid w:val="004976A9"/>
    <w:rsid w:val="004A11BB"/>
    <w:rsid w:val="004A1235"/>
    <w:rsid w:val="004A14DD"/>
    <w:rsid w:val="004A17DD"/>
    <w:rsid w:val="004A3701"/>
    <w:rsid w:val="004A396C"/>
    <w:rsid w:val="004A3FA0"/>
    <w:rsid w:val="004A42A9"/>
    <w:rsid w:val="004A440B"/>
    <w:rsid w:val="004A4F75"/>
    <w:rsid w:val="004A567C"/>
    <w:rsid w:val="004A58FF"/>
    <w:rsid w:val="004A65E9"/>
    <w:rsid w:val="004A6AAC"/>
    <w:rsid w:val="004A6E06"/>
    <w:rsid w:val="004A78FA"/>
    <w:rsid w:val="004B0699"/>
    <w:rsid w:val="004B0982"/>
    <w:rsid w:val="004B0FC8"/>
    <w:rsid w:val="004B1231"/>
    <w:rsid w:val="004B165F"/>
    <w:rsid w:val="004B1D20"/>
    <w:rsid w:val="004B27BF"/>
    <w:rsid w:val="004B2B93"/>
    <w:rsid w:val="004B2EE9"/>
    <w:rsid w:val="004B3619"/>
    <w:rsid w:val="004B3E5F"/>
    <w:rsid w:val="004B3FC1"/>
    <w:rsid w:val="004B4C47"/>
    <w:rsid w:val="004B4E12"/>
    <w:rsid w:val="004B5182"/>
    <w:rsid w:val="004B6197"/>
    <w:rsid w:val="004B6262"/>
    <w:rsid w:val="004B6593"/>
    <w:rsid w:val="004B6851"/>
    <w:rsid w:val="004B6E58"/>
    <w:rsid w:val="004B7017"/>
    <w:rsid w:val="004B72AB"/>
    <w:rsid w:val="004B72E4"/>
    <w:rsid w:val="004B7AF0"/>
    <w:rsid w:val="004B7B4E"/>
    <w:rsid w:val="004C017E"/>
    <w:rsid w:val="004C01C5"/>
    <w:rsid w:val="004C0538"/>
    <w:rsid w:val="004C1171"/>
    <w:rsid w:val="004C1400"/>
    <w:rsid w:val="004C1570"/>
    <w:rsid w:val="004C1B66"/>
    <w:rsid w:val="004C1D08"/>
    <w:rsid w:val="004C1D53"/>
    <w:rsid w:val="004C3E9A"/>
    <w:rsid w:val="004C40BE"/>
    <w:rsid w:val="004C4813"/>
    <w:rsid w:val="004C4CED"/>
    <w:rsid w:val="004C542F"/>
    <w:rsid w:val="004C5CBB"/>
    <w:rsid w:val="004C6A32"/>
    <w:rsid w:val="004C6B15"/>
    <w:rsid w:val="004C7480"/>
    <w:rsid w:val="004C78DF"/>
    <w:rsid w:val="004C7A9B"/>
    <w:rsid w:val="004D02AE"/>
    <w:rsid w:val="004D0429"/>
    <w:rsid w:val="004D0F61"/>
    <w:rsid w:val="004D2303"/>
    <w:rsid w:val="004D2A5E"/>
    <w:rsid w:val="004D2BFF"/>
    <w:rsid w:val="004D2D1C"/>
    <w:rsid w:val="004D2F0A"/>
    <w:rsid w:val="004D3DCF"/>
    <w:rsid w:val="004D4EC6"/>
    <w:rsid w:val="004D5985"/>
    <w:rsid w:val="004D5AB0"/>
    <w:rsid w:val="004D5BBC"/>
    <w:rsid w:val="004D6873"/>
    <w:rsid w:val="004D6931"/>
    <w:rsid w:val="004D6CEC"/>
    <w:rsid w:val="004D7737"/>
    <w:rsid w:val="004D7AFF"/>
    <w:rsid w:val="004E0719"/>
    <w:rsid w:val="004E0C66"/>
    <w:rsid w:val="004E145E"/>
    <w:rsid w:val="004E1889"/>
    <w:rsid w:val="004E1DA3"/>
    <w:rsid w:val="004E1EF4"/>
    <w:rsid w:val="004E2B13"/>
    <w:rsid w:val="004E2CEB"/>
    <w:rsid w:val="004E31B6"/>
    <w:rsid w:val="004E4228"/>
    <w:rsid w:val="004E4845"/>
    <w:rsid w:val="004E4C89"/>
    <w:rsid w:val="004E5E04"/>
    <w:rsid w:val="004E5E46"/>
    <w:rsid w:val="004E5FDC"/>
    <w:rsid w:val="004E637A"/>
    <w:rsid w:val="004E7694"/>
    <w:rsid w:val="004E7EA6"/>
    <w:rsid w:val="004F04F5"/>
    <w:rsid w:val="004F0736"/>
    <w:rsid w:val="004F07F4"/>
    <w:rsid w:val="004F12BE"/>
    <w:rsid w:val="004F1EE6"/>
    <w:rsid w:val="004F1EF7"/>
    <w:rsid w:val="004F205D"/>
    <w:rsid w:val="004F2623"/>
    <w:rsid w:val="004F34AC"/>
    <w:rsid w:val="004F45E4"/>
    <w:rsid w:val="004F4B2F"/>
    <w:rsid w:val="004F4BA7"/>
    <w:rsid w:val="004F6F8E"/>
    <w:rsid w:val="004F7326"/>
    <w:rsid w:val="004F7C39"/>
    <w:rsid w:val="004F7DA3"/>
    <w:rsid w:val="005006E7"/>
    <w:rsid w:val="00501E04"/>
    <w:rsid w:val="00502272"/>
    <w:rsid w:val="005030D5"/>
    <w:rsid w:val="00503E8F"/>
    <w:rsid w:val="00504604"/>
    <w:rsid w:val="00505976"/>
    <w:rsid w:val="00505C97"/>
    <w:rsid w:val="00505CF5"/>
    <w:rsid w:val="00506294"/>
    <w:rsid w:val="00506953"/>
    <w:rsid w:val="0050752A"/>
    <w:rsid w:val="005077AE"/>
    <w:rsid w:val="00511589"/>
    <w:rsid w:val="0051223E"/>
    <w:rsid w:val="005128FB"/>
    <w:rsid w:val="00512BBA"/>
    <w:rsid w:val="0051308D"/>
    <w:rsid w:val="00513771"/>
    <w:rsid w:val="00513E85"/>
    <w:rsid w:val="005148FB"/>
    <w:rsid w:val="00515166"/>
    <w:rsid w:val="005152C9"/>
    <w:rsid w:val="005173B2"/>
    <w:rsid w:val="005176BF"/>
    <w:rsid w:val="005177DE"/>
    <w:rsid w:val="00517822"/>
    <w:rsid w:val="00520A2F"/>
    <w:rsid w:val="00520CC8"/>
    <w:rsid w:val="00521439"/>
    <w:rsid w:val="005220C7"/>
    <w:rsid w:val="00522108"/>
    <w:rsid w:val="005227F2"/>
    <w:rsid w:val="00522D64"/>
    <w:rsid w:val="00523FE7"/>
    <w:rsid w:val="005243FE"/>
    <w:rsid w:val="0052547C"/>
    <w:rsid w:val="00525C99"/>
    <w:rsid w:val="005266BB"/>
    <w:rsid w:val="00527308"/>
    <w:rsid w:val="005313C0"/>
    <w:rsid w:val="005332CC"/>
    <w:rsid w:val="00533753"/>
    <w:rsid w:val="00533CCC"/>
    <w:rsid w:val="0053449B"/>
    <w:rsid w:val="005346AF"/>
    <w:rsid w:val="0053548A"/>
    <w:rsid w:val="00535697"/>
    <w:rsid w:val="00537503"/>
    <w:rsid w:val="00537A15"/>
    <w:rsid w:val="00537DC9"/>
    <w:rsid w:val="00537F75"/>
    <w:rsid w:val="005403BA"/>
    <w:rsid w:val="0054062B"/>
    <w:rsid w:val="00540845"/>
    <w:rsid w:val="00541509"/>
    <w:rsid w:val="00541642"/>
    <w:rsid w:val="00541B7C"/>
    <w:rsid w:val="005429C1"/>
    <w:rsid w:val="00542F15"/>
    <w:rsid w:val="00544320"/>
    <w:rsid w:val="00545095"/>
    <w:rsid w:val="0054526C"/>
    <w:rsid w:val="005455FC"/>
    <w:rsid w:val="0054620B"/>
    <w:rsid w:val="005467C5"/>
    <w:rsid w:val="00546E2B"/>
    <w:rsid w:val="00547CAE"/>
    <w:rsid w:val="0055022F"/>
    <w:rsid w:val="00550644"/>
    <w:rsid w:val="00550763"/>
    <w:rsid w:val="005513D4"/>
    <w:rsid w:val="005526ED"/>
    <w:rsid w:val="00552883"/>
    <w:rsid w:val="00552C97"/>
    <w:rsid w:val="00553B1A"/>
    <w:rsid w:val="00555DBF"/>
    <w:rsid w:val="005563DC"/>
    <w:rsid w:val="005563FD"/>
    <w:rsid w:val="00556B7E"/>
    <w:rsid w:val="00556D2E"/>
    <w:rsid w:val="005576BA"/>
    <w:rsid w:val="005577FF"/>
    <w:rsid w:val="00557B7F"/>
    <w:rsid w:val="00557B8B"/>
    <w:rsid w:val="00557EF0"/>
    <w:rsid w:val="00560D50"/>
    <w:rsid w:val="00561773"/>
    <w:rsid w:val="00561997"/>
    <w:rsid w:val="00561AD1"/>
    <w:rsid w:val="00561E16"/>
    <w:rsid w:val="005620CA"/>
    <w:rsid w:val="00562637"/>
    <w:rsid w:val="0056283A"/>
    <w:rsid w:val="0056492D"/>
    <w:rsid w:val="00565033"/>
    <w:rsid w:val="0056573B"/>
    <w:rsid w:val="00565E46"/>
    <w:rsid w:val="005710EE"/>
    <w:rsid w:val="0057194C"/>
    <w:rsid w:val="00571BA3"/>
    <w:rsid w:val="005721EF"/>
    <w:rsid w:val="0057239F"/>
    <w:rsid w:val="00573C03"/>
    <w:rsid w:val="00574038"/>
    <w:rsid w:val="00574E0F"/>
    <w:rsid w:val="005756EC"/>
    <w:rsid w:val="0057590B"/>
    <w:rsid w:val="0057615A"/>
    <w:rsid w:val="00577748"/>
    <w:rsid w:val="00580EDF"/>
    <w:rsid w:val="005810D2"/>
    <w:rsid w:val="0058140A"/>
    <w:rsid w:val="00582395"/>
    <w:rsid w:val="005824CC"/>
    <w:rsid w:val="0058292A"/>
    <w:rsid w:val="00584B2F"/>
    <w:rsid w:val="00584E0D"/>
    <w:rsid w:val="0058565B"/>
    <w:rsid w:val="00585681"/>
    <w:rsid w:val="005856F9"/>
    <w:rsid w:val="005858D8"/>
    <w:rsid w:val="00585956"/>
    <w:rsid w:val="005865AB"/>
    <w:rsid w:val="00586BBF"/>
    <w:rsid w:val="00586CA2"/>
    <w:rsid w:val="00587065"/>
    <w:rsid w:val="00587102"/>
    <w:rsid w:val="005900AC"/>
    <w:rsid w:val="005918F7"/>
    <w:rsid w:val="00593369"/>
    <w:rsid w:val="00593786"/>
    <w:rsid w:val="00593D96"/>
    <w:rsid w:val="00594C16"/>
    <w:rsid w:val="00594FFD"/>
    <w:rsid w:val="00595CD2"/>
    <w:rsid w:val="005960B3"/>
    <w:rsid w:val="0059762B"/>
    <w:rsid w:val="00597969"/>
    <w:rsid w:val="00597CA3"/>
    <w:rsid w:val="005A12EE"/>
    <w:rsid w:val="005A16E8"/>
    <w:rsid w:val="005A3B0A"/>
    <w:rsid w:val="005A3C38"/>
    <w:rsid w:val="005A49C5"/>
    <w:rsid w:val="005A4EB3"/>
    <w:rsid w:val="005A4F8C"/>
    <w:rsid w:val="005A50E9"/>
    <w:rsid w:val="005A5574"/>
    <w:rsid w:val="005A74E3"/>
    <w:rsid w:val="005A7A8C"/>
    <w:rsid w:val="005B00F7"/>
    <w:rsid w:val="005B04E5"/>
    <w:rsid w:val="005B0940"/>
    <w:rsid w:val="005B0979"/>
    <w:rsid w:val="005B0ACA"/>
    <w:rsid w:val="005B1297"/>
    <w:rsid w:val="005B165D"/>
    <w:rsid w:val="005B1C04"/>
    <w:rsid w:val="005B2053"/>
    <w:rsid w:val="005B2905"/>
    <w:rsid w:val="005B2CFC"/>
    <w:rsid w:val="005B336E"/>
    <w:rsid w:val="005B37EE"/>
    <w:rsid w:val="005B3EFB"/>
    <w:rsid w:val="005B4F1A"/>
    <w:rsid w:val="005B5009"/>
    <w:rsid w:val="005B50BB"/>
    <w:rsid w:val="005B564D"/>
    <w:rsid w:val="005B5D53"/>
    <w:rsid w:val="005B6035"/>
    <w:rsid w:val="005B6533"/>
    <w:rsid w:val="005B65E6"/>
    <w:rsid w:val="005B6B7D"/>
    <w:rsid w:val="005B6DAF"/>
    <w:rsid w:val="005C00D4"/>
    <w:rsid w:val="005C00E4"/>
    <w:rsid w:val="005C094E"/>
    <w:rsid w:val="005C16E9"/>
    <w:rsid w:val="005C1896"/>
    <w:rsid w:val="005C1AE6"/>
    <w:rsid w:val="005C27D3"/>
    <w:rsid w:val="005C3092"/>
    <w:rsid w:val="005C3820"/>
    <w:rsid w:val="005C3B48"/>
    <w:rsid w:val="005C4436"/>
    <w:rsid w:val="005C44B2"/>
    <w:rsid w:val="005C45D4"/>
    <w:rsid w:val="005C494A"/>
    <w:rsid w:val="005C5948"/>
    <w:rsid w:val="005C5F95"/>
    <w:rsid w:val="005C6DDD"/>
    <w:rsid w:val="005C785A"/>
    <w:rsid w:val="005D0162"/>
    <w:rsid w:val="005D02AA"/>
    <w:rsid w:val="005D02D4"/>
    <w:rsid w:val="005D0A6E"/>
    <w:rsid w:val="005D0DEC"/>
    <w:rsid w:val="005D21EC"/>
    <w:rsid w:val="005D29D0"/>
    <w:rsid w:val="005D2B5E"/>
    <w:rsid w:val="005D3104"/>
    <w:rsid w:val="005D3D73"/>
    <w:rsid w:val="005D3E20"/>
    <w:rsid w:val="005D4016"/>
    <w:rsid w:val="005D4693"/>
    <w:rsid w:val="005D4715"/>
    <w:rsid w:val="005D4E8A"/>
    <w:rsid w:val="005D61AF"/>
    <w:rsid w:val="005D6624"/>
    <w:rsid w:val="005D6657"/>
    <w:rsid w:val="005D7637"/>
    <w:rsid w:val="005E01ED"/>
    <w:rsid w:val="005E024A"/>
    <w:rsid w:val="005E0873"/>
    <w:rsid w:val="005E0B39"/>
    <w:rsid w:val="005E165D"/>
    <w:rsid w:val="005E1EF6"/>
    <w:rsid w:val="005E1F1F"/>
    <w:rsid w:val="005E2048"/>
    <w:rsid w:val="005E2BE8"/>
    <w:rsid w:val="005E3061"/>
    <w:rsid w:val="005E42BE"/>
    <w:rsid w:val="005E4815"/>
    <w:rsid w:val="005E5041"/>
    <w:rsid w:val="005E6411"/>
    <w:rsid w:val="005E648D"/>
    <w:rsid w:val="005E6531"/>
    <w:rsid w:val="005E6A76"/>
    <w:rsid w:val="005E7A35"/>
    <w:rsid w:val="005F08B3"/>
    <w:rsid w:val="005F1635"/>
    <w:rsid w:val="005F25AA"/>
    <w:rsid w:val="005F2C72"/>
    <w:rsid w:val="005F3508"/>
    <w:rsid w:val="005F39A5"/>
    <w:rsid w:val="005F44AC"/>
    <w:rsid w:val="005F46EF"/>
    <w:rsid w:val="005F4A6E"/>
    <w:rsid w:val="005F4B8A"/>
    <w:rsid w:val="005F4E24"/>
    <w:rsid w:val="005F5039"/>
    <w:rsid w:val="005F6084"/>
    <w:rsid w:val="005F6643"/>
    <w:rsid w:val="005F6657"/>
    <w:rsid w:val="005F6C28"/>
    <w:rsid w:val="005F75A2"/>
    <w:rsid w:val="00600090"/>
    <w:rsid w:val="006005B5"/>
    <w:rsid w:val="00601684"/>
    <w:rsid w:val="0060179F"/>
    <w:rsid w:val="00601E85"/>
    <w:rsid w:val="006024E2"/>
    <w:rsid w:val="00602CA5"/>
    <w:rsid w:val="00604145"/>
    <w:rsid w:val="0060468B"/>
    <w:rsid w:val="00604EA0"/>
    <w:rsid w:val="006052FE"/>
    <w:rsid w:val="00605910"/>
    <w:rsid w:val="00606824"/>
    <w:rsid w:val="00606A23"/>
    <w:rsid w:val="0060784E"/>
    <w:rsid w:val="00607D99"/>
    <w:rsid w:val="00610E4D"/>
    <w:rsid w:val="006124B4"/>
    <w:rsid w:val="0061294F"/>
    <w:rsid w:val="00613CC4"/>
    <w:rsid w:val="00614540"/>
    <w:rsid w:val="00614DD3"/>
    <w:rsid w:val="00615BF8"/>
    <w:rsid w:val="00615C7E"/>
    <w:rsid w:val="00616FB1"/>
    <w:rsid w:val="00617448"/>
    <w:rsid w:val="006179AC"/>
    <w:rsid w:val="00617E87"/>
    <w:rsid w:val="00620632"/>
    <w:rsid w:val="00620DA3"/>
    <w:rsid w:val="00620F75"/>
    <w:rsid w:val="0062103A"/>
    <w:rsid w:val="00621A10"/>
    <w:rsid w:val="00621CEF"/>
    <w:rsid w:val="006223CC"/>
    <w:rsid w:val="0062300D"/>
    <w:rsid w:val="00623A37"/>
    <w:rsid w:val="00623B9B"/>
    <w:rsid w:val="00624389"/>
    <w:rsid w:val="006243F9"/>
    <w:rsid w:val="00624BDB"/>
    <w:rsid w:val="00624F00"/>
    <w:rsid w:val="0062574F"/>
    <w:rsid w:val="00625E95"/>
    <w:rsid w:val="006260EF"/>
    <w:rsid w:val="006263D9"/>
    <w:rsid w:val="006266E3"/>
    <w:rsid w:val="00626D3A"/>
    <w:rsid w:val="00626DCA"/>
    <w:rsid w:val="006270DC"/>
    <w:rsid w:val="006274B8"/>
    <w:rsid w:val="00627741"/>
    <w:rsid w:val="00627DF5"/>
    <w:rsid w:val="006301A0"/>
    <w:rsid w:val="006302AE"/>
    <w:rsid w:val="00630648"/>
    <w:rsid w:val="00630AF8"/>
    <w:rsid w:val="00631A69"/>
    <w:rsid w:val="00631D93"/>
    <w:rsid w:val="00632911"/>
    <w:rsid w:val="00632AC1"/>
    <w:rsid w:val="00633008"/>
    <w:rsid w:val="00633ACA"/>
    <w:rsid w:val="00633C19"/>
    <w:rsid w:val="00633EDF"/>
    <w:rsid w:val="00633FD7"/>
    <w:rsid w:val="006341B0"/>
    <w:rsid w:val="00634660"/>
    <w:rsid w:val="00634804"/>
    <w:rsid w:val="00634B1F"/>
    <w:rsid w:val="00634CAA"/>
    <w:rsid w:val="00635489"/>
    <w:rsid w:val="00635573"/>
    <w:rsid w:val="00636AA8"/>
    <w:rsid w:val="00637115"/>
    <w:rsid w:val="006372D1"/>
    <w:rsid w:val="00637D15"/>
    <w:rsid w:val="0064007D"/>
    <w:rsid w:val="00640775"/>
    <w:rsid w:val="00640937"/>
    <w:rsid w:val="00640C66"/>
    <w:rsid w:val="00640DF8"/>
    <w:rsid w:val="006413C7"/>
    <w:rsid w:val="00641AA7"/>
    <w:rsid w:val="00642B9E"/>
    <w:rsid w:val="00642BD2"/>
    <w:rsid w:val="006431D6"/>
    <w:rsid w:val="00643834"/>
    <w:rsid w:val="00643C99"/>
    <w:rsid w:val="006441A9"/>
    <w:rsid w:val="006446DC"/>
    <w:rsid w:val="0064557D"/>
    <w:rsid w:val="00645E39"/>
    <w:rsid w:val="0064654E"/>
    <w:rsid w:val="00646D31"/>
    <w:rsid w:val="00647111"/>
    <w:rsid w:val="006475E8"/>
    <w:rsid w:val="00647747"/>
    <w:rsid w:val="0065009E"/>
    <w:rsid w:val="00650127"/>
    <w:rsid w:val="006505EA"/>
    <w:rsid w:val="00651262"/>
    <w:rsid w:val="00651542"/>
    <w:rsid w:val="00651795"/>
    <w:rsid w:val="00651CE3"/>
    <w:rsid w:val="00652AA1"/>
    <w:rsid w:val="0065307E"/>
    <w:rsid w:val="006533BE"/>
    <w:rsid w:val="006535A0"/>
    <w:rsid w:val="00653726"/>
    <w:rsid w:val="00653845"/>
    <w:rsid w:val="00653D91"/>
    <w:rsid w:val="0065417F"/>
    <w:rsid w:val="00654911"/>
    <w:rsid w:val="00655177"/>
    <w:rsid w:val="00655FBF"/>
    <w:rsid w:val="00656E18"/>
    <w:rsid w:val="0065726E"/>
    <w:rsid w:val="00657277"/>
    <w:rsid w:val="00657F19"/>
    <w:rsid w:val="00660FC9"/>
    <w:rsid w:val="00661D65"/>
    <w:rsid w:val="006626EA"/>
    <w:rsid w:val="00662760"/>
    <w:rsid w:val="006630ED"/>
    <w:rsid w:val="006639B6"/>
    <w:rsid w:val="00664D4F"/>
    <w:rsid w:val="00664FE3"/>
    <w:rsid w:val="0066550F"/>
    <w:rsid w:val="00665E1A"/>
    <w:rsid w:val="0066604A"/>
    <w:rsid w:val="00666318"/>
    <w:rsid w:val="00666438"/>
    <w:rsid w:val="00667E28"/>
    <w:rsid w:val="00670598"/>
    <w:rsid w:val="006708E7"/>
    <w:rsid w:val="006709D8"/>
    <w:rsid w:val="00670B6D"/>
    <w:rsid w:val="00670BDC"/>
    <w:rsid w:val="00670F65"/>
    <w:rsid w:val="00670F90"/>
    <w:rsid w:val="006712BB"/>
    <w:rsid w:val="006717CD"/>
    <w:rsid w:val="00671ABC"/>
    <w:rsid w:val="00672A68"/>
    <w:rsid w:val="00672C6D"/>
    <w:rsid w:val="00673804"/>
    <w:rsid w:val="006741CC"/>
    <w:rsid w:val="0067492F"/>
    <w:rsid w:val="00674B00"/>
    <w:rsid w:val="00675C9B"/>
    <w:rsid w:val="006762A0"/>
    <w:rsid w:val="00676722"/>
    <w:rsid w:val="00676D99"/>
    <w:rsid w:val="0067740D"/>
    <w:rsid w:val="00677A9C"/>
    <w:rsid w:val="00680029"/>
    <w:rsid w:val="00680612"/>
    <w:rsid w:val="00680C8A"/>
    <w:rsid w:val="00680DB2"/>
    <w:rsid w:val="00681319"/>
    <w:rsid w:val="006814F4"/>
    <w:rsid w:val="00681BA3"/>
    <w:rsid w:val="00681E39"/>
    <w:rsid w:val="006825A1"/>
    <w:rsid w:val="0068281E"/>
    <w:rsid w:val="00683D96"/>
    <w:rsid w:val="00684C80"/>
    <w:rsid w:val="00685585"/>
    <w:rsid w:val="00686587"/>
    <w:rsid w:val="00690069"/>
    <w:rsid w:val="00690F69"/>
    <w:rsid w:val="006914DD"/>
    <w:rsid w:val="0069150C"/>
    <w:rsid w:val="00692906"/>
    <w:rsid w:val="006932E8"/>
    <w:rsid w:val="006936DD"/>
    <w:rsid w:val="00693EA2"/>
    <w:rsid w:val="00696612"/>
    <w:rsid w:val="00697995"/>
    <w:rsid w:val="006979F8"/>
    <w:rsid w:val="006A063C"/>
    <w:rsid w:val="006A165D"/>
    <w:rsid w:val="006A1938"/>
    <w:rsid w:val="006A1B10"/>
    <w:rsid w:val="006A1CCC"/>
    <w:rsid w:val="006A1D0A"/>
    <w:rsid w:val="006A268D"/>
    <w:rsid w:val="006A2C71"/>
    <w:rsid w:val="006A2FC4"/>
    <w:rsid w:val="006A357C"/>
    <w:rsid w:val="006A3E49"/>
    <w:rsid w:val="006A40C4"/>
    <w:rsid w:val="006A53FD"/>
    <w:rsid w:val="006A550B"/>
    <w:rsid w:val="006A5976"/>
    <w:rsid w:val="006A5BEE"/>
    <w:rsid w:val="006A5C5D"/>
    <w:rsid w:val="006A5CFB"/>
    <w:rsid w:val="006A6C10"/>
    <w:rsid w:val="006B02D7"/>
    <w:rsid w:val="006B075D"/>
    <w:rsid w:val="006B0945"/>
    <w:rsid w:val="006B18B1"/>
    <w:rsid w:val="006B1FEE"/>
    <w:rsid w:val="006B2A37"/>
    <w:rsid w:val="006B2F86"/>
    <w:rsid w:val="006B416B"/>
    <w:rsid w:val="006B437D"/>
    <w:rsid w:val="006B4688"/>
    <w:rsid w:val="006B4D10"/>
    <w:rsid w:val="006B5CEC"/>
    <w:rsid w:val="006B60C1"/>
    <w:rsid w:val="006B6525"/>
    <w:rsid w:val="006B67E7"/>
    <w:rsid w:val="006B6AA8"/>
    <w:rsid w:val="006B6B59"/>
    <w:rsid w:val="006B6BAE"/>
    <w:rsid w:val="006B6E94"/>
    <w:rsid w:val="006B71B5"/>
    <w:rsid w:val="006B7329"/>
    <w:rsid w:val="006B7AC9"/>
    <w:rsid w:val="006B7E5D"/>
    <w:rsid w:val="006C0461"/>
    <w:rsid w:val="006C0581"/>
    <w:rsid w:val="006C0949"/>
    <w:rsid w:val="006C182E"/>
    <w:rsid w:val="006C26CA"/>
    <w:rsid w:val="006C2B22"/>
    <w:rsid w:val="006C3054"/>
    <w:rsid w:val="006C37C7"/>
    <w:rsid w:val="006C3E26"/>
    <w:rsid w:val="006C4B42"/>
    <w:rsid w:val="006C4BBA"/>
    <w:rsid w:val="006C52C7"/>
    <w:rsid w:val="006C52FF"/>
    <w:rsid w:val="006C555A"/>
    <w:rsid w:val="006C5660"/>
    <w:rsid w:val="006C5F53"/>
    <w:rsid w:val="006C606B"/>
    <w:rsid w:val="006D0699"/>
    <w:rsid w:val="006D06F0"/>
    <w:rsid w:val="006D07B0"/>
    <w:rsid w:val="006D1006"/>
    <w:rsid w:val="006D19EF"/>
    <w:rsid w:val="006D2791"/>
    <w:rsid w:val="006D2A7D"/>
    <w:rsid w:val="006D338D"/>
    <w:rsid w:val="006D3513"/>
    <w:rsid w:val="006D3DC8"/>
    <w:rsid w:val="006D3DCE"/>
    <w:rsid w:val="006D60A5"/>
    <w:rsid w:val="006D65D1"/>
    <w:rsid w:val="006D6B1C"/>
    <w:rsid w:val="006D6E4A"/>
    <w:rsid w:val="006D7561"/>
    <w:rsid w:val="006D7CB1"/>
    <w:rsid w:val="006E0437"/>
    <w:rsid w:val="006E09E5"/>
    <w:rsid w:val="006E151B"/>
    <w:rsid w:val="006E2428"/>
    <w:rsid w:val="006E2557"/>
    <w:rsid w:val="006E29DF"/>
    <w:rsid w:val="006E3306"/>
    <w:rsid w:val="006E35CB"/>
    <w:rsid w:val="006E45C4"/>
    <w:rsid w:val="006E4681"/>
    <w:rsid w:val="006E473F"/>
    <w:rsid w:val="006E4AE3"/>
    <w:rsid w:val="006E5037"/>
    <w:rsid w:val="006E52DB"/>
    <w:rsid w:val="006E59C2"/>
    <w:rsid w:val="006E5A02"/>
    <w:rsid w:val="006E63AD"/>
    <w:rsid w:val="006E65EE"/>
    <w:rsid w:val="006E751E"/>
    <w:rsid w:val="006F0073"/>
    <w:rsid w:val="006F00C2"/>
    <w:rsid w:val="006F12C0"/>
    <w:rsid w:val="006F16F7"/>
    <w:rsid w:val="006F1B0E"/>
    <w:rsid w:val="006F1B43"/>
    <w:rsid w:val="006F245C"/>
    <w:rsid w:val="006F2D36"/>
    <w:rsid w:val="006F3064"/>
    <w:rsid w:val="006F3A85"/>
    <w:rsid w:val="006F41CF"/>
    <w:rsid w:val="006F5A29"/>
    <w:rsid w:val="006F5B4F"/>
    <w:rsid w:val="006F66B4"/>
    <w:rsid w:val="006F6789"/>
    <w:rsid w:val="006F6965"/>
    <w:rsid w:val="006F71C1"/>
    <w:rsid w:val="006F75B4"/>
    <w:rsid w:val="006F764C"/>
    <w:rsid w:val="00700D6E"/>
    <w:rsid w:val="007011EE"/>
    <w:rsid w:val="00701301"/>
    <w:rsid w:val="00701DF3"/>
    <w:rsid w:val="00701EAA"/>
    <w:rsid w:val="00702C6D"/>
    <w:rsid w:val="00702EDF"/>
    <w:rsid w:val="00702F88"/>
    <w:rsid w:val="00703987"/>
    <w:rsid w:val="00704812"/>
    <w:rsid w:val="007057B3"/>
    <w:rsid w:val="00705C00"/>
    <w:rsid w:val="00706891"/>
    <w:rsid w:val="00707BA1"/>
    <w:rsid w:val="0071019F"/>
    <w:rsid w:val="00710DD6"/>
    <w:rsid w:val="0071157E"/>
    <w:rsid w:val="00711865"/>
    <w:rsid w:val="00714187"/>
    <w:rsid w:val="007167AD"/>
    <w:rsid w:val="0071735F"/>
    <w:rsid w:val="00717E70"/>
    <w:rsid w:val="00720DC5"/>
    <w:rsid w:val="00720DFC"/>
    <w:rsid w:val="0072115D"/>
    <w:rsid w:val="0072175E"/>
    <w:rsid w:val="007217FA"/>
    <w:rsid w:val="00721F40"/>
    <w:rsid w:val="007226DB"/>
    <w:rsid w:val="00722BE7"/>
    <w:rsid w:val="0072328D"/>
    <w:rsid w:val="007237BE"/>
    <w:rsid w:val="00723EB9"/>
    <w:rsid w:val="0072497B"/>
    <w:rsid w:val="00724FD6"/>
    <w:rsid w:val="00725203"/>
    <w:rsid w:val="00725B83"/>
    <w:rsid w:val="00726CAF"/>
    <w:rsid w:val="00726F65"/>
    <w:rsid w:val="00727D8C"/>
    <w:rsid w:val="0073006A"/>
    <w:rsid w:val="0073126C"/>
    <w:rsid w:val="00731371"/>
    <w:rsid w:val="00732385"/>
    <w:rsid w:val="00733929"/>
    <w:rsid w:val="0073393D"/>
    <w:rsid w:val="0073400F"/>
    <w:rsid w:val="007342BD"/>
    <w:rsid w:val="0073503D"/>
    <w:rsid w:val="007353F2"/>
    <w:rsid w:val="00735A46"/>
    <w:rsid w:val="00735FAE"/>
    <w:rsid w:val="007361A7"/>
    <w:rsid w:val="007368C6"/>
    <w:rsid w:val="00736AEF"/>
    <w:rsid w:val="00740A93"/>
    <w:rsid w:val="00740C76"/>
    <w:rsid w:val="00740CDF"/>
    <w:rsid w:val="007411B1"/>
    <w:rsid w:val="00742FF5"/>
    <w:rsid w:val="007434CE"/>
    <w:rsid w:val="00743C1A"/>
    <w:rsid w:val="00743DB5"/>
    <w:rsid w:val="00743DF3"/>
    <w:rsid w:val="0074457B"/>
    <w:rsid w:val="00744954"/>
    <w:rsid w:val="007452F6"/>
    <w:rsid w:val="00745491"/>
    <w:rsid w:val="00746866"/>
    <w:rsid w:val="00746BFB"/>
    <w:rsid w:val="00747468"/>
    <w:rsid w:val="00747470"/>
    <w:rsid w:val="007475DC"/>
    <w:rsid w:val="007502DB"/>
    <w:rsid w:val="00750899"/>
    <w:rsid w:val="007525E6"/>
    <w:rsid w:val="007527D3"/>
    <w:rsid w:val="007533DE"/>
    <w:rsid w:val="00753BAC"/>
    <w:rsid w:val="00753E1B"/>
    <w:rsid w:val="007562D9"/>
    <w:rsid w:val="007574EE"/>
    <w:rsid w:val="007607C9"/>
    <w:rsid w:val="0076087C"/>
    <w:rsid w:val="00760F12"/>
    <w:rsid w:val="00761A27"/>
    <w:rsid w:val="00761E80"/>
    <w:rsid w:val="0076244D"/>
    <w:rsid w:val="007627C8"/>
    <w:rsid w:val="00762B39"/>
    <w:rsid w:val="00762E3B"/>
    <w:rsid w:val="0076306A"/>
    <w:rsid w:val="007630A0"/>
    <w:rsid w:val="00763180"/>
    <w:rsid w:val="00763243"/>
    <w:rsid w:val="00763B9C"/>
    <w:rsid w:val="00764551"/>
    <w:rsid w:val="00764E20"/>
    <w:rsid w:val="00764E38"/>
    <w:rsid w:val="00764EBD"/>
    <w:rsid w:val="0076500D"/>
    <w:rsid w:val="00765903"/>
    <w:rsid w:val="0076597E"/>
    <w:rsid w:val="00766020"/>
    <w:rsid w:val="007666B7"/>
    <w:rsid w:val="00766749"/>
    <w:rsid w:val="007669F3"/>
    <w:rsid w:val="007670A7"/>
    <w:rsid w:val="007674B0"/>
    <w:rsid w:val="0076772B"/>
    <w:rsid w:val="00767C02"/>
    <w:rsid w:val="00767F05"/>
    <w:rsid w:val="00767F72"/>
    <w:rsid w:val="0077026E"/>
    <w:rsid w:val="0077135E"/>
    <w:rsid w:val="007717EE"/>
    <w:rsid w:val="007718A9"/>
    <w:rsid w:val="007722CC"/>
    <w:rsid w:val="007722F4"/>
    <w:rsid w:val="00772B9F"/>
    <w:rsid w:val="007735DE"/>
    <w:rsid w:val="00774157"/>
    <w:rsid w:val="00774A8E"/>
    <w:rsid w:val="0077696F"/>
    <w:rsid w:val="00776F49"/>
    <w:rsid w:val="007773B9"/>
    <w:rsid w:val="00777CE9"/>
    <w:rsid w:val="00780051"/>
    <w:rsid w:val="00780E0F"/>
    <w:rsid w:val="00781051"/>
    <w:rsid w:val="00781969"/>
    <w:rsid w:val="00781D2C"/>
    <w:rsid w:val="00782188"/>
    <w:rsid w:val="007826FD"/>
    <w:rsid w:val="007829E2"/>
    <w:rsid w:val="00782DE3"/>
    <w:rsid w:val="00783668"/>
    <w:rsid w:val="00783B13"/>
    <w:rsid w:val="00783ED9"/>
    <w:rsid w:val="0078420F"/>
    <w:rsid w:val="00784535"/>
    <w:rsid w:val="00784C23"/>
    <w:rsid w:val="007853BC"/>
    <w:rsid w:val="0078581F"/>
    <w:rsid w:val="0078585F"/>
    <w:rsid w:val="00786164"/>
    <w:rsid w:val="00786F98"/>
    <w:rsid w:val="0078723B"/>
    <w:rsid w:val="0079066D"/>
    <w:rsid w:val="00790839"/>
    <w:rsid w:val="00793716"/>
    <w:rsid w:val="00793D6F"/>
    <w:rsid w:val="007944F9"/>
    <w:rsid w:val="007948DB"/>
    <w:rsid w:val="00795D1C"/>
    <w:rsid w:val="00796A55"/>
    <w:rsid w:val="00796FC7"/>
    <w:rsid w:val="00797328"/>
    <w:rsid w:val="007975EA"/>
    <w:rsid w:val="00797B88"/>
    <w:rsid w:val="00797BD5"/>
    <w:rsid w:val="00797C4B"/>
    <w:rsid w:val="007A04AB"/>
    <w:rsid w:val="007A0785"/>
    <w:rsid w:val="007A13CA"/>
    <w:rsid w:val="007A1CA1"/>
    <w:rsid w:val="007A22D0"/>
    <w:rsid w:val="007A239F"/>
    <w:rsid w:val="007A2FD5"/>
    <w:rsid w:val="007A3C64"/>
    <w:rsid w:val="007A4387"/>
    <w:rsid w:val="007A634A"/>
    <w:rsid w:val="007A6D64"/>
    <w:rsid w:val="007A6E03"/>
    <w:rsid w:val="007A6FDC"/>
    <w:rsid w:val="007A7355"/>
    <w:rsid w:val="007A7AF7"/>
    <w:rsid w:val="007A7F79"/>
    <w:rsid w:val="007B0561"/>
    <w:rsid w:val="007B092A"/>
    <w:rsid w:val="007B09DE"/>
    <w:rsid w:val="007B1326"/>
    <w:rsid w:val="007B1A15"/>
    <w:rsid w:val="007B23F7"/>
    <w:rsid w:val="007B3934"/>
    <w:rsid w:val="007B39BA"/>
    <w:rsid w:val="007B4568"/>
    <w:rsid w:val="007B49A5"/>
    <w:rsid w:val="007B4C88"/>
    <w:rsid w:val="007B586F"/>
    <w:rsid w:val="007B648D"/>
    <w:rsid w:val="007B68C5"/>
    <w:rsid w:val="007C15D9"/>
    <w:rsid w:val="007C180B"/>
    <w:rsid w:val="007C1A5A"/>
    <w:rsid w:val="007C1FC8"/>
    <w:rsid w:val="007C271C"/>
    <w:rsid w:val="007C348F"/>
    <w:rsid w:val="007C3E75"/>
    <w:rsid w:val="007C46E7"/>
    <w:rsid w:val="007C48FF"/>
    <w:rsid w:val="007C5E70"/>
    <w:rsid w:val="007C61D3"/>
    <w:rsid w:val="007C626F"/>
    <w:rsid w:val="007C69D2"/>
    <w:rsid w:val="007C72BF"/>
    <w:rsid w:val="007D087D"/>
    <w:rsid w:val="007D0B73"/>
    <w:rsid w:val="007D11F7"/>
    <w:rsid w:val="007D1C2B"/>
    <w:rsid w:val="007D2156"/>
    <w:rsid w:val="007D21B9"/>
    <w:rsid w:val="007D2350"/>
    <w:rsid w:val="007D2501"/>
    <w:rsid w:val="007D2F02"/>
    <w:rsid w:val="007D37E2"/>
    <w:rsid w:val="007D3D83"/>
    <w:rsid w:val="007D40BA"/>
    <w:rsid w:val="007D60B8"/>
    <w:rsid w:val="007D6399"/>
    <w:rsid w:val="007D6632"/>
    <w:rsid w:val="007D69C0"/>
    <w:rsid w:val="007D758D"/>
    <w:rsid w:val="007D7BBD"/>
    <w:rsid w:val="007E0501"/>
    <w:rsid w:val="007E101A"/>
    <w:rsid w:val="007E11F4"/>
    <w:rsid w:val="007E1AEA"/>
    <w:rsid w:val="007E27A4"/>
    <w:rsid w:val="007E2830"/>
    <w:rsid w:val="007E28B9"/>
    <w:rsid w:val="007E2D0D"/>
    <w:rsid w:val="007E2DCA"/>
    <w:rsid w:val="007E34DE"/>
    <w:rsid w:val="007E3698"/>
    <w:rsid w:val="007E3D9E"/>
    <w:rsid w:val="007E449E"/>
    <w:rsid w:val="007E4665"/>
    <w:rsid w:val="007E4D58"/>
    <w:rsid w:val="007E6037"/>
    <w:rsid w:val="007E6D71"/>
    <w:rsid w:val="007E6E9D"/>
    <w:rsid w:val="007E7875"/>
    <w:rsid w:val="007E7F11"/>
    <w:rsid w:val="007E7F8D"/>
    <w:rsid w:val="007F0532"/>
    <w:rsid w:val="007F09FA"/>
    <w:rsid w:val="007F0C8E"/>
    <w:rsid w:val="007F1BA4"/>
    <w:rsid w:val="007F1ECB"/>
    <w:rsid w:val="007F26B9"/>
    <w:rsid w:val="007F327E"/>
    <w:rsid w:val="007F3FD8"/>
    <w:rsid w:val="007F5017"/>
    <w:rsid w:val="007F5FBC"/>
    <w:rsid w:val="007F6995"/>
    <w:rsid w:val="007F69E2"/>
    <w:rsid w:val="007F770C"/>
    <w:rsid w:val="007F7C96"/>
    <w:rsid w:val="0080002F"/>
    <w:rsid w:val="008002C6"/>
    <w:rsid w:val="00801230"/>
    <w:rsid w:val="008018B3"/>
    <w:rsid w:val="008021E4"/>
    <w:rsid w:val="00802685"/>
    <w:rsid w:val="00802D88"/>
    <w:rsid w:val="00802FC3"/>
    <w:rsid w:val="00803001"/>
    <w:rsid w:val="00803874"/>
    <w:rsid w:val="0080402B"/>
    <w:rsid w:val="00804479"/>
    <w:rsid w:val="00805066"/>
    <w:rsid w:val="0080538C"/>
    <w:rsid w:val="00806279"/>
    <w:rsid w:val="00806D07"/>
    <w:rsid w:val="00806DA8"/>
    <w:rsid w:val="00807826"/>
    <w:rsid w:val="008078F5"/>
    <w:rsid w:val="00810683"/>
    <w:rsid w:val="00810B57"/>
    <w:rsid w:val="00810BB8"/>
    <w:rsid w:val="0081160D"/>
    <w:rsid w:val="00811E39"/>
    <w:rsid w:val="00812375"/>
    <w:rsid w:val="00812B5D"/>
    <w:rsid w:val="00812CEA"/>
    <w:rsid w:val="0081463F"/>
    <w:rsid w:val="008149FC"/>
    <w:rsid w:val="00815865"/>
    <w:rsid w:val="008158D0"/>
    <w:rsid w:val="00815F45"/>
    <w:rsid w:val="00816267"/>
    <w:rsid w:val="00816C33"/>
    <w:rsid w:val="00820475"/>
    <w:rsid w:val="008214D8"/>
    <w:rsid w:val="00822912"/>
    <w:rsid w:val="00822A0B"/>
    <w:rsid w:val="00822BA8"/>
    <w:rsid w:val="008239C8"/>
    <w:rsid w:val="00825596"/>
    <w:rsid w:val="008256B3"/>
    <w:rsid w:val="008261A8"/>
    <w:rsid w:val="008261BD"/>
    <w:rsid w:val="00826ED0"/>
    <w:rsid w:val="00830352"/>
    <w:rsid w:val="008309B4"/>
    <w:rsid w:val="00830FCB"/>
    <w:rsid w:val="00831535"/>
    <w:rsid w:val="00832167"/>
    <w:rsid w:val="0083248B"/>
    <w:rsid w:val="0083279A"/>
    <w:rsid w:val="00832A87"/>
    <w:rsid w:val="008334DF"/>
    <w:rsid w:val="00833FF1"/>
    <w:rsid w:val="00834EF4"/>
    <w:rsid w:val="0083586C"/>
    <w:rsid w:val="008358A9"/>
    <w:rsid w:val="00837569"/>
    <w:rsid w:val="0083777F"/>
    <w:rsid w:val="00837E46"/>
    <w:rsid w:val="008406B2"/>
    <w:rsid w:val="00841694"/>
    <w:rsid w:val="00842189"/>
    <w:rsid w:val="00842967"/>
    <w:rsid w:val="00842A0D"/>
    <w:rsid w:val="008438BF"/>
    <w:rsid w:val="00843D33"/>
    <w:rsid w:val="00843E50"/>
    <w:rsid w:val="00844D58"/>
    <w:rsid w:val="008463DF"/>
    <w:rsid w:val="008464C8"/>
    <w:rsid w:val="008467F6"/>
    <w:rsid w:val="00846B4E"/>
    <w:rsid w:val="00846D21"/>
    <w:rsid w:val="00846EC7"/>
    <w:rsid w:val="00847123"/>
    <w:rsid w:val="00847180"/>
    <w:rsid w:val="00847359"/>
    <w:rsid w:val="00847385"/>
    <w:rsid w:val="00847709"/>
    <w:rsid w:val="0084792E"/>
    <w:rsid w:val="00847CCC"/>
    <w:rsid w:val="00850418"/>
    <w:rsid w:val="00852495"/>
    <w:rsid w:val="00852D05"/>
    <w:rsid w:val="00852E6C"/>
    <w:rsid w:val="0085308C"/>
    <w:rsid w:val="00853DCB"/>
    <w:rsid w:val="00854753"/>
    <w:rsid w:val="00855243"/>
    <w:rsid w:val="0085615A"/>
    <w:rsid w:val="008567F0"/>
    <w:rsid w:val="00856BCD"/>
    <w:rsid w:val="00856F54"/>
    <w:rsid w:val="00857D68"/>
    <w:rsid w:val="00860176"/>
    <w:rsid w:val="0086041D"/>
    <w:rsid w:val="00860ACD"/>
    <w:rsid w:val="00860D4B"/>
    <w:rsid w:val="00860D5C"/>
    <w:rsid w:val="00861A5B"/>
    <w:rsid w:val="00861C10"/>
    <w:rsid w:val="0086235D"/>
    <w:rsid w:val="00862545"/>
    <w:rsid w:val="008629CC"/>
    <w:rsid w:val="00862A73"/>
    <w:rsid w:val="00862BEE"/>
    <w:rsid w:val="00863215"/>
    <w:rsid w:val="00864315"/>
    <w:rsid w:val="008645BB"/>
    <w:rsid w:val="00864899"/>
    <w:rsid w:val="00864FE6"/>
    <w:rsid w:val="00865363"/>
    <w:rsid w:val="008656E0"/>
    <w:rsid w:val="00865BDD"/>
    <w:rsid w:val="00866395"/>
    <w:rsid w:val="008663FD"/>
    <w:rsid w:val="00866F46"/>
    <w:rsid w:val="008673E3"/>
    <w:rsid w:val="0086767A"/>
    <w:rsid w:val="0087029B"/>
    <w:rsid w:val="0087075A"/>
    <w:rsid w:val="00870CCD"/>
    <w:rsid w:val="00870EB6"/>
    <w:rsid w:val="008711FD"/>
    <w:rsid w:val="00871AC0"/>
    <w:rsid w:val="00872183"/>
    <w:rsid w:val="00872307"/>
    <w:rsid w:val="008728C3"/>
    <w:rsid w:val="008729B2"/>
    <w:rsid w:val="00872E77"/>
    <w:rsid w:val="00874174"/>
    <w:rsid w:val="00875258"/>
    <w:rsid w:val="0087581A"/>
    <w:rsid w:val="00875837"/>
    <w:rsid w:val="00875D6E"/>
    <w:rsid w:val="008760C3"/>
    <w:rsid w:val="00876453"/>
    <w:rsid w:val="0087678E"/>
    <w:rsid w:val="0087784A"/>
    <w:rsid w:val="0088176C"/>
    <w:rsid w:val="0088226A"/>
    <w:rsid w:val="008827EE"/>
    <w:rsid w:val="00882A11"/>
    <w:rsid w:val="0088330C"/>
    <w:rsid w:val="0088331E"/>
    <w:rsid w:val="00883F17"/>
    <w:rsid w:val="00884515"/>
    <w:rsid w:val="0088511E"/>
    <w:rsid w:val="008854AD"/>
    <w:rsid w:val="00886109"/>
    <w:rsid w:val="00886F65"/>
    <w:rsid w:val="0088715D"/>
    <w:rsid w:val="00890380"/>
    <w:rsid w:val="00890EED"/>
    <w:rsid w:val="00890FED"/>
    <w:rsid w:val="0089122B"/>
    <w:rsid w:val="008918E5"/>
    <w:rsid w:val="00892326"/>
    <w:rsid w:val="00892730"/>
    <w:rsid w:val="00894444"/>
    <w:rsid w:val="00894C9D"/>
    <w:rsid w:val="0089512D"/>
    <w:rsid w:val="00895404"/>
    <w:rsid w:val="00895A45"/>
    <w:rsid w:val="00895F6F"/>
    <w:rsid w:val="008960BB"/>
    <w:rsid w:val="00896882"/>
    <w:rsid w:val="00896AFE"/>
    <w:rsid w:val="008974CA"/>
    <w:rsid w:val="00897511"/>
    <w:rsid w:val="008977AD"/>
    <w:rsid w:val="008A042B"/>
    <w:rsid w:val="008A1105"/>
    <w:rsid w:val="008A1469"/>
    <w:rsid w:val="008A2947"/>
    <w:rsid w:val="008A2A7D"/>
    <w:rsid w:val="008A2F7A"/>
    <w:rsid w:val="008A305C"/>
    <w:rsid w:val="008A388F"/>
    <w:rsid w:val="008A3B71"/>
    <w:rsid w:val="008A42EA"/>
    <w:rsid w:val="008A4857"/>
    <w:rsid w:val="008A5628"/>
    <w:rsid w:val="008A59A3"/>
    <w:rsid w:val="008A5B1B"/>
    <w:rsid w:val="008A5E66"/>
    <w:rsid w:val="008A654C"/>
    <w:rsid w:val="008A7FD3"/>
    <w:rsid w:val="008B0025"/>
    <w:rsid w:val="008B0BDF"/>
    <w:rsid w:val="008B18C5"/>
    <w:rsid w:val="008B250D"/>
    <w:rsid w:val="008B3BE8"/>
    <w:rsid w:val="008B3CF3"/>
    <w:rsid w:val="008B3FD4"/>
    <w:rsid w:val="008B568D"/>
    <w:rsid w:val="008B6673"/>
    <w:rsid w:val="008B67F2"/>
    <w:rsid w:val="008B6F05"/>
    <w:rsid w:val="008B71E0"/>
    <w:rsid w:val="008B78FF"/>
    <w:rsid w:val="008B7CE9"/>
    <w:rsid w:val="008C0336"/>
    <w:rsid w:val="008C0471"/>
    <w:rsid w:val="008C097A"/>
    <w:rsid w:val="008C0A54"/>
    <w:rsid w:val="008C1720"/>
    <w:rsid w:val="008C212D"/>
    <w:rsid w:val="008C22FC"/>
    <w:rsid w:val="008C2425"/>
    <w:rsid w:val="008C374F"/>
    <w:rsid w:val="008C48C0"/>
    <w:rsid w:val="008C5002"/>
    <w:rsid w:val="008C63E2"/>
    <w:rsid w:val="008C6BD4"/>
    <w:rsid w:val="008C71D2"/>
    <w:rsid w:val="008C74D3"/>
    <w:rsid w:val="008C7EB7"/>
    <w:rsid w:val="008C7FB1"/>
    <w:rsid w:val="008D04C8"/>
    <w:rsid w:val="008D10B8"/>
    <w:rsid w:val="008D1951"/>
    <w:rsid w:val="008D1C31"/>
    <w:rsid w:val="008D1EC6"/>
    <w:rsid w:val="008D24B7"/>
    <w:rsid w:val="008D24F4"/>
    <w:rsid w:val="008D352A"/>
    <w:rsid w:val="008D3D09"/>
    <w:rsid w:val="008D4E2D"/>
    <w:rsid w:val="008D55CF"/>
    <w:rsid w:val="008D57B1"/>
    <w:rsid w:val="008D5EC5"/>
    <w:rsid w:val="008D6314"/>
    <w:rsid w:val="008D75AE"/>
    <w:rsid w:val="008E0742"/>
    <w:rsid w:val="008E0A17"/>
    <w:rsid w:val="008E0DBF"/>
    <w:rsid w:val="008E1489"/>
    <w:rsid w:val="008E14C2"/>
    <w:rsid w:val="008E164C"/>
    <w:rsid w:val="008E32D8"/>
    <w:rsid w:val="008E4685"/>
    <w:rsid w:val="008E4C9E"/>
    <w:rsid w:val="008E5175"/>
    <w:rsid w:val="008E53BD"/>
    <w:rsid w:val="008E54F4"/>
    <w:rsid w:val="008E73BD"/>
    <w:rsid w:val="008E7402"/>
    <w:rsid w:val="008E75C3"/>
    <w:rsid w:val="008E7AB3"/>
    <w:rsid w:val="008E7B2B"/>
    <w:rsid w:val="008F1662"/>
    <w:rsid w:val="008F1BD5"/>
    <w:rsid w:val="008F2193"/>
    <w:rsid w:val="008F2205"/>
    <w:rsid w:val="008F383D"/>
    <w:rsid w:val="008F403A"/>
    <w:rsid w:val="008F4101"/>
    <w:rsid w:val="008F75DB"/>
    <w:rsid w:val="00900B3F"/>
    <w:rsid w:val="00900FD7"/>
    <w:rsid w:val="0090199C"/>
    <w:rsid w:val="00901CFA"/>
    <w:rsid w:val="00901D44"/>
    <w:rsid w:val="00901F20"/>
    <w:rsid w:val="00902771"/>
    <w:rsid w:val="0090326C"/>
    <w:rsid w:val="00903496"/>
    <w:rsid w:val="009038A5"/>
    <w:rsid w:val="009040A8"/>
    <w:rsid w:val="009042F0"/>
    <w:rsid w:val="00905E10"/>
    <w:rsid w:val="00906036"/>
    <w:rsid w:val="0090621B"/>
    <w:rsid w:val="0090644C"/>
    <w:rsid w:val="009066D0"/>
    <w:rsid w:val="00906E78"/>
    <w:rsid w:val="00907332"/>
    <w:rsid w:val="00907342"/>
    <w:rsid w:val="0090797C"/>
    <w:rsid w:val="00907E8F"/>
    <w:rsid w:val="009101E7"/>
    <w:rsid w:val="009112E8"/>
    <w:rsid w:val="00911993"/>
    <w:rsid w:val="00911BEB"/>
    <w:rsid w:val="009121D1"/>
    <w:rsid w:val="00912DE3"/>
    <w:rsid w:val="009131B1"/>
    <w:rsid w:val="009133D6"/>
    <w:rsid w:val="00913564"/>
    <w:rsid w:val="00914A77"/>
    <w:rsid w:val="009155F1"/>
    <w:rsid w:val="009159E7"/>
    <w:rsid w:val="00915EFE"/>
    <w:rsid w:val="00916186"/>
    <w:rsid w:val="00916668"/>
    <w:rsid w:val="009166B3"/>
    <w:rsid w:val="00916FC8"/>
    <w:rsid w:val="00917015"/>
    <w:rsid w:val="009178AB"/>
    <w:rsid w:val="00917E0B"/>
    <w:rsid w:val="00920363"/>
    <w:rsid w:val="0092046E"/>
    <w:rsid w:val="009206A4"/>
    <w:rsid w:val="0092084D"/>
    <w:rsid w:val="00921F30"/>
    <w:rsid w:val="00922696"/>
    <w:rsid w:val="00922719"/>
    <w:rsid w:val="00922817"/>
    <w:rsid w:val="0092303F"/>
    <w:rsid w:val="00923A9F"/>
    <w:rsid w:val="00923AD2"/>
    <w:rsid w:val="00923B66"/>
    <w:rsid w:val="00923C21"/>
    <w:rsid w:val="00924DD3"/>
    <w:rsid w:val="00925C15"/>
    <w:rsid w:val="0092683F"/>
    <w:rsid w:val="00926B73"/>
    <w:rsid w:val="009272FF"/>
    <w:rsid w:val="00927E7A"/>
    <w:rsid w:val="00930004"/>
    <w:rsid w:val="00930110"/>
    <w:rsid w:val="00930559"/>
    <w:rsid w:val="00931741"/>
    <w:rsid w:val="00931898"/>
    <w:rsid w:val="00931EA5"/>
    <w:rsid w:val="00931F95"/>
    <w:rsid w:val="009323D9"/>
    <w:rsid w:val="00932B42"/>
    <w:rsid w:val="00934AD3"/>
    <w:rsid w:val="00935519"/>
    <w:rsid w:val="009358D5"/>
    <w:rsid w:val="00935D1B"/>
    <w:rsid w:val="0093768C"/>
    <w:rsid w:val="00937A44"/>
    <w:rsid w:val="0094008C"/>
    <w:rsid w:val="00941AC0"/>
    <w:rsid w:val="00941BAB"/>
    <w:rsid w:val="009426B0"/>
    <w:rsid w:val="0094342B"/>
    <w:rsid w:val="0094378E"/>
    <w:rsid w:val="00943FBF"/>
    <w:rsid w:val="0094498F"/>
    <w:rsid w:val="0094515A"/>
    <w:rsid w:val="00945560"/>
    <w:rsid w:val="009459B6"/>
    <w:rsid w:val="00946120"/>
    <w:rsid w:val="00946450"/>
    <w:rsid w:val="009464C5"/>
    <w:rsid w:val="00946801"/>
    <w:rsid w:val="009469BA"/>
    <w:rsid w:val="00947375"/>
    <w:rsid w:val="00947E9A"/>
    <w:rsid w:val="009500D1"/>
    <w:rsid w:val="009510B0"/>
    <w:rsid w:val="00951E74"/>
    <w:rsid w:val="00952438"/>
    <w:rsid w:val="0095277F"/>
    <w:rsid w:val="00953575"/>
    <w:rsid w:val="00954251"/>
    <w:rsid w:val="00954F4C"/>
    <w:rsid w:val="00954FCA"/>
    <w:rsid w:val="00955623"/>
    <w:rsid w:val="00955900"/>
    <w:rsid w:val="00955BA7"/>
    <w:rsid w:val="00955D48"/>
    <w:rsid w:val="009562EF"/>
    <w:rsid w:val="00956720"/>
    <w:rsid w:val="00956BF3"/>
    <w:rsid w:val="00957015"/>
    <w:rsid w:val="00957D4B"/>
    <w:rsid w:val="00960F25"/>
    <w:rsid w:val="0096164E"/>
    <w:rsid w:val="00961E49"/>
    <w:rsid w:val="0096354F"/>
    <w:rsid w:val="009639F8"/>
    <w:rsid w:val="00963AB4"/>
    <w:rsid w:val="0096419F"/>
    <w:rsid w:val="009662DD"/>
    <w:rsid w:val="009666EB"/>
    <w:rsid w:val="00966B70"/>
    <w:rsid w:val="009675E5"/>
    <w:rsid w:val="00967D89"/>
    <w:rsid w:val="009707AE"/>
    <w:rsid w:val="0097169F"/>
    <w:rsid w:val="00972061"/>
    <w:rsid w:val="00972FEF"/>
    <w:rsid w:val="00973E94"/>
    <w:rsid w:val="00974D00"/>
    <w:rsid w:val="00975F26"/>
    <w:rsid w:val="0097672B"/>
    <w:rsid w:val="00977C7C"/>
    <w:rsid w:val="00977F65"/>
    <w:rsid w:val="009806E8"/>
    <w:rsid w:val="00980A36"/>
    <w:rsid w:val="00980E2B"/>
    <w:rsid w:val="00981780"/>
    <w:rsid w:val="009817E0"/>
    <w:rsid w:val="00982629"/>
    <w:rsid w:val="00982C05"/>
    <w:rsid w:val="00983292"/>
    <w:rsid w:val="00983341"/>
    <w:rsid w:val="00983497"/>
    <w:rsid w:val="00983558"/>
    <w:rsid w:val="00983631"/>
    <w:rsid w:val="00983B38"/>
    <w:rsid w:val="00983BC7"/>
    <w:rsid w:val="00984550"/>
    <w:rsid w:val="00984571"/>
    <w:rsid w:val="009857A8"/>
    <w:rsid w:val="00986058"/>
    <w:rsid w:val="009861C4"/>
    <w:rsid w:val="00986773"/>
    <w:rsid w:val="00986984"/>
    <w:rsid w:val="00986B9C"/>
    <w:rsid w:val="00986C17"/>
    <w:rsid w:val="00986FAB"/>
    <w:rsid w:val="0099042E"/>
    <w:rsid w:val="00991166"/>
    <w:rsid w:val="009912F9"/>
    <w:rsid w:val="00992012"/>
    <w:rsid w:val="00992202"/>
    <w:rsid w:val="00992DF3"/>
    <w:rsid w:val="00993373"/>
    <w:rsid w:val="009934DA"/>
    <w:rsid w:val="00993748"/>
    <w:rsid w:val="009940ED"/>
    <w:rsid w:val="009945BA"/>
    <w:rsid w:val="00994AA8"/>
    <w:rsid w:val="00994F6B"/>
    <w:rsid w:val="0099554D"/>
    <w:rsid w:val="0099662F"/>
    <w:rsid w:val="009968BC"/>
    <w:rsid w:val="0099695F"/>
    <w:rsid w:val="00996A6D"/>
    <w:rsid w:val="00996DC5"/>
    <w:rsid w:val="0099721D"/>
    <w:rsid w:val="00997E87"/>
    <w:rsid w:val="009A0184"/>
    <w:rsid w:val="009A0ADB"/>
    <w:rsid w:val="009A0D0A"/>
    <w:rsid w:val="009A1EEC"/>
    <w:rsid w:val="009A1F94"/>
    <w:rsid w:val="009A2E8F"/>
    <w:rsid w:val="009A4268"/>
    <w:rsid w:val="009A5E68"/>
    <w:rsid w:val="009A6643"/>
    <w:rsid w:val="009A75AB"/>
    <w:rsid w:val="009A77FE"/>
    <w:rsid w:val="009B0185"/>
    <w:rsid w:val="009B0EC1"/>
    <w:rsid w:val="009B179C"/>
    <w:rsid w:val="009B1C91"/>
    <w:rsid w:val="009B206F"/>
    <w:rsid w:val="009B2B1B"/>
    <w:rsid w:val="009B2DB2"/>
    <w:rsid w:val="009B397C"/>
    <w:rsid w:val="009B3BB6"/>
    <w:rsid w:val="009B3E48"/>
    <w:rsid w:val="009B4332"/>
    <w:rsid w:val="009B479D"/>
    <w:rsid w:val="009B4CD3"/>
    <w:rsid w:val="009B5200"/>
    <w:rsid w:val="009B5B1B"/>
    <w:rsid w:val="009B683D"/>
    <w:rsid w:val="009B75D3"/>
    <w:rsid w:val="009B77E8"/>
    <w:rsid w:val="009B7CA6"/>
    <w:rsid w:val="009C0091"/>
    <w:rsid w:val="009C0431"/>
    <w:rsid w:val="009C1266"/>
    <w:rsid w:val="009C1536"/>
    <w:rsid w:val="009C1CD7"/>
    <w:rsid w:val="009C2504"/>
    <w:rsid w:val="009C2743"/>
    <w:rsid w:val="009C2A13"/>
    <w:rsid w:val="009C4CCE"/>
    <w:rsid w:val="009C548C"/>
    <w:rsid w:val="009C65BF"/>
    <w:rsid w:val="009C6789"/>
    <w:rsid w:val="009C6AFB"/>
    <w:rsid w:val="009C7489"/>
    <w:rsid w:val="009C75F4"/>
    <w:rsid w:val="009C7AA0"/>
    <w:rsid w:val="009C7FC9"/>
    <w:rsid w:val="009D0FF3"/>
    <w:rsid w:val="009D1041"/>
    <w:rsid w:val="009D134D"/>
    <w:rsid w:val="009D19A8"/>
    <w:rsid w:val="009D2162"/>
    <w:rsid w:val="009D28C5"/>
    <w:rsid w:val="009D3205"/>
    <w:rsid w:val="009D35DF"/>
    <w:rsid w:val="009D36BC"/>
    <w:rsid w:val="009D433F"/>
    <w:rsid w:val="009D4FD0"/>
    <w:rsid w:val="009D59C5"/>
    <w:rsid w:val="009D79BE"/>
    <w:rsid w:val="009E05EA"/>
    <w:rsid w:val="009E1CB9"/>
    <w:rsid w:val="009E2686"/>
    <w:rsid w:val="009E2714"/>
    <w:rsid w:val="009E44BA"/>
    <w:rsid w:val="009E4F6B"/>
    <w:rsid w:val="009E550B"/>
    <w:rsid w:val="009E5FB3"/>
    <w:rsid w:val="009E6484"/>
    <w:rsid w:val="009E7139"/>
    <w:rsid w:val="009E759B"/>
    <w:rsid w:val="009E7A51"/>
    <w:rsid w:val="009E7B62"/>
    <w:rsid w:val="009E7C76"/>
    <w:rsid w:val="009F00B2"/>
    <w:rsid w:val="009F03E9"/>
    <w:rsid w:val="009F051E"/>
    <w:rsid w:val="009F0D3E"/>
    <w:rsid w:val="009F1F6E"/>
    <w:rsid w:val="009F250D"/>
    <w:rsid w:val="009F255B"/>
    <w:rsid w:val="009F2D6F"/>
    <w:rsid w:val="009F3525"/>
    <w:rsid w:val="009F3C70"/>
    <w:rsid w:val="009F471B"/>
    <w:rsid w:val="009F4B96"/>
    <w:rsid w:val="009F4E3C"/>
    <w:rsid w:val="009F5B01"/>
    <w:rsid w:val="009F6D70"/>
    <w:rsid w:val="009F6F20"/>
    <w:rsid w:val="009F74AB"/>
    <w:rsid w:val="009F76EE"/>
    <w:rsid w:val="00A00088"/>
    <w:rsid w:val="00A0078F"/>
    <w:rsid w:val="00A009C0"/>
    <w:rsid w:val="00A01460"/>
    <w:rsid w:val="00A01551"/>
    <w:rsid w:val="00A01E08"/>
    <w:rsid w:val="00A022F3"/>
    <w:rsid w:val="00A02B45"/>
    <w:rsid w:val="00A030E8"/>
    <w:rsid w:val="00A05102"/>
    <w:rsid w:val="00A05D89"/>
    <w:rsid w:val="00A0646D"/>
    <w:rsid w:val="00A06851"/>
    <w:rsid w:val="00A06A36"/>
    <w:rsid w:val="00A06A78"/>
    <w:rsid w:val="00A07C63"/>
    <w:rsid w:val="00A1019B"/>
    <w:rsid w:val="00A11725"/>
    <w:rsid w:val="00A11CF2"/>
    <w:rsid w:val="00A126FC"/>
    <w:rsid w:val="00A12827"/>
    <w:rsid w:val="00A1360A"/>
    <w:rsid w:val="00A140E6"/>
    <w:rsid w:val="00A1416E"/>
    <w:rsid w:val="00A15102"/>
    <w:rsid w:val="00A15417"/>
    <w:rsid w:val="00A15572"/>
    <w:rsid w:val="00A15761"/>
    <w:rsid w:val="00A164E8"/>
    <w:rsid w:val="00A16ADE"/>
    <w:rsid w:val="00A16D12"/>
    <w:rsid w:val="00A16F24"/>
    <w:rsid w:val="00A17D2D"/>
    <w:rsid w:val="00A21801"/>
    <w:rsid w:val="00A2183B"/>
    <w:rsid w:val="00A22317"/>
    <w:rsid w:val="00A22CD6"/>
    <w:rsid w:val="00A22F89"/>
    <w:rsid w:val="00A236D7"/>
    <w:rsid w:val="00A23E4D"/>
    <w:rsid w:val="00A23FAA"/>
    <w:rsid w:val="00A24C35"/>
    <w:rsid w:val="00A252F5"/>
    <w:rsid w:val="00A253AA"/>
    <w:rsid w:val="00A256D7"/>
    <w:rsid w:val="00A25CAE"/>
    <w:rsid w:val="00A260F7"/>
    <w:rsid w:val="00A26FAF"/>
    <w:rsid w:val="00A26FE7"/>
    <w:rsid w:val="00A27C52"/>
    <w:rsid w:val="00A30040"/>
    <w:rsid w:val="00A30D15"/>
    <w:rsid w:val="00A30FA2"/>
    <w:rsid w:val="00A31526"/>
    <w:rsid w:val="00A316E2"/>
    <w:rsid w:val="00A31A38"/>
    <w:rsid w:val="00A324F8"/>
    <w:rsid w:val="00A32762"/>
    <w:rsid w:val="00A364D9"/>
    <w:rsid w:val="00A36D83"/>
    <w:rsid w:val="00A36E7A"/>
    <w:rsid w:val="00A37119"/>
    <w:rsid w:val="00A3723E"/>
    <w:rsid w:val="00A37DDC"/>
    <w:rsid w:val="00A40842"/>
    <w:rsid w:val="00A4099B"/>
    <w:rsid w:val="00A409F9"/>
    <w:rsid w:val="00A40D21"/>
    <w:rsid w:val="00A4160A"/>
    <w:rsid w:val="00A41C16"/>
    <w:rsid w:val="00A42822"/>
    <w:rsid w:val="00A42C00"/>
    <w:rsid w:val="00A42E82"/>
    <w:rsid w:val="00A4332E"/>
    <w:rsid w:val="00A45CE9"/>
    <w:rsid w:val="00A46413"/>
    <w:rsid w:val="00A47B14"/>
    <w:rsid w:val="00A47D33"/>
    <w:rsid w:val="00A47D8A"/>
    <w:rsid w:val="00A51336"/>
    <w:rsid w:val="00A515B5"/>
    <w:rsid w:val="00A515C9"/>
    <w:rsid w:val="00A51A74"/>
    <w:rsid w:val="00A51A8D"/>
    <w:rsid w:val="00A51AE6"/>
    <w:rsid w:val="00A51E76"/>
    <w:rsid w:val="00A51F4F"/>
    <w:rsid w:val="00A52A46"/>
    <w:rsid w:val="00A52A84"/>
    <w:rsid w:val="00A52E90"/>
    <w:rsid w:val="00A53789"/>
    <w:rsid w:val="00A53C59"/>
    <w:rsid w:val="00A53F3D"/>
    <w:rsid w:val="00A54A40"/>
    <w:rsid w:val="00A55834"/>
    <w:rsid w:val="00A55CEA"/>
    <w:rsid w:val="00A56011"/>
    <w:rsid w:val="00A5734A"/>
    <w:rsid w:val="00A578A1"/>
    <w:rsid w:val="00A6067E"/>
    <w:rsid w:val="00A6093D"/>
    <w:rsid w:val="00A610B0"/>
    <w:rsid w:val="00A61A1F"/>
    <w:rsid w:val="00A61F86"/>
    <w:rsid w:val="00A63451"/>
    <w:rsid w:val="00A63465"/>
    <w:rsid w:val="00A63C53"/>
    <w:rsid w:val="00A63CA4"/>
    <w:rsid w:val="00A64BD4"/>
    <w:rsid w:val="00A64E86"/>
    <w:rsid w:val="00A650A5"/>
    <w:rsid w:val="00A65596"/>
    <w:rsid w:val="00A65AD9"/>
    <w:rsid w:val="00A669FB"/>
    <w:rsid w:val="00A66A0D"/>
    <w:rsid w:val="00A66CB0"/>
    <w:rsid w:val="00A67179"/>
    <w:rsid w:val="00A7012B"/>
    <w:rsid w:val="00A7035A"/>
    <w:rsid w:val="00A70AFE"/>
    <w:rsid w:val="00A7191E"/>
    <w:rsid w:val="00A723A3"/>
    <w:rsid w:val="00A7279E"/>
    <w:rsid w:val="00A739CA"/>
    <w:rsid w:val="00A73BE4"/>
    <w:rsid w:val="00A73CC2"/>
    <w:rsid w:val="00A74593"/>
    <w:rsid w:val="00A746B4"/>
    <w:rsid w:val="00A7493C"/>
    <w:rsid w:val="00A75170"/>
    <w:rsid w:val="00A755A1"/>
    <w:rsid w:val="00A75612"/>
    <w:rsid w:val="00A7629E"/>
    <w:rsid w:val="00A764E1"/>
    <w:rsid w:val="00A769BE"/>
    <w:rsid w:val="00A76B13"/>
    <w:rsid w:val="00A771DE"/>
    <w:rsid w:val="00A7727D"/>
    <w:rsid w:val="00A77C6B"/>
    <w:rsid w:val="00A80377"/>
    <w:rsid w:val="00A82D30"/>
    <w:rsid w:val="00A831AA"/>
    <w:rsid w:val="00A83279"/>
    <w:rsid w:val="00A834CA"/>
    <w:rsid w:val="00A84916"/>
    <w:rsid w:val="00A851F1"/>
    <w:rsid w:val="00A86AAB"/>
    <w:rsid w:val="00A87BA3"/>
    <w:rsid w:val="00A902EF"/>
    <w:rsid w:val="00A90946"/>
    <w:rsid w:val="00A90994"/>
    <w:rsid w:val="00A90B80"/>
    <w:rsid w:val="00A90D51"/>
    <w:rsid w:val="00A90F11"/>
    <w:rsid w:val="00A911BE"/>
    <w:rsid w:val="00A91A45"/>
    <w:rsid w:val="00A92935"/>
    <w:rsid w:val="00A9293F"/>
    <w:rsid w:val="00A92D6A"/>
    <w:rsid w:val="00A93FD9"/>
    <w:rsid w:val="00A942BB"/>
    <w:rsid w:val="00A94C61"/>
    <w:rsid w:val="00A95318"/>
    <w:rsid w:val="00A95398"/>
    <w:rsid w:val="00A95B63"/>
    <w:rsid w:val="00A96123"/>
    <w:rsid w:val="00A9678C"/>
    <w:rsid w:val="00A96BCE"/>
    <w:rsid w:val="00A96C0B"/>
    <w:rsid w:val="00A97951"/>
    <w:rsid w:val="00A97F39"/>
    <w:rsid w:val="00AA0887"/>
    <w:rsid w:val="00AA3890"/>
    <w:rsid w:val="00AA4470"/>
    <w:rsid w:val="00AA5197"/>
    <w:rsid w:val="00AA57C0"/>
    <w:rsid w:val="00AA7067"/>
    <w:rsid w:val="00AA75C0"/>
    <w:rsid w:val="00AB0FA7"/>
    <w:rsid w:val="00AB185B"/>
    <w:rsid w:val="00AB1EE7"/>
    <w:rsid w:val="00AB2974"/>
    <w:rsid w:val="00AB4764"/>
    <w:rsid w:val="00AB4792"/>
    <w:rsid w:val="00AB4CE0"/>
    <w:rsid w:val="00AB6663"/>
    <w:rsid w:val="00AB68F2"/>
    <w:rsid w:val="00AB70DE"/>
    <w:rsid w:val="00AB73CF"/>
    <w:rsid w:val="00AB756B"/>
    <w:rsid w:val="00AC04A9"/>
    <w:rsid w:val="00AC0AD7"/>
    <w:rsid w:val="00AC0B3E"/>
    <w:rsid w:val="00AC0C7C"/>
    <w:rsid w:val="00AC123B"/>
    <w:rsid w:val="00AC24E3"/>
    <w:rsid w:val="00AC30E5"/>
    <w:rsid w:val="00AC4B27"/>
    <w:rsid w:val="00AC4BE1"/>
    <w:rsid w:val="00AC5EB9"/>
    <w:rsid w:val="00AC5FCF"/>
    <w:rsid w:val="00AC6297"/>
    <w:rsid w:val="00AC73E9"/>
    <w:rsid w:val="00AC7CB1"/>
    <w:rsid w:val="00AD0DA2"/>
    <w:rsid w:val="00AD0E00"/>
    <w:rsid w:val="00AD1A52"/>
    <w:rsid w:val="00AD203C"/>
    <w:rsid w:val="00AD2A45"/>
    <w:rsid w:val="00AD3975"/>
    <w:rsid w:val="00AD3E9C"/>
    <w:rsid w:val="00AD4F7F"/>
    <w:rsid w:val="00AD54F4"/>
    <w:rsid w:val="00AD5BAB"/>
    <w:rsid w:val="00AD6C4A"/>
    <w:rsid w:val="00AD6FBD"/>
    <w:rsid w:val="00AE0359"/>
    <w:rsid w:val="00AE0DCA"/>
    <w:rsid w:val="00AE203A"/>
    <w:rsid w:val="00AE21FF"/>
    <w:rsid w:val="00AE29C9"/>
    <w:rsid w:val="00AE3071"/>
    <w:rsid w:val="00AE31CF"/>
    <w:rsid w:val="00AE341C"/>
    <w:rsid w:val="00AE3831"/>
    <w:rsid w:val="00AE3A84"/>
    <w:rsid w:val="00AE3C6D"/>
    <w:rsid w:val="00AE3F1B"/>
    <w:rsid w:val="00AE4066"/>
    <w:rsid w:val="00AE4445"/>
    <w:rsid w:val="00AE44C5"/>
    <w:rsid w:val="00AE52D2"/>
    <w:rsid w:val="00AE6547"/>
    <w:rsid w:val="00AE6D5A"/>
    <w:rsid w:val="00AE7727"/>
    <w:rsid w:val="00AE7794"/>
    <w:rsid w:val="00AF178E"/>
    <w:rsid w:val="00AF19A5"/>
    <w:rsid w:val="00AF24D4"/>
    <w:rsid w:val="00AF2677"/>
    <w:rsid w:val="00AF2870"/>
    <w:rsid w:val="00AF35F0"/>
    <w:rsid w:val="00AF42B5"/>
    <w:rsid w:val="00AF42EB"/>
    <w:rsid w:val="00AF4FE6"/>
    <w:rsid w:val="00AF5CAC"/>
    <w:rsid w:val="00AF6276"/>
    <w:rsid w:val="00AF6BA8"/>
    <w:rsid w:val="00AF6F1A"/>
    <w:rsid w:val="00AF75A5"/>
    <w:rsid w:val="00AF7F5C"/>
    <w:rsid w:val="00AF7F75"/>
    <w:rsid w:val="00B00C95"/>
    <w:rsid w:val="00B0121F"/>
    <w:rsid w:val="00B02345"/>
    <w:rsid w:val="00B02F9C"/>
    <w:rsid w:val="00B030D2"/>
    <w:rsid w:val="00B030EF"/>
    <w:rsid w:val="00B042EA"/>
    <w:rsid w:val="00B04BCC"/>
    <w:rsid w:val="00B04FCB"/>
    <w:rsid w:val="00B051F4"/>
    <w:rsid w:val="00B0591A"/>
    <w:rsid w:val="00B05981"/>
    <w:rsid w:val="00B0606D"/>
    <w:rsid w:val="00B06198"/>
    <w:rsid w:val="00B0778B"/>
    <w:rsid w:val="00B107AC"/>
    <w:rsid w:val="00B1138B"/>
    <w:rsid w:val="00B12303"/>
    <w:rsid w:val="00B12EE8"/>
    <w:rsid w:val="00B132B6"/>
    <w:rsid w:val="00B146E9"/>
    <w:rsid w:val="00B14934"/>
    <w:rsid w:val="00B14B99"/>
    <w:rsid w:val="00B14F5D"/>
    <w:rsid w:val="00B1533A"/>
    <w:rsid w:val="00B15637"/>
    <w:rsid w:val="00B15B52"/>
    <w:rsid w:val="00B15E2F"/>
    <w:rsid w:val="00B16025"/>
    <w:rsid w:val="00B16803"/>
    <w:rsid w:val="00B16A60"/>
    <w:rsid w:val="00B16F17"/>
    <w:rsid w:val="00B17393"/>
    <w:rsid w:val="00B20B91"/>
    <w:rsid w:val="00B21A19"/>
    <w:rsid w:val="00B21AEF"/>
    <w:rsid w:val="00B21B36"/>
    <w:rsid w:val="00B21BFB"/>
    <w:rsid w:val="00B21ECA"/>
    <w:rsid w:val="00B2279E"/>
    <w:rsid w:val="00B23497"/>
    <w:rsid w:val="00B235DC"/>
    <w:rsid w:val="00B23EA9"/>
    <w:rsid w:val="00B24290"/>
    <w:rsid w:val="00B2469F"/>
    <w:rsid w:val="00B246AA"/>
    <w:rsid w:val="00B2478C"/>
    <w:rsid w:val="00B2497D"/>
    <w:rsid w:val="00B24EBD"/>
    <w:rsid w:val="00B2525E"/>
    <w:rsid w:val="00B25AE0"/>
    <w:rsid w:val="00B25C80"/>
    <w:rsid w:val="00B26D05"/>
    <w:rsid w:val="00B26D10"/>
    <w:rsid w:val="00B27266"/>
    <w:rsid w:val="00B27C59"/>
    <w:rsid w:val="00B301B6"/>
    <w:rsid w:val="00B30ED7"/>
    <w:rsid w:val="00B310B2"/>
    <w:rsid w:val="00B314BA"/>
    <w:rsid w:val="00B32DB6"/>
    <w:rsid w:val="00B34403"/>
    <w:rsid w:val="00B3555E"/>
    <w:rsid w:val="00B408D0"/>
    <w:rsid w:val="00B4237E"/>
    <w:rsid w:val="00B42968"/>
    <w:rsid w:val="00B42BB3"/>
    <w:rsid w:val="00B43C6D"/>
    <w:rsid w:val="00B44267"/>
    <w:rsid w:val="00B44384"/>
    <w:rsid w:val="00B44CBB"/>
    <w:rsid w:val="00B45651"/>
    <w:rsid w:val="00B462D0"/>
    <w:rsid w:val="00B4639F"/>
    <w:rsid w:val="00B468B6"/>
    <w:rsid w:val="00B46A4C"/>
    <w:rsid w:val="00B46C47"/>
    <w:rsid w:val="00B475FE"/>
    <w:rsid w:val="00B47C52"/>
    <w:rsid w:val="00B50042"/>
    <w:rsid w:val="00B5112E"/>
    <w:rsid w:val="00B51967"/>
    <w:rsid w:val="00B51A0B"/>
    <w:rsid w:val="00B524F8"/>
    <w:rsid w:val="00B54500"/>
    <w:rsid w:val="00B54556"/>
    <w:rsid w:val="00B5472B"/>
    <w:rsid w:val="00B54B0C"/>
    <w:rsid w:val="00B55426"/>
    <w:rsid w:val="00B557E4"/>
    <w:rsid w:val="00B55ABE"/>
    <w:rsid w:val="00B55AD5"/>
    <w:rsid w:val="00B55AF3"/>
    <w:rsid w:val="00B55C39"/>
    <w:rsid w:val="00B567A0"/>
    <w:rsid w:val="00B567AA"/>
    <w:rsid w:val="00B56FF9"/>
    <w:rsid w:val="00B5728B"/>
    <w:rsid w:val="00B57321"/>
    <w:rsid w:val="00B57AAA"/>
    <w:rsid w:val="00B57D59"/>
    <w:rsid w:val="00B61835"/>
    <w:rsid w:val="00B61EA8"/>
    <w:rsid w:val="00B62DEC"/>
    <w:rsid w:val="00B62E6D"/>
    <w:rsid w:val="00B64D74"/>
    <w:rsid w:val="00B64F85"/>
    <w:rsid w:val="00B650B0"/>
    <w:rsid w:val="00B663C6"/>
    <w:rsid w:val="00B663D4"/>
    <w:rsid w:val="00B6698F"/>
    <w:rsid w:val="00B67EFB"/>
    <w:rsid w:val="00B70950"/>
    <w:rsid w:val="00B70BEB"/>
    <w:rsid w:val="00B71894"/>
    <w:rsid w:val="00B7268D"/>
    <w:rsid w:val="00B72744"/>
    <w:rsid w:val="00B72BE9"/>
    <w:rsid w:val="00B72E53"/>
    <w:rsid w:val="00B72ED7"/>
    <w:rsid w:val="00B7408D"/>
    <w:rsid w:val="00B741D0"/>
    <w:rsid w:val="00B74E9D"/>
    <w:rsid w:val="00B75083"/>
    <w:rsid w:val="00B75D27"/>
    <w:rsid w:val="00B76327"/>
    <w:rsid w:val="00B76927"/>
    <w:rsid w:val="00B76CED"/>
    <w:rsid w:val="00B76F6A"/>
    <w:rsid w:val="00B770A4"/>
    <w:rsid w:val="00B77511"/>
    <w:rsid w:val="00B77FA7"/>
    <w:rsid w:val="00B8034C"/>
    <w:rsid w:val="00B80526"/>
    <w:rsid w:val="00B81040"/>
    <w:rsid w:val="00B81303"/>
    <w:rsid w:val="00B81630"/>
    <w:rsid w:val="00B81CDA"/>
    <w:rsid w:val="00B8270F"/>
    <w:rsid w:val="00B832EB"/>
    <w:rsid w:val="00B840F8"/>
    <w:rsid w:val="00B84933"/>
    <w:rsid w:val="00B849FD"/>
    <w:rsid w:val="00B85996"/>
    <w:rsid w:val="00B86EBE"/>
    <w:rsid w:val="00B87395"/>
    <w:rsid w:val="00B87FED"/>
    <w:rsid w:val="00B910D6"/>
    <w:rsid w:val="00B923A6"/>
    <w:rsid w:val="00B93139"/>
    <w:rsid w:val="00B94520"/>
    <w:rsid w:val="00B94B56"/>
    <w:rsid w:val="00B95047"/>
    <w:rsid w:val="00B95AF3"/>
    <w:rsid w:val="00B965D2"/>
    <w:rsid w:val="00B966AA"/>
    <w:rsid w:val="00B969BA"/>
    <w:rsid w:val="00B96D23"/>
    <w:rsid w:val="00B96F7B"/>
    <w:rsid w:val="00B97230"/>
    <w:rsid w:val="00B97EE5"/>
    <w:rsid w:val="00BA0F01"/>
    <w:rsid w:val="00BA2183"/>
    <w:rsid w:val="00BA24DD"/>
    <w:rsid w:val="00BA322F"/>
    <w:rsid w:val="00BA32B5"/>
    <w:rsid w:val="00BA32C4"/>
    <w:rsid w:val="00BA365B"/>
    <w:rsid w:val="00BA544A"/>
    <w:rsid w:val="00BA56DA"/>
    <w:rsid w:val="00BA5B3D"/>
    <w:rsid w:val="00BA65DD"/>
    <w:rsid w:val="00BA6C3F"/>
    <w:rsid w:val="00BA70E0"/>
    <w:rsid w:val="00BB0051"/>
    <w:rsid w:val="00BB0068"/>
    <w:rsid w:val="00BB03F7"/>
    <w:rsid w:val="00BB0A84"/>
    <w:rsid w:val="00BB123A"/>
    <w:rsid w:val="00BB14D5"/>
    <w:rsid w:val="00BB1742"/>
    <w:rsid w:val="00BB1E74"/>
    <w:rsid w:val="00BB228A"/>
    <w:rsid w:val="00BB3112"/>
    <w:rsid w:val="00BB349E"/>
    <w:rsid w:val="00BB370B"/>
    <w:rsid w:val="00BB382C"/>
    <w:rsid w:val="00BB398D"/>
    <w:rsid w:val="00BB4262"/>
    <w:rsid w:val="00BB45EA"/>
    <w:rsid w:val="00BB512D"/>
    <w:rsid w:val="00BB5335"/>
    <w:rsid w:val="00BB6CE7"/>
    <w:rsid w:val="00BB6FF8"/>
    <w:rsid w:val="00BB7126"/>
    <w:rsid w:val="00BB7396"/>
    <w:rsid w:val="00BB75D7"/>
    <w:rsid w:val="00BC0489"/>
    <w:rsid w:val="00BC04D4"/>
    <w:rsid w:val="00BC0991"/>
    <w:rsid w:val="00BC15F5"/>
    <w:rsid w:val="00BC20B5"/>
    <w:rsid w:val="00BC2F60"/>
    <w:rsid w:val="00BC3D62"/>
    <w:rsid w:val="00BC413D"/>
    <w:rsid w:val="00BC55E7"/>
    <w:rsid w:val="00BC5A7A"/>
    <w:rsid w:val="00BC651E"/>
    <w:rsid w:val="00BC661A"/>
    <w:rsid w:val="00BC674D"/>
    <w:rsid w:val="00BC693D"/>
    <w:rsid w:val="00BC6B0D"/>
    <w:rsid w:val="00BC7025"/>
    <w:rsid w:val="00BC73CD"/>
    <w:rsid w:val="00BC7680"/>
    <w:rsid w:val="00BD0631"/>
    <w:rsid w:val="00BD0A0F"/>
    <w:rsid w:val="00BD0E8A"/>
    <w:rsid w:val="00BD23D0"/>
    <w:rsid w:val="00BD2E29"/>
    <w:rsid w:val="00BD377B"/>
    <w:rsid w:val="00BD443A"/>
    <w:rsid w:val="00BD544E"/>
    <w:rsid w:val="00BD5C8A"/>
    <w:rsid w:val="00BD5D65"/>
    <w:rsid w:val="00BD623E"/>
    <w:rsid w:val="00BD7A60"/>
    <w:rsid w:val="00BD7A68"/>
    <w:rsid w:val="00BD7D46"/>
    <w:rsid w:val="00BD7D90"/>
    <w:rsid w:val="00BD7EB3"/>
    <w:rsid w:val="00BE0AE8"/>
    <w:rsid w:val="00BE1141"/>
    <w:rsid w:val="00BE19EA"/>
    <w:rsid w:val="00BE1ECE"/>
    <w:rsid w:val="00BE26C3"/>
    <w:rsid w:val="00BE4520"/>
    <w:rsid w:val="00BE45BB"/>
    <w:rsid w:val="00BE4C33"/>
    <w:rsid w:val="00BE5775"/>
    <w:rsid w:val="00BE6280"/>
    <w:rsid w:val="00BE6AF5"/>
    <w:rsid w:val="00BE7493"/>
    <w:rsid w:val="00BE7DE0"/>
    <w:rsid w:val="00BE7E72"/>
    <w:rsid w:val="00BF0E80"/>
    <w:rsid w:val="00BF0FA8"/>
    <w:rsid w:val="00BF224B"/>
    <w:rsid w:val="00BF3356"/>
    <w:rsid w:val="00BF3663"/>
    <w:rsid w:val="00BF3860"/>
    <w:rsid w:val="00BF4B29"/>
    <w:rsid w:val="00BF5274"/>
    <w:rsid w:val="00BF52E1"/>
    <w:rsid w:val="00BF57B7"/>
    <w:rsid w:val="00BF640E"/>
    <w:rsid w:val="00BF641F"/>
    <w:rsid w:val="00BF675D"/>
    <w:rsid w:val="00BF6971"/>
    <w:rsid w:val="00BF6BEF"/>
    <w:rsid w:val="00BF6F87"/>
    <w:rsid w:val="00BF7BDB"/>
    <w:rsid w:val="00BF7D85"/>
    <w:rsid w:val="00C00261"/>
    <w:rsid w:val="00C00D2B"/>
    <w:rsid w:val="00C01707"/>
    <w:rsid w:val="00C021BB"/>
    <w:rsid w:val="00C023C3"/>
    <w:rsid w:val="00C02470"/>
    <w:rsid w:val="00C030F8"/>
    <w:rsid w:val="00C03196"/>
    <w:rsid w:val="00C03C28"/>
    <w:rsid w:val="00C04529"/>
    <w:rsid w:val="00C04A28"/>
    <w:rsid w:val="00C04EEE"/>
    <w:rsid w:val="00C05B83"/>
    <w:rsid w:val="00C0603A"/>
    <w:rsid w:val="00C061B6"/>
    <w:rsid w:val="00C07046"/>
    <w:rsid w:val="00C079AA"/>
    <w:rsid w:val="00C07FDD"/>
    <w:rsid w:val="00C10562"/>
    <w:rsid w:val="00C10842"/>
    <w:rsid w:val="00C10873"/>
    <w:rsid w:val="00C11EBD"/>
    <w:rsid w:val="00C11EE8"/>
    <w:rsid w:val="00C12263"/>
    <w:rsid w:val="00C126B5"/>
    <w:rsid w:val="00C1319B"/>
    <w:rsid w:val="00C135B3"/>
    <w:rsid w:val="00C13AB8"/>
    <w:rsid w:val="00C13C0C"/>
    <w:rsid w:val="00C14906"/>
    <w:rsid w:val="00C150D6"/>
    <w:rsid w:val="00C15504"/>
    <w:rsid w:val="00C16B4B"/>
    <w:rsid w:val="00C17373"/>
    <w:rsid w:val="00C202BE"/>
    <w:rsid w:val="00C2108E"/>
    <w:rsid w:val="00C214BA"/>
    <w:rsid w:val="00C21DCB"/>
    <w:rsid w:val="00C21E19"/>
    <w:rsid w:val="00C21E89"/>
    <w:rsid w:val="00C21FD7"/>
    <w:rsid w:val="00C226C4"/>
    <w:rsid w:val="00C23979"/>
    <w:rsid w:val="00C257F8"/>
    <w:rsid w:val="00C26996"/>
    <w:rsid w:val="00C2727F"/>
    <w:rsid w:val="00C30389"/>
    <w:rsid w:val="00C308C1"/>
    <w:rsid w:val="00C30B1E"/>
    <w:rsid w:val="00C30CB9"/>
    <w:rsid w:val="00C30D00"/>
    <w:rsid w:val="00C310B8"/>
    <w:rsid w:val="00C31697"/>
    <w:rsid w:val="00C31CAF"/>
    <w:rsid w:val="00C3456A"/>
    <w:rsid w:val="00C347F8"/>
    <w:rsid w:val="00C34B5A"/>
    <w:rsid w:val="00C34C10"/>
    <w:rsid w:val="00C351F8"/>
    <w:rsid w:val="00C35695"/>
    <w:rsid w:val="00C3696C"/>
    <w:rsid w:val="00C37164"/>
    <w:rsid w:val="00C37917"/>
    <w:rsid w:val="00C37951"/>
    <w:rsid w:val="00C37D64"/>
    <w:rsid w:val="00C37DAD"/>
    <w:rsid w:val="00C4171B"/>
    <w:rsid w:val="00C417A5"/>
    <w:rsid w:val="00C421C4"/>
    <w:rsid w:val="00C429D6"/>
    <w:rsid w:val="00C444B3"/>
    <w:rsid w:val="00C44A37"/>
    <w:rsid w:val="00C44A94"/>
    <w:rsid w:val="00C44AAC"/>
    <w:rsid w:val="00C44F0F"/>
    <w:rsid w:val="00C45302"/>
    <w:rsid w:val="00C46A68"/>
    <w:rsid w:val="00C46F68"/>
    <w:rsid w:val="00C476A4"/>
    <w:rsid w:val="00C477AC"/>
    <w:rsid w:val="00C479C4"/>
    <w:rsid w:val="00C47E0F"/>
    <w:rsid w:val="00C50288"/>
    <w:rsid w:val="00C5072B"/>
    <w:rsid w:val="00C519AD"/>
    <w:rsid w:val="00C519BD"/>
    <w:rsid w:val="00C519C8"/>
    <w:rsid w:val="00C522C2"/>
    <w:rsid w:val="00C534F0"/>
    <w:rsid w:val="00C5388D"/>
    <w:rsid w:val="00C541A8"/>
    <w:rsid w:val="00C56A0C"/>
    <w:rsid w:val="00C574EA"/>
    <w:rsid w:val="00C6085F"/>
    <w:rsid w:val="00C626F5"/>
    <w:rsid w:val="00C62785"/>
    <w:rsid w:val="00C627EA"/>
    <w:rsid w:val="00C628FD"/>
    <w:rsid w:val="00C62CE6"/>
    <w:rsid w:val="00C62E45"/>
    <w:rsid w:val="00C62F78"/>
    <w:rsid w:val="00C639C0"/>
    <w:rsid w:val="00C63A93"/>
    <w:rsid w:val="00C642A8"/>
    <w:rsid w:val="00C6431E"/>
    <w:rsid w:val="00C64DFB"/>
    <w:rsid w:val="00C64E6D"/>
    <w:rsid w:val="00C6576B"/>
    <w:rsid w:val="00C65DC5"/>
    <w:rsid w:val="00C66110"/>
    <w:rsid w:val="00C701E2"/>
    <w:rsid w:val="00C707E6"/>
    <w:rsid w:val="00C70EB1"/>
    <w:rsid w:val="00C72B7C"/>
    <w:rsid w:val="00C73372"/>
    <w:rsid w:val="00C7351F"/>
    <w:rsid w:val="00C738DE"/>
    <w:rsid w:val="00C73AD3"/>
    <w:rsid w:val="00C73D08"/>
    <w:rsid w:val="00C74430"/>
    <w:rsid w:val="00C74662"/>
    <w:rsid w:val="00C751DD"/>
    <w:rsid w:val="00C75C40"/>
    <w:rsid w:val="00C75C61"/>
    <w:rsid w:val="00C75FA0"/>
    <w:rsid w:val="00C76480"/>
    <w:rsid w:val="00C76583"/>
    <w:rsid w:val="00C76732"/>
    <w:rsid w:val="00C77726"/>
    <w:rsid w:val="00C77B64"/>
    <w:rsid w:val="00C80AED"/>
    <w:rsid w:val="00C80C80"/>
    <w:rsid w:val="00C813A7"/>
    <w:rsid w:val="00C82183"/>
    <w:rsid w:val="00C822E4"/>
    <w:rsid w:val="00C82452"/>
    <w:rsid w:val="00C8318A"/>
    <w:rsid w:val="00C83758"/>
    <w:rsid w:val="00C83B2B"/>
    <w:rsid w:val="00C846C4"/>
    <w:rsid w:val="00C8631D"/>
    <w:rsid w:val="00C878A3"/>
    <w:rsid w:val="00C879EE"/>
    <w:rsid w:val="00C9052A"/>
    <w:rsid w:val="00C90557"/>
    <w:rsid w:val="00C91573"/>
    <w:rsid w:val="00C91FD1"/>
    <w:rsid w:val="00C925B3"/>
    <w:rsid w:val="00C92BC8"/>
    <w:rsid w:val="00C94BE5"/>
    <w:rsid w:val="00C9518E"/>
    <w:rsid w:val="00C957CB"/>
    <w:rsid w:val="00C960CA"/>
    <w:rsid w:val="00C9694E"/>
    <w:rsid w:val="00C96F48"/>
    <w:rsid w:val="00C97546"/>
    <w:rsid w:val="00C978BC"/>
    <w:rsid w:val="00C97CE8"/>
    <w:rsid w:val="00C97E26"/>
    <w:rsid w:val="00CA03F4"/>
    <w:rsid w:val="00CA05F2"/>
    <w:rsid w:val="00CA0999"/>
    <w:rsid w:val="00CA1270"/>
    <w:rsid w:val="00CA1A5D"/>
    <w:rsid w:val="00CA2B77"/>
    <w:rsid w:val="00CA2F6E"/>
    <w:rsid w:val="00CA331B"/>
    <w:rsid w:val="00CA3AB2"/>
    <w:rsid w:val="00CA3F44"/>
    <w:rsid w:val="00CA4151"/>
    <w:rsid w:val="00CA590C"/>
    <w:rsid w:val="00CA65A9"/>
    <w:rsid w:val="00CA7C68"/>
    <w:rsid w:val="00CB008A"/>
    <w:rsid w:val="00CB0414"/>
    <w:rsid w:val="00CB1249"/>
    <w:rsid w:val="00CB1B09"/>
    <w:rsid w:val="00CB1DAA"/>
    <w:rsid w:val="00CB2496"/>
    <w:rsid w:val="00CB2CC3"/>
    <w:rsid w:val="00CB32EB"/>
    <w:rsid w:val="00CB3318"/>
    <w:rsid w:val="00CB35C7"/>
    <w:rsid w:val="00CB3A6A"/>
    <w:rsid w:val="00CB4500"/>
    <w:rsid w:val="00CB4EA0"/>
    <w:rsid w:val="00CB4F09"/>
    <w:rsid w:val="00CB58FF"/>
    <w:rsid w:val="00CB59E0"/>
    <w:rsid w:val="00CB61F5"/>
    <w:rsid w:val="00CB710A"/>
    <w:rsid w:val="00CB76D1"/>
    <w:rsid w:val="00CB795C"/>
    <w:rsid w:val="00CB7EBF"/>
    <w:rsid w:val="00CC0886"/>
    <w:rsid w:val="00CC0A90"/>
    <w:rsid w:val="00CC0C1B"/>
    <w:rsid w:val="00CC19E6"/>
    <w:rsid w:val="00CC2517"/>
    <w:rsid w:val="00CC2605"/>
    <w:rsid w:val="00CC27D1"/>
    <w:rsid w:val="00CC3442"/>
    <w:rsid w:val="00CC37B2"/>
    <w:rsid w:val="00CC3828"/>
    <w:rsid w:val="00CC4970"/>
    <w:rsid w:val="00CC56F5"/>
    <w:rsid w:val="00CC5EAF"/>
    <w:rsid w:val="00CC6763"/>
    <w:rsid w:val="00CD0029"/>
    <w:rsid w:val="00CD0A86"/>
    <w:rsid w:val="00CD114B"/>
    <w:rsid w:val="00CD1CD1"/>
    <w:rsid w:val="00CD2852"/>
    <w:rsid w:val="00CD34E9"/>
    <w:rsid w:val="00CD3684"/>
    <w:rsid w:val="00CD40B5"/>
    <w:rsid w:val="00CD6C8C"/>
    <w:rsid w:val="00CE0C3C"/>
    <w:rsid w:val="00CE0E19"/>
    <w:rsid w:val="00CE0E52"/>
    <w:rsid w:val="00CE12DD"/>
    <w:rsid w:val="00CE16EE"/>
    <w:rsid w:val="00CE274B"/>
    <w:rsid w:val="00CE2954"/>
    <w:rsid w:val="00CE39A0"/>
    <w:rsid w:val="00CE400E"/>
    <w:rsid w:val="00CE474F"/>
    <w:rsid w:val="00CE4A91"/>
    <w:rsid w:val="00CE4EC3"/>
    <w:rsid w:val="00CE532A"/>
    <w:rsid w:val="00CE5872"/>
    <w:rsid w:val="00CE673B"/>
    <w:rsid w:val="00CE7FEB"/>
    <w:rsid w:val="00CF0B05"/>
    <w:rsid w:val="00CF0B0F"/>
    <w:rsid w:val="00CF1113"/>
    <w:rsid w:val="00CF13B1"/>
    <w:rsid w:val="00CF1716"/>
    <w:rsid w:val="00CF2257"/>
    <w:rsid w:val="00CF237D"/>
    <w:rsid w:val="00CF2D47"/>
    <w:rsid w:val="00CF2E63"/>
    <w:rsid w:val="00CF2E76"/>
    <w:rsid w:val="00CF3293"/>
    <w:rsid w:val="00CF3BF7"/>
    <w:rsid w:val="00CF3D51"/>
    <w:rsid w:val="00CF4D6A"/>
    <w:rsid w:val="00CF5072"/>
    <w:rsid w:val="00CF5768"/>
    <w:rsid w:val="00CF59AC"/>
    <w:rsid w:val="00CF68DC"/>
    <w:rsid w:val="00CF69CF"/>
    <w:rsid w:val="00CF6EE3"/>
    <w:rsid w:val="00D0174C"/>
    <w:rsid w:val="00D0230F"/>
    <w:rsid w:val="00D023E0"/>
    <w:rsid w:val="00D02C10"/>
    <w:rsid w:val="00D02F08"/>
    <w:rsid w:val="00D03381"/>
    <w:rsid w:val="00D036E6"/>
    <w:rsid w:val="00D03863"/>
    <w:rsid w:val="00D04FCB"/>
    <w:rsid w:val="00D0545A"/>
    <w:rsid w:val="00D06E10"/>
    <w:rsid w:val="00D07D9B"/>
    <w:rsid w:val="00D10842"/>
    <w:rsid w:val="00D10ABE"/>
    <w:rsid w:val="00D12A5F"/>
    <w:rsid w:val="00D14871"/>
    <w:rsid w:val="00D149E8"/>
    <w:rsid w:val="00D152DC"/>
    <w:rsid w:val="00D153FD"/>
    <w:rsid w:val="00D1571B"/>
    <w:rsid w:val="00D15965"/>
    <w:rsid w:val="00D15CD5"/>
    <w:rsid w:val="00D162A4"/>
    <w:rsid w:val="00D172C5"/>
    <w:rsid w:val="00D17815"/>
    <w:rsid w:val="00D1786D"/>
    <w:rsid w:val="00D200E6"/>
    <w:rsid w:val="00D20BBC"/>
    <w:rsid w:val="00D214AB"/>
    <w:rsid w:val="00D21B10"/>
    <w:rsid w:val="00D22238"/>
    <w:rsid w:val="00D22310"/>
    <w:rsid w:val="00D225AE"/>
    <w:rsid w:val="00D22DD3"/>
    <w:rsid w:val="00D2459A"/>
    <w:rsid w:val="00D25522"/>
    <w:rsid w:val="00D258C9"/>
    <w:rsid w:val="00D25D1C"/>
    <w:rsid w:val="00D25F8E"/>
    <w:rsid w:val="00D2604E"/>
    <w:rsid w:val="00D268DD"/>
    <w:rsid w:val="00D2725C"/>
    <w:rsid w:val="00D27489"/>
    <w:rsid w:val="00D27799"/>
    <w:rsid w:val="00D27FD2"/>
    <w:rsid w:val="00D3066C"/>
    <w:rsid w:val="00D3149C"/>
    <w:rsid w:val="00D318EC"/>
    <w:rsid w:val="00D3190C"/>
    <w:rsid w:val="00D32127"/>
    <w:rsid w:val="00D33079"/>
    <w:rsid w:val="00D33AEC"/>
    <w:rsid w:val="00D34CF7"/>
    <w:rsid w:val="00D34F4C"/>
    <w:rsid w:val="00D355AF"/>
    <w:rsid w:val="00D3580F"/>
    <w:rsid w:val="00D35F71"/>
    <w:rsid w:val="00D36F4F"/>
    <w:rsid w:val="00D374F1"/>
    <w:rsid w:val="00D37612"/>
    <w:rsid w:val="00D37EBE"/>
    <w:rsid w:val="00D37F98"/>
    <w:rsid w:val="00D416AB"/>
    <w:rsid w:val="00D4176D"/>
    <w:rsid w:val="00D427AC"/>
    <w:rsid w:val="00D42F43"/>
    <w:rsid w:val="00D43792"/>
    <w:rsid w:val="00D43BCB"/>
    <w:rsid w:val="00D44396"/>
    <w:rsid w:val="00D45552"/>
    <w:rsid w:val="00D45BA9"/>
    <w:rsid w:val="00D4654F"/>
    <w:rsid w:val="00D47D09"/>
    <w:rsid w:val="00D47DA1"/>
    <w:rsid w:val="00D5066B"/>
    <w:rsid w:val="00D50E9C"/>
    <w:rsid w:val="00D50F70"/>
    <w:rsid w:val="00D511FE"/>
    <w:rsid w:val="00D51260"/>
    <w:rsid w:val="00D51584"/>
    <w:rsid w:val="00D51D0C"/>
    <w:rsid w:val="00D527CE"/>
    <w:rsid w:val="00D531BE"/>
    <w:rsid w:val="00D53F84"/>
    <w:rsid w:val="00D5420E"/>
    <w:rsid w:val="00D545BE"/>
    <w:rsid w:val="00D55277"/>
    <w:rsid w:val="00D55520"/>
    <w:rsid w:val="00D5564B"/>
    <w:rsid w:val="00D55907"/>
    <w:rsid w:val="00D55EC6"/>
    <w:rsid w:val="00D57700"/>
    <w:rsid w:val="00D60B6F"/>
    <w:rsid w:val="00D60D7C"/>
    <w:rsid w:val="00D61197"/>
    <w:rsid w:val="00D61A4D"/>
    <w:rsid w:val="00D61E7B"/>
    <w:rsid w:val="00D62452"/>
    <w:rsid w:val="00D63653"/>
    <w:rsid w:val="00D63C25"/>
    <w:rsid w:val="00D64014"/>
    <w:rsid w:val="00D6433A"/>
    <w:rsid w:val="00D64B45"/>
    <w:rsid w:val="00D64E8A"/>
    <w:rsid w:val="00D654FE"/>
    <w:rsid w:val="00D657A0"/>
    <w:rsid w:val="00D70027"/>
    <w:rsid w:val="00D704D2"/>
    <w:rsid w:val="00D70A7F"/>
    <w:rsid w:val="00D70E3E"/>
    <w:rsid w:val="00D71D57"/>
    <w:rsid w:val="00D720C9"/>
    <w:rsid w:val="00D7226C"/>
    <w:rsid w:val="00D7292C"/>
    <w:rsid w:val="00D72E18"/>
    <w:rsid w:val="00D7376E"/>
    <w:rsid w:val="00D73AFC"/>
    <w:rsid w:val="00D73BD8"/>
    <w:rsid w:val="00D73F20"/>
    <w:rsid w:val="00D747A8"/>
    <w:rsid w:val="00D764A1"/>
    <w:rsid w:val="00D769E5"/>
    <w:rsid w:val="00D76B96"/>
    <w:rsid w:val="00D80BED"/>
    <w:rsid w:val="00D80D01"/>
    <w:rsid w:val="00D80DDB"/>
    <w:rsid w:val="00D80FB9"/>
    <w:rsid w:val="00D811BD"/>
    <w:rsid w:val="00D81275"/>
    <w:rsid w:val="00D81659"/>
    <w:rsid w:val="00D818C3"/>
    <w:rsid w:val="00D81B40"/>
    <w:rsid w:val="00D81BD9"/>
    <w:rsid w:val="00D81C3D"/>
    <w:rsid w:val="00D82BD4"/>
    <w:rsid w:val="00D83C5B"/>
    <w:rsid w:val="00D83E6E"/>
    <w:rsid w:val="00D84B11"/>
    <w:rsid w:val="00D85DE8"/>
    <w:rsid w:val="00D866D9"/>
    <w:rsid w:val="00D86F02"/>
    <w:rsid w:val="00D8720A"/>
    <w:rsid w:val="00D8778B"/>
    <w:rsid w:val="00D87B1B"/>
    <w:rsid w:val="00D87D50"/>
    <w:rsid w:val="00D90C5E"/>
    <w:rsid w:val="00D91A35"/>
    <w:rsid w:val="00D92AE4"/>
    <w:rsid w:val="00D92FB2"/>
    <w:rsid w:val="00D93260"/>
    <w:rsid w:val="00D93F61"/>
    <w:rsid w:val="00D94EE6"/>
    <w:rsid w:val="00D970D1"/>
    <w:rsid w:val="00D97C16"/>
    <w:rsid w:val="00DA02F5"/>
    <w:rsid w:val="00DA0C56"/>
    <w:rsid w:val="00DA0DB6"/>
    <w:rsid w:val="00DA0DFE"/>
    <w:rsid w:val="00DA0ED0"/>
    <w:rsid w:val="00DA1887"/>
    <w:rsid w:val="00DA2CFB"/>
    <w:rsid w:val="00DA3043"/>
    <w:rsid w:val="00DA3A96"/>
    <w:rsid w:val="00DA3B8E"/>
    <w:rsid w:val="00DA4757"/>
    <w:rsid w:val="00DA4C1D"/>
    <w:rsid w:val="00DA57E4"/>
    <w:rsid w:val="00DA5A09"/>
    <w:rsid w:val="00DA5F81"/>
    <w:rsid w:val="00DA684E"/>
    <w:rsid w:val="00DB0118"/>
    <w:rsid w:val="00DB05D0"/>
    <w:rsid w:val="00DB0BF5"/>
    <w:rsid w:val="00DB0D6D"/>
    <w:rsid w:val="00DB10F6"/>
    <w:rsid w:val="00DB17AB"/>
    <w:rsid w:val="00DB2410"/>
    <w:rsid w:val="00DB24EE"/>
    <w:rsid w:val="00DB2962"/>
    <w:rsid w:val="00DB2EB9"/>
    <w:rsid w:val="00DB3280"/>
    <w:rsid w:val="00DB3845"/>
    <w:rsid w:val="00DB3CA8"/>
    <w:rsid w:val="00DB3E43"/>
    <w:rsid w:val="00DB4196"/>
    <w:rsid w:val="00DB5F24"/>
    <w:rsid w:val="00DB6A8D"/>
    <w:rsid w:val="00DB71E8"/>
    <w:rsid w:val="00DB75F1"/>
    <w:rsid w:val="00DC0058"/>
    <w:rsid w:val="00DC06B9"/>
    <w:rsid w:val="00DC084F"/>
    <w:rsid w:val="00DC0B33"/>
    <w:rsid w:val="00DC14AB"/>
    <w:rsid w:val="00DC371E"/>
    <w:rsid w:val="00DC38F0"/>
    <w:rsid w:val="00DC5491"/>
    <w:rsid w:val="00DC6115"/>
    <w:rsid w:val="00DC6BAE"/>
    <w:rsid w:val="00DD0140"/>
    <w:rsid w:val="00DD028F"/>
    <w:rsid w:val="00DD0578"/>
    <w:rsid w:val="00DD0BF7"/>
    <w:rsid w:val="00DD1CFC"/>
    <w:rsid w:val="00DD1E3D"/>
    <w:rsid w:val="00DD2738"/>
    <w:rsid w:val="00DD343D"/>
    <w:rsid w:val="00DD5768"/>
    <w:rsid w:val="00DD57C7"/>
    <w:rsid w:val="00DD5C0D"/>
    <w:rsid w:val="00DD5F6C"/>
    <w:rsid w:val="00DD60F0"/>
    <w:rsid w:val="00DD6243"/>
    <w:rsid w:val="00DD6982"/>
    <w:rsid w:val="00DD6D96"/>
    <w:rsid w:val="00DD6DB5"/>
    <w:rsid w:val="00DE003C"/>
    <w:rsid w:val="00DE072D"/>
    <w:rsid w:val="00DE2922"/>
    <w:rsid w:val="00DE29F6"/>
    <w:rsid w:val="00DE3096"/>
    <w:rsid w:val="00DE345D"/>
    <w:rsid w:val="00DE3C28"/>
    <w:rsid w:val="00DE44BC"/>
    <w:rsid w:val="00DE45F0"/>
    <w:rsid w:val="00DE4DAF"/>
    <w:rsid w:val="00DE5790"/>
    <w:rsid w:val="00DE5D1A"/>
    <w:rsid w:val="00DE5EFA"/>
    <w:rsid w:val="00DE665D"/>
    <w:rsid w:val="00DE6B91"/>
    <w:rsid w:val="00DE6C44"/>
    <w:rsid w:val="00DE7BF6"/>
    <w:rsid w:val="00DF0AB4"/>
    <w:rsid w:val="00DF0B84"/>
    <w:rsid w:val="00DF0DD4"/>
    <w:rsid w:val="00DF18F9"/>
    <w:rsid w:val="00DF1D73"/>
    <w:rsid w:val="00DF1F07"/>
    <w:rsid w:val="00DF2200"/>
    <w:rsid w:val="00DF3AE4"/>
    <w:rsid w:val="00DF3EE4"/>
    <w:rsid w:val="00DF4519"/>
    <w:rsid w:val="00DF53CF"/>
    <w:rsid w:val="00DF5A1F"/>
    <w:rsid w:val="00DF5BF8"/>
    <w:rsid w:val="00DF69CC"/>
    <w:rsid w:val="00DF72B3"/>
    <w:rsid w:val="00DF7D46"/>
    <w:rsid w:val="00DF7DC0"/>
    <w:rsid w:val="00E00D66"/>
    <w:rsid w:val="00E01151"/>
    <w:rsid w:val="00E01764"/>
    <w:rsid w:val="00E020AC"/>
    <w:rsid w:val="00E02847"/>
    <w:rsid w:val="00E02BFD"/>
    <w:rsid w:val="00E03330"/>
    <w:rsid w:val="00E03854"/>
    <w:rsid w:val="00E03D73"/>
    <w:rsid w:val="00E04C2F"/>
    <w:rsid w:val="00E05B9B"/>
    <w:rsid w:val="00E066A2"/>
    <w:rsid w:val="00E06902"/>
    <w:rsid w:val="00E07BBF"/>
    <w:rsid w:val="00E10DD0"/>
    <w:rsid w:val="00E11F7C"/>
    <w:rsid w:val="00E120EF"/>
    <w:rsid w:val="00E12378"/>
    <w:rsid w:val="00E1280A"/>
    <w:rsid w:val="00E12BE9"/>
    <w:rsid w:val="00E12EA2"/>
    <w:rsid w:val="00E1306C"/>
    <w:rsid w:val="00E13C52"/>
    <w:rsid w:val="00E14125"/>
    <w:rsid w:val="00E151A0"/>
    <w:rsid w:val="00E158EB"/>
    <w:rsid w:val="00E15EC4"/>
    <w:rsid w:val="00E16F73"/>
    <w:rsid w:val="00E1733D"/>
    <w:rsid w:val="00E1744F"/>
    <w:rsid w:val="00E2028C"/>
    <w:rsid w:val="00E207E5"/>
    <w:rsid w:val="00E210B4"/>
    <w:rsid w:val="00E212F5"/>
    <w:rsid w:val="00E21F4E"/>
    <w:rsid w:val="00E21F8E"/>
    <w:rsid w:val="00E232D9"/>
    <w:rsid w:val="00E23A4A"/>
    <w:rsid w:val="00E246A1"/>
    <w:rsid w:val="00E2477E"/>
    <w:rsid w:val="00E24F5A"/>
    <w:rsid w:val="00E2537E"/>
    <w:rsid w:val="00E255FE"/>
    <w:rsid w:val="00E26D05"/>
    <w:rsid w:val="00E26ECF"/>
    <w:rsid w:val="00E26F49"/>
    <w:rsid w:val="00E274A4"/>
    <w:rsid w:val="00E275C3"/>
    <w:rsid w:val="00E2768D"/>
    <w:rsid w:val="00E27C9C"/>
    <w:rsid w:val="00E304CB"/>
    <w:rsid w:val="00E30C05"/>
    <w:rsid w:val="00E30E76"/>
    <w:rsid w:val="00E31130"/>
    <w:rsid w:val="00E312E2"/>
    <w:rsid w:val="00E31491"/>
    <w:rsid w:val="00E31933"/>
    <w:rsid w:val="00E31CC7"/>
    <w:rsid w:val="00E320AD"/>
    <w:rsid w:val="00E326AD"/>
    <w:rsid w:val="00E339E5"/>
    <w:rsid w:val="00E34455"/>
    <w:rsid w:val="00E345E5"/>
    <w:rsid w:val="00E34816"/>
    <w:rsid w:val="00E35AA2"/>
    <w:rsid w:val="00E367AF"/>
    <w:rsid w:val="00E36E86"/>
    <w:rsid w:val="00E37E8B"/>
    <w:rsid w:val="00E40208"/>
    <w:rsid w:val="00E40C7D"/>
    <w:rsid w:val="00E41516"/>
    <w:rsid w:val="00E416D6"/>
    <w:rsid w:val="00E43489"/>
    <w:rsid w:val="00E446EA"/>
    <w:rsid w:val="00E4485A"/>
    <w:rsid w:val="00E44A8F"/>
    <w:rsid w:val="00E452E4"/>
    <w:rsid w:val="00E45313"/>
    <w:rsid w:val="00E458BA"/>
    <w:rsid w:val="00E462DE"/>
    <w:rsid w:val="00E47028"/>
    <w:rsid w:val="00E471C3"/>
    <w:rsid w:val="00E47323"/>
    <w:rsid w:val="00E50420"/>
    <w:rsid w:val="00E51769"/>
    <w:rsid w:val="00E522FB"/>
    <w:rsid w:val="00E5237C"/>
    <w:rsid w:val="00E5285E"/>
    <w:rsid w:val="00E52A3F"/>
    <w:rsid w:val="00E52B42"/>
    <w:rsid w:val="00E52EE5"/>
    <w:rsid w:val="00E52FA2"/>
    <w:rsid w:val="00E535D1"/>
    <w:rsid w:val="00E53AEF"/>
    <w:rsid w:val="00E53E9F"/>
    <w:rsid w:val="00E551A9"/>
    <w:rsid w:val="00E5530B"/>
    <w:rsid w:val="00E555F7"/>
    <w:rsid w:val="00E558E7"/>
    <w:rsid w:val="00E55A94"/>
    <w:rsid w:val="00E560CF"/>
    <w:rsid w:val="00E56AFC"/>
    <w:rsid w:val="00E570D9"/>
    <w:rsid w:val="00E570E7"/>
    <w:rsid w:val="00E57527"/>
    <w:rsid w:val="00E57555"/>
    <w:rsid w:val="00E57DCB"/>
    <w:rsid w:val="00E60019"/>
    <w:rsid w:val="00E60C0B"/>
    <w:rsid w:val="00E613A7"/>
    <w:rsid w:val="00E63154"/>
    <w:rsid w:val="00E634E5"/>
    <w:rsid w:val="00E635F7"/>
    <w:rsid w:val="00E655C5"/>
    <w:rsid w:val="00E65C2C"/>
    <w:rsid w:val="00E65E19"/>
    <w:rsid w:val="00E65FEA"/>
    <w:rsid w:val="00E66AA8"/>
    <w:rsid w:val="00E673D5"/>
    <w:rsid w:val="00E6789B"/>
    <w:rsid w:val="00E67A9D"/>
    <w:rsid w:val="00E67F3F"/>
    <w:rsid w:val="00E706FC"/>
    <w:rsid w:val="00E707FB"/>
    <w:rsid w:val="00E71A76"/>
    <w:rsid w:val="00E71CDF"/>
    <w:rsid w:val="00E71FA0"/>
    <w:rsid w:val="00E72433"/>
    <w:rsid w:val="00E73544"/>
    <w:rsid w:val="00E735CE"/>
    <w:rsid w:val="00E74E40"/>
    <w:rsid w:val="00E757C4"/>
    <w:rsid w:val="00E75EEF"/>
    <w:rsid w:val="00E760F6"/>
    <w:rsid w:val="00E7674B"/>
    <w:rsid w:val="00E76B62"/>
    <w:rsid w:val="00E76FB2"/>
    <w:rsid w:val="00E77413"/>
    <w:rsid w:val="00E775BD"/>
    <w:rsid w:val="00E778AC"/>
    <w:rsid w:val="00E778ED"/>
    <w:rsid w:val="00E77A6A"/>
    <w:rsid w:val="00E8148D"/>
    <w:rsid w:val="00E836E9"/>
    <w:rsid w:val="00E83A83"/>
    <w:rsid w:val="00E83C80"/>
    <w:rsid w:val="00E84151"/>
    <w:rsid w:val="00E84167"/>
    <w:rsid w:val="00E8422F"/>
    <w:rsid w:val="00E8452F"/>
    <w:rsid w:val="00E84FD6"/>
    <w:rsid w:val="00E85FA4"/>
    <w:rsid w:val="00E85FF1"/>
    <w:rsid w:val="00E866A8"/>
    <w:rsid w:val="00E86C3F"/>
    <w:rsid w:val="00E87929"/>
    <w:rsid w:val="00E87DDE"/>
    <w:rsid w:val="00E913D5"/>
    <w:rsid w:val="00E91545"/>
    <w:rsid w:val="00E91547"/>
    <w:rsid w:val="00E91765"/>
    <w:rsid w:val="00E92678"/>
    <w:rsid w:val="00E9317A"/>
    <w:rsid w:val="00E93F80"/>
    <w:rsid w:val="00E95451"/>
    <w:rsid w:val="00E95C2F"/>
    <w:rsid w:val="00E95F1A"/>
    <w:rsid w:val="00E969C4"/>
    <w:rsid w:val="00E96FE8"/>
    <w:rsid w:val="00E9744E"/>
    <w:rsid w:val="00E9774E"/>
    <w:rsid w:val="00E97B59"/>
    <w:rsid w:val="00EA0B89"/>
    <w:rsid w:val="00EA0CAB"/>
    <w:rsid w:val="00EA0D3A"/>
    <w:rsid w:val="00EA0D3C"/>
    <w:rsid w:val="00EA122E"/>
    <w:rsid w:val="00EA1772"/>
    <w:rsid w:val="00EA1FB7"/>
    <w:rsid w:val="00EA2529"/>
    <w:rsid w:val="00EA2B1F"/>
    <w:rsid w:val="00EA30BC"/>
    <w:rsid w:val="00EA39BA"/>
    <w:rsid w:val="00EA3C01"/>
    <w:rsid w:val="00EA3D06"/>
    <w:rsid w:val="00EA40C8"/>
    <w:rsid w:val="00EA42FC"/>
    <w:rsid w:val="00EA434F"/>
    <w:rsid w:val="00EA4D29"/>
    <w:rsid w:val="00EA4DA0"/>
    <w:rsid w:val="00EA5768"/>
    <w:rsid w:val="00EA59F1"/>
    <w:rsid w:val="00EA7061"/>
    <w:rsid w:val="00EA799B"/>
    <w:rsid w:val="00EB0927"/>
    <w:rsid w:val="00EB0F36"/>
    <w:rsid w:val="00EB15E1"/>
    <w:rsid w:val="00EB1C0D"/>
    <w:rsid w:val="00EB1FBA"/>
    <w:rsid w:val="00EB2240"/>
    <w:rsid w:val="00EB26D5"/>
    <w:rsid w:val="00EB272E"/>
    <w:rsid w:val="00EB2955"/>
    <w:rsid w:val="00EB2B6A"/>
    <w:rsid w:val="00EB38B5"/>
    <w:rsid w:val="00EB3A05"/>
    <w:rsid w:val="00EB465D"/>
    <w:rsid w:val="00EB48FB"/>
    <w:rsid w:val="00EB50E2"/>
    <w:rsid w:val="00EB546A"/>
    <w:rsid w:val="00EB54A0"/>
    <w:rsid w:val="00EB6273"/>
    <w:rsid w:val="00EB697E"/>
    <w:rsid w:val="00EB6FE8"/>
    <w:rsid w:val="00EB7264"/>
    <w:rsid w:val="00EB755F"/>
    <w:rsid w:val="00EC12E1"/>
    <w:rsid w:val="00EC204D"/>
    <w:rsid w:val="00EC248D"/>
    <w:rsid w:val="00EC26E5"/>
    <w:rsid w:val="00EC3D13"/>
    <w:rsid w:val="00EC4195"/>
    <w:rsid w:val="00EC4730"/>
    <w:rsid w:val="00EC4A6C"/>
    <w:rsid w:val="00EC521D"/>
    <w:rsid w:val="00EC56B0"/>
    <w:rsid w:val="00EC57AA"/>
    <w:rsid w:val="00EC5F99"/>
    <w:rsid w:val="00EC602A"/>
    <w:rsid w:val="00EC6322"/>
    <w:rsid w:val="00EC6B9B"/>
    <w:rsid w:val="00EC6F5D"/>
    <w:rsid w:val="00EC7242"/>
    <w:rsid w:val="00EC7FB6"/>
    <w:rsid w:val="00ED0CC2"/>
    <w:rsid w:val="00ED0D6D"/>
    <w:rsid w:val="00ED0F23"/>
    <w:rsid w:val="00ED1385"/>
    <w:rsid w:val="00ED183E"/>
    <w:rsid w:val="00ED1C11"/>
    <w:rsid w:val="00ED1D50"/>
    <w:rsid w:val="00ED322B"/>
    <w:rsid w:val="00ED323F"/>
    <w:rsid w:val="00ED3382"/>
    <w:rsid w:val="00ED397C"/>
    <w:rsid w:val="00ED3E87"/>
    <w:rsid w:val="00ED4906"/>
    <w:rsid w:val="00ED4DDE"/>
    <w:rsid w:val="00ED5035"/>
    <w:rsid w:val="00ED52B8"/>
    <w:rsid w:val="00ED586F"/>
    <w:rsid w:val="00ED5B05"/>
    <w:rsid w:val="00ED60BC"/>
    <w:rsid w:val="00ED69CE"/>
    <w:rsid w:val="00ED727D"/>
    <w:rsid w:val="00ED7AD6"/>
    <w:rsid w:val="00EE04B2"/>
    <w:rsid w:val="00EE08AE"/>
    <w:rsid w:val="00EE0D19"/>
    <w:rsid w:val="00EE0DC5"/>
    <w:rsid w:val="00EE1BB7"/>
    <w:rsid w:val="00EE2608"/>
    <w:rsid w:val="00EE28B7"/>
    <w:rsid w:val="00EE5675"/>
    <w:rsid w:val="00EE6142"/>
    <w:rsid w:val="00EE625E"/>
    <w:rsid w:val="00EE6E62"/>
    <w:rsid w:val="00EE7E65"/>
    <w:rsid w:val="00EF0476"/>
    <w:rsid w:val="00EF0700"/>
    <w:rsid w:val="00EF0CF8"/>
    <w:rsid w:val="00EF0E00"/>
    <w:rsid w:val="00EF149A"/>
    <w:rsid w:val="00EF1AF0"/>
    <w:rsid w:val="00EF3281"/>
    <w:rsid w:val="00EF5AF7"/>
    <w:rsid w:val="00EF657C"/>
    <w:rsid w:val="00EF6BDE"/>
    <w:rsid w:val="00EF7018"/>
    <w:rsid w:val="00EF79A3"/>
    <w:rsid w:val="00EF7DD2"/>
    <w:rsid w:val="00F00B6C"/>
    <w:rsid w:val="00F00F48"/>
    <w:rsid w:val="00F0118B"/>
    <w:rsid w:val="00F02116"/>
    <w:rsid w:val="00F03CEF"/>
    <w:rsid w:val="00F044B3"/>
    <w:rsid w:val="00F045A3"/>
    <w:rsid w:val="00F04865"/>
    <w:rsid w:val="00F050F4"/>
    <w:rsid w:val="00F06B17"/>
    <w:rsid w:val="00F071EC"/>
    <w:rsid w:val="00F079D8"/>
    <w:rsid w:val="00F07D3F"/>
    <w:rsid w:val="00F07E46"/>
    <w:rsid w:val="00F07EB5"/>
    <w:rsid w:val="00F103E7"/>
    <w:rsid w:val="00F107BC"/>
    <w:rsid w:val="00F1096A"/>
    <w:rsid w:val="00F1111C"/>
    <w:rsid w:val="00F11344"/>
    <w:rsid w:val="00F1179E"/>
    <w:rsid w:val="00F12575"/>
    <w:rsid w:val="00F1297D"/>
    <w:rsid w:val="00F12E1B"/>
    <w:rsid w:val="00F13057"/>
    <w:rsid w:val="00F14661"/>
    <w:rsid w:val="00F14735"/>
    <w:rsid w:val="00F151CE"/>
    <w:rsid w:val="00F15F2E"/>
    <w:rsid w:val="00F1606E"/>
    <w:rsid w:val="00F165C5"/>
    <w:rsid w:val="00F16946"/>
    <w:rsid w:val="00F16A4B"/>
    <w:rsid w:val="00F16BC3"/>
    <w:rsid w:val="00F17F98"/>
    <w:rsid w:val="00F20B29"/>
    <w:rsid w:val="00F210C3"/>
    <w:rsid w:val="00F212BB"/>
    <w:rsid w:val="00F223A6"/>
    <w:rsid w:val="00F22A79"/>
    <w:rsid w:val="00F23093"/>
    <w:rsid w:val="00F235AD"/>
    <w:rsid w:val="00F24022"/>
    <w:rsid w:val="00F24577"/>
    <w:rsid w:val="00F24D6B"/>
    <w:rsid w:val="00F2522E"/>
    <w:rsid w:val="00F25D3B"/>
    <w:rsid w:val="00F26FB8"/>
    <w:rsid w:val="00F2702B"/>
    <w:rsid w:val="00F27085"/>
    <w:rsid w:val="00F3086C"/>
    <w:rsid w:val="00F30903"/>
    <w:rsid w:val="00F317C5"/>
    <w:rsid w:val="00F31E4D"/>
    <w:rsid w:val="00F32055"/>
    <w:rsid w:val="00F3255F"/>
    <w:rsid w:val="00F33444"/>
    <w:rsid w:val="00F33AD3"/>
    <w:rsid w:val="00F34116"/>
    <w:rsid w:val="00F34219"/>
    <w:rsid w:val="00F3558E"/>
    <w:rsid w:val="00F3592F"/>
    <w:rsid w:val="00F36BCD"/>
    <w:rsid w:val="00F37544"/>
    <w:rsid w:val="00F402B6"/>
    <w:rsid w:val="00F40350"/>
    <w:rsid w:val="00F408A0"/>
    <w:rsid w:val="00F40FA6"/>
    <w:rsid w:val="00F411A5"/>
    <w:rsid w:val="00F411AF"/>
    <w:rsid w:val="00F42413"/>
    <w:rsid w:val="00F42D9F"/>
    <w:rsid w:val="00F430D2"/>
    <w:rsid w:val="00F43145"/>
    <w:rsid w:val="00F43D01"/>
    <w:rsid w:val="00F44619"/>
    <w:rsid w:val="00F44A2C"/>
    <w:rsid w:val="00F44E52"/>
    <w:rsid w:val="00F44E7F"/>
    <w:rsid w:val="00F45F02"/>
    <w:rsid w:val="00F46186"/>
    <w:rsid w:val="00F46363"/>
    <w:rsid w:val="00F51AC0"/>
    <w:rsid w:val="00F5206D"/>
    <w:rsid w:val="00F525EF"/>
    <w:rsid w:val="00F5266D"/>
    <w:rsid w:val="00F53306"/>
    <w:rsid w:val="00F53E2D"/>
    <w:rsid w:val="00F540E4"/>
    <w:rsid w:val="00F54319"/>
    <w:rsid w:val="00F54586"/>
    <w:rsid w:val="00F54E41"/>
    <w:rsid w:val="00F54FD7"/>
    <w:rsid w:val="00F5555F"/>
    <w:rsid w:val="00F55992"/>
    <w:rsid w:val="00F55FF6"/>
    <w:rsid w:val="00F5609E"/>
    <w:rsid w:val="00F562DB"/>
    <w:rsid w:val="00F56795"/>
    <w:rsid w:val="00F5737D"/>
    <w:rsid w:val="00F57859"/>
    <w:rsid w:val="00F60A60"/>
    <w:rsid w:val="00F60F83"/>
    <w:rsid w:val="00F61B7B"/>
    <w:rsid w:val="00F638A3"/>
    <w:rsid w:val="00F63A6C"/>
    <w:rsid w:val="00F63C90"/>
    <w:rsid w:val="00F64A3C"/>
    <w:rsid w:val="00F64EAC"/>
    <w:rsid w:val="00F652BE"/>
    <w:rsid w:val="00F66E89"/>
    <w:rsid w:val="00F67678"/>
    <w:rsid w:val="00F67C34"/>
    <w:rsid w:val="00F67E6A"/>
    <w:rsid w:val="00F708DC"/>
    <w:rsid w:val="00F70DFC"/>
    <w:rsid w:val="00F7122C"/>
    <w:rsid w:val="00F71405"/>
    <w:rsid w:val="00F71712"/>
    <w:rsid w:val="00F71C9F"/>
    <w:rsid w:val="00F71E30"/>
    <w:rsid w:val="00F72078"/>
    <w:rsid w:val="00F72863"/>
    <w:rsid w:val="00F72B04"/>
    <w:rsid w:val="00F739EC"/>
    <w:rsid w:val="00F73ED4"/>
    <w:rsid w:val="00F7517A"/>
    <w:rsid w:val="00F76BFF"/>
    <w:rsid w:val="00F77289"/>
    <w:rsid w:val="00F779A3"/>
    <w:rsid w:val="00F80858"/>
    <w:rsid w:val="00F818FE"/>
    <w:rsid w:val="00F81D0B"/>
    <w:rsid w:val="00F8387A"/>
    <w:rsid w:val="00F83FA6"/>
    <w:rsid w:val="00F843E1"/>
    <w:rsid w:val="00F84692"/>
    <w:rsid w:val="00F84B4E"/>
    <w:rsid w:val="00F857BC"/>
    <w:rsid w:val="00F85AF6"/>
    <w:rsid w:val="00F86360"/>
    <w:rsid w:val="00F872AD"/>
    <w:rsid w:val="00F87CAE"/>
    <w:rsid w:val="00F908FD"/>
    <w:rsid w:val="00F91322"/>
    <w:rsid w:val="00F913A9"/>
    <w:rsid w:val="00F91E34"/>
    <w:rsid w:val="00F93F4A"/>
    <w:rsid w:val="00F9533A"/>
    <w:rsid w:val="00F96185"/>
    <w:rsid w:val="00F96820"/>
    <w:rsid w:val="00F96BAD"/>
    <w:rsid w:val="00F9784A"/>
    <w:rsid w:val="00F97A34"/>
    <w:rsid w:val="00F97F7A"/>
    <w:rsid w:val="00FA1BB5"/>
    <w:rsid w:val="00FA238B"/>
    <w:rsid w:val="00FA2EEF"/>
    <w:rsid w:val="00FA33CB"/>
    <w:rsid w:val="00FA3415"/>
    <w:rsid w:val="00FA37C6"/>
    <w:rsid w:val="00FA478F"/>
    <w:rsid w:val="00FA4B8B"/>
    <w:rsid w:val="00FA6383"/>
    <w:rsid w:val="00FA708A"/>
    <w:rsid w:val="00FA723C"/>
    <w:rsid w:val="00FA7566"/>
    <w:rsid w:val="00FA78E8"/>
    <w:rsid w:val="00FB0316"/>
    <w:rsid w:val="00FB03E4"/>
    <w:rsid w:val="00FB07B3"/>
    <w:rsid w:val="00FB1D2A"/>
    <w:rsid w:val="00FB1F94"/>
    <w:rsid w:val="00FB204E"/>
    <w:rsid w:val="00FB2394"/>
    <w:rsid w:val="00FB2BE1"/>
    <w:rsid w:val="00FB34DB"/>
    <w:rsid w:val="00FB3B4A"/>
    <w:rsid w:val="00FB3F60"/>
    <w:rsid w:val="00FB4165"/>
    <w:rsid w:val="00FB4195"/>
    <w:rsid w:val="00FB55A8"/>
    <w:rsid w:val="00FB55E4"/>
    <w:rsid w:val="00FB55FD"/>
    <w:rsid w:val="00FB5FB7"/>
    <w:rsid w:val="00FB6C57"/>
    <w:rsid w:val="00FB6FEE"/>
    <w:rsid w:val="00FB74F7"/>
    <w:rsid w:val="00FB762D"/>
    <w:rsid w:val="00FB79CE"/>
    <w:rsid w:val="00FB7EEA"/>
    <w:rsid w:val="00FC02AC"/>
    <w:rsid w:val="00FC07ED"/>
    <w:rsid w:val="00FC0A2F"/>
    <w:rsid w:val="00FC0CBE"/>
    <w:rsid w:val="00FC2B5D"/>
    <w:rsid w:val="00FC308F"/>
    <w:rsid w:val="00FC3836"/>
    <w:rsid w:val="00FC3E90"/>
    <w:rsid w:val="00FC42C7"/>
    <w:rsid w:val="00FC43E3"/>
    <w:rsid w:val="00FC4944"/>
    <w:rsid w:val="00FC5271"/>
    <w:rsid w:val="00FC5390"/>
    <w:rsid w:val="00FC6705"/>
    <w:rsid w:val="00FC716A"/>
    <w:rsid w:val="00FC7793"/>
    <w:rsid w:val="00FD019E"/>
    <w:rsid w:val="00FD0226"/>
    <w:rsid w:val="00FD06A9"/>
    <w:rsid w:val="00FD0997"/>
    <w:rsid w:val="00FD169A"/>
    <w:rsid w:val="00FD2034"/>
    <w:rsid w:val="00FD30C2"/>
    <w:rsid w:val="00FD327C"/>
    <w:rsid w:val="00FD3495"/>
    <w:rsid w:val="00FD36AA"/>
    <w:rsid w:val="00FD3B2D"/>
    <w:rsid w:val="00FD3BD3"/>
    <w:rsid w:val="00FD5235"/>
    <w:rsid w:val="00FD62D3"/>
    <w:rsid w:val="00FD6353"/>
    <w:rsid w:val="00FD6A05"/>
    <w:rsid w:val="00FD6B1D"/>
    <w:rsid w:val="00FD73EC"/>
    <w:rsid w:val="00FD7829"/>
    <w:rsid w:val="00FD7F81"/>
    <w:rsid w:val="00FE081F"/>
    <w:rsid w:val="00FE0BF3"/>
    <w:rsid w:val="00FE0CE3"/>
    <w:rsid w:val="00FE17C7"/>
    <w:rsid w:val="00FE1A9F"/>
    <w:rsid w:val="00FE27C1"/>
    <w:rsid w:val="00FE2AC0"/>
    <w:rsid w:val="00FE3963"/>
    <w:rsid w:val="00FE3B37"/>
    <w:rsid w:val="00FE3C38"/>
    <w:rsid w:val="00FE458A"/>
    <w:rsid w:val="00FE4BA4"/>
    <w:rsid w:val="00FE4FBC"/>
    <w:rsid w:val="00FE58CD"/>
    <w:rsid w:val="00FE5C11"/>
    <w:rsid w:val="00FE6629"/>
    <w:rsid w:val="00FE6AA8"/>
    <w:rsid w:val="00FE6CB4"/>
    <w:rsid w:val="00FE6D51"/>
    <w:rsid w:val="00FE6DCE"/>
    <w:rsid w:val="00FE712B"/>
    <w:rsid w:val="00FF012F"/>
    <w:rsid w:val="00FF101C"/>
    <w:rsid w:val="00FF1534"/>
    <w:rsid w:val="00FF1FB5"/>
    <w:rsid w:val="00FF35A3"/>
    <w:rsid w:val="00FF3F59"/>
    <w:rsid w:val="00FF46E0"/>
    <w:rsid w:val="00FF75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88A4"/>
  <w15:docId w15:val="{D927273E-CEAF-4412-854E-B7409EA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8D352A"/>
    <w:pPr>
      <w:spacing w:after="0" w:line="240" w:lineRule="auto"/>
      <w:jc w:val="center"/>
    </w:pPr>
    <w:rPr>
      <w:rFonts w:ascii="Times New Roman" w:eastAsia="Times New Roman" w:hAnsi="Times New Roman" w:cs="Times New Roman"/>
      <w:b/>
      <w:bCs/>
      <w:sz w:val="24"/>
      <w:szCs w:val="24"/>
      <w:lang w:val="en-US"/>
    </w:rPr>
  </w:style>
  <w:style w:type="paragraph" w:customStyle="1" w:styleId="Normal1">
    <w:name w:val="Normal1"/>
    <w:basedOn w:val="Normal"/>
    <w:rsid w:val="000D7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Normal"/>
    <w:uiPriority w:val="99"/>
    <w:rsid w:val="00EC26E5"/>
    <w:pPr>
      <w:spacing w:after="0" w:line="240" w:lineRule="auto"/>
    </w:pPr>
    <w:rPr>
      <w:rFonts w:ascii="Times New Roman" w:eastAsia="Times New Roman" w:hAnsi="Times New Roman" w:cs="Times New Roman"/>
      <w:sz w:val="24"/>
      <w:szCs w:val="24"/>
      <w:lang w:eastAsia="ru-RU"/>
    </w:rPr>
  </w:style>
  <w:style w:type="character" w:customStyle="1" w:styleId="MeniuneNerezolvat1">
    <w:name w:val="Mențiune Nerezolvat1"/>
    <w:basedOn w:val="DefaultParagraphFont"/>
    <w:uiPriority w:val="99"/>
    <w:semiHidden/>
    <w:unhideWhenUsed/>
    <w:rsid w:val="00F34116"/>
    <w:rPr>
      <w:color w:val="605E5C"/>
      <w:shd w:val="clear" w:color="auto" w:fill="E1DFDD"/>
    </w:rPr>
  </w:style>
  <w:style w:type="character" w:customStyle="1" w:styleId="UnresolvedMention1">
    <w:name w:val="Unresolved Mention1"/>
    <w:basedOn w:val="DefaultParagraphFont"/>
    <w:uiPriority w:val="99"/>
    <w:semiHidden/>
    <w:unhideWhenUsed/>
    <w:rsid w:val="000B3A95"/>
    <w:rPr>
      <w:color w:val="605E5C"/>
      <w:shd w:val="clear" w:color="auto" w:fill="E1DFDD"/>
    </w:rPr>
  </w:style>
  <w:style w:type="character" w:styleId="Strong">
    <w:name w:val="Strong"/>
    <w:basedOn w:val="DefaultParagraphFont"/>
    <w:uiPriority w:val="22"/>
    <w:qFormat/>
    <w:rsid w:val="003C43DD"/>
    <w:rPr>
      <w:b/>
      <w:bCs/>
    </w:rPr>
  </w:style>
  <w:style w:type="character" w:customStyle="1" w:styleId="UnresolvedMention2">
    <w:name w:val="Unresolved Mention2"/>
    <w:basedOn w:val="DefaultParagraphFont"/>
    <w:uiPriority w:val="99"/>
    <w:semiHidden/>
    <w:unhideWhenUsed/>
    <w:rsid w:val="00D70E3E"/>
    <w:rPr>
      <w:color w:val="605E5C"/>
      <w:shd w:val="clear" w:color="auto" w:fill="E1DFDD"/>
    </w:rPr>
  </w:style>
  <w:style w:type="paragraph" w:styleId="Caption">
    <w:name w:val="caption"/>
    <w:basedOn w:val="Normal"/>
    <w:next w:val="Normal"/>
    <w:uiPriority w:val="35"/>
    <w:unhideWhenUsed/>
    <w:qFormat/>
    <w:rsid w:val="00D02F08"/>
    <w:pPr>
      <w:spacing w:line="240" w:lineRule="auto"/>
    </w:pPr>
    <w:rPr>
      <w:i/>
      <w:iCs/>
      <w:color w:val="1F497D" w:themeColor="text2"/>
      <w:sz w:val="18"/>
      <w:szCs w:val="18"/>
    </w:rPr>
  </w:style>
  <w:style w:type="paragraph" w:styleId="Revision">
    <w:name w:val="Revision"/>
    <w:hidden/>
    <w:uiPriority w:val="99"/>
    <w:semiHidden/>
    <w:rsid w:val="00113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274">
      <w:bodyDiv w:val="1"/>
      <w:marLeft w:val="0"/>
      <w:marRight w:val="0"/>
      <w:marTop w:val="0"/>
      <w:marBottom w:val="0"/>
      <w:divBdr>
        <w:top w:val="none" w:sz="0" w:space="0" w:color="auto"/>
        <w:left w:val="none" w:sz="0" w:space="0" w:color="auto"/>
        <w:bottom w:val="none" w:sz="0" w:space="0" w:color="auto"/>
        <w:right w:val="none" w:sz="0" w:space="0" w:color="auto"/>
      </w:divBdr>
    </w:div>
    <w:div w:id="53743555">
      <w:bodyDiv w:val="1"/>
      <w:marLeft w:val="0"/>
      <w:marRight w:val="0"/>
      <w:marTop w:val="0"/>
      <w:marBottom w:val="0"/>
      <w:divBdr>
        <w:top w:val="none" w:sz="0" w:space="0" w:color="auto"/>
        <w:left w:val="none" w:sz="0" w:space="0" w:color="auto"/>
        <w:bottom w:val="none" w:sz="0" w:space="0" w:color="auto"/>
        <w:right w:val="none" w:sz="0" w:space="0" w:color="auto"/>
      </w:divBdr>
    </w:div>
    <w:div w:id="55514497">
      <w:bodyDiv w:val="1"/>
      <w:marLeft w:val="0"/>
      <w:marRight w:val="0"/>
      <w:marTop w:val="0"/>
      <w:marBottom w:val="0"/>
      <w:divBdr>
        <w:top w:val="none" w:sz="0" w:space="0" w:color="auto"/>
        <w:left w:val="none" w:sz="0" w:space="0" w:color="auto"/>
        <w:bottom w:val="none" w:sz="0" w:space="0" w:color="auto"/>
        <w:right w:val="none" w:sz="0" w:space="0" w:color="auto"/>
      </w:divBdr>
    </w:div>
    <w:div w:id="112864128">
      <w:bodyDiv w:val="1"/>
      <w:marLeft w:val="0"/>
      <w:marRight w:val="0"/>
      <w:marTop w:val="0"/>
      <w:marBottom w:val="0"/>
      <w:divBdr>
        <w:top w:val="none" w:sz="0" w:space="0" w:color="auto"/>
        <w:left w:val="none" w:sz="0" w:space="0" w:color="auto"/>
        <w:bottom w:val="none" w:sz="0" w:space="0" w:color="auto"/>
        <w:right w:val="none" w:sz="0" w:space="0" w:color="auto"/>
      </w:divBdr>
    </w:div>
    <w:div w:id="261840615">
      <w:bodyDiv w:val="1"/>
      <w:marLeft w:val="0"/>
      <w:marRight w:val="0"/>
      <w:marTop w:val="0"/>
      <w:marBottom w:val="0"/>
      <w:divBdr>
        <w:top w:val="none" w:sz="0" w:space="0" w:color="auto"/>
        <w:left w:val="none" w:sz="0" w:space="0" w:color="auto"/>
        <w:bottom w:val="none" w:sz="0" w:space="0" w:color="auto"/>
        <w:right w:val="none" w:sz="0" w:space="0" w:color="auto"/>
      </w:divBdr>
    </w:div>
    <w:div w:id="295796680">
      <w:bodyDiv w:val="1"/>
      <w:marLeft w:val="0"/>
      <w:marRight w:val="0"/>
      <w:marTop w:val="0"/>
      <w:marBottom w:val="0"/>
      <w:divBdr>
        <w:top w:val="none" w:sz="0" w:space="0" w:color="auto"/>
        <w:left w:val="none" w:sz="0" w:space="0" w:color="auto"/>
        <w:bottom w:val="none" w:sz="0" w:space="0" w:color="auto"/>
        <w:right w:val="none" w:sz="0" w:space="0" w:color="auto"/>
      </w:divBdr>
    </w:div>
    <w:div w:id="348458189">
      <w:bodyDiv w:val="1"/>
      <w:marLeft w:val="0"/>
      <w:marRight w:val="0"/>
      <w:marTop w:val="0"/>
      <w:marBottom w:val="0"/>
      <w:divBdr>
        <w:top w:val="none" w:sz="0" w:space="0" w:color="auto"/>
        <w:left w:val="none" w:sz="0" w:space="0" w:color="auto"/>
        <w:bottom w:val="none" w:sz="0" w:space="0" w:color="auto"/>
        <w:right w:val="none" w:sz="0" w:space="0" w:color="auto"/>
      </w:divBdr>
    </w:div>
    <w:div w:id="351691513">
      <w:bodyDiv w:val="1"/>
      <w:marLeft w:val="0"/>
      <w:marRight w:val="0"/>
      <w:marTop w:val="0"/>
      <w:marBottom w:val="0"/>
      <w:divBdr>
        <w:top w:val="none" w:sz="0" w:space="0" w:color="auto"/>
        <w:left w:val="none" w:sz="0" w:space="0" w:color="auto"/>
        <w:bottom w:val="none" w:sz="0" w:space="0" w:color="auto"/>
        <w:right w:val="none" w:sz="0" w:space="0" w:color="auto"/>
      </w:divBdr>
    </w:div>
    <w:div w:id="366830142">
      <w:bodyDiv w:val="1"/>
      <w:marLeft w:val="0"/>
      <w:marRight w:val="0"/>
      <w:marTop w:val="0"/>
      <w:marBottom w:val="0"/>
      <w:divBdr>
        <w:top w:val="none" w:sz="0" w:space="0" w:color="auto"/>
        <w:left w:val="none" w:sz="0" w:space="0" w:color="auto"/>
        <w:bottom w:val="none" w:sz="0" w:space="0" w:color="auto"/>
        <w:right w:val="none" w:sz="0" w:space="0" w:color="auto"/>
      </w:divBdr>
    </w:div>
    <w:div w:id="415708492">
      <w:bodyDiv w:val="1"/>
      <w:marLeft w:val="0"/>
      <w:marRight w:val="0"/>
      <w:marTop w:val="0"/>
      <w:marBottom w:val="0"/>
      <w:divBdr>
        <w:top w:val="none" w:sz="0" w:space="0" w:color="auto"/>
        <w:left w:val="none" w:sz="0" w:space="0" w:color="auto"/>
        <w:bottom w:val="none" w:sz="0" w:space="0" w:color="auto"/>
        <w:right w:val="none" w:sz="0" w:space="0" w:color="auto"/>
      </w:divBdr>
    </w:div>
    <w:div w:id="473762223">
      <w:bodyDiv w:val="1"/>
      <w:marLeft w:val="0"/>
      <w:marRight w:val="0"/>
      <w:marTop w:val="0"/>
      <w:marBottom w:val="0"/>
      <w:divBdr>
        <w:top w:val="none" w:sz="0" w:space="0" w:color="auto"/>
        <w:left w:val="none" w:sz="0" w:space="0" w:color="auto"/>
        <w:bottom w:val="none" w:sz="0" w:space="0" w:color="auto"/>
        <w:right w:val="none" w:sz="0" w:space="0" w:color="auto"/>
      </w:divBdr>
    </w:div>
    <w:div w:id="559175642">
      <w:bodyDiv w:val="1"/>
      <w:marLeft w:val="0"/>
      <w:marRight w:val="0"/>
      <w:marTop w:val="0"/>
      <w:marBottom w:val="0"/>
      <w:divBdr>
        <w:top w:val="none" w:sz="0" w:space="0" w:color="auto"/>
        <w:left w:val="none" w:sz="0" w:space="0" w:color="auto"/>
        <w:bottom w:val="none" w:sz="0" w:space="0" w:color="auto"/>
        <w:right w:val="none" w:sz="0" w:space="0" w:color="auto"/>
      </w:divBdr>
    </w:div>
    <w:div w:id="655888525">
      <w:bodyDiv w:val="1"/>
      <w:marLeft w:val="0"/>
      <w:marRight w:val="0"/>
      <w:marTop w:val="0"/>
      <w:marBottom w:val="0"/>
      <w:divBdr>
        <w:top w:val="none" w:sz="0" w:space="0" w:color="auto"/>
        <w:left w:val="none" w:sz="0" w:space="0" w:color="auto"/>
        <w:bottom w:val="none" w:sz="0" w:space="0" w:color="auto"/>
        <w:right w:val="none" w:sz="0" w:space="0" w:color="auto"/>
      </w:divBdr>
    </w:div>
    <w:div w:id="669018931">
      <w:bodyDiv w:val="1"/>
      <w:marLeft w:val="0"/>
      <w:marRight w:val="0"/>
      <w:marTop w:val="0"/>
      <w:marBottom w:val="0"/>
      <w:divBdr>
        <w:top w:val="none" w:sz="0" w:space="0" w:color="auto"/>
        <w:left w:val="none" w:sz="0" w:space="0" w:color="auto"/>
        <w:bottom w:val="none" w:sz="0" w:space="0" w:color="auto"/>
        <w:right w:val="none" w:sz="0" w:space="0" w:color="auto"/>
      </w:divBdr>
    </w:div>
    <w:div w:id="722410103">
      <w:bodyDiv w:val="1"/>
      <w:marLeft w:val="0"/>
      <w:marRight w:val="0"/>
      <w:marTop w:val="0"/>
      <w:marBottom w:val="0"/>
      <w:divBdr>
        <w:top w:val="none" w:sz="0" w:space="0" w:color="auto"/>
        <w:left w:val="none" w:sz="0" w:space="0" w:color="auto"/>
        <w:bottom w:val="none" w:sz="0" w:space="0" w:color="auto"/>
        <w:right w:val="none" w:sz="0" w:space="0" w:color="auto"/>
      </w:divBdr>
    </w:div>
    <w:div w:id="756446039">
      <w:bodyDiv w:val="1"/>
      <w:marLeft w:val="0"/>
      <w:marRight w:val="0"/>
      <w:marTop w:val="0"/>
      <w:marBottom w:val="0"/>
      <w:divBdr>
        <w:top w:val="none" w:sz="0" w:space="0" w:color="auto"/>
        <w:left w:val="none" w:sz="0" w:space="0" w:color="auto"/>
        <w:bottom w:val="none" w:sz="0" w:space="0" w:color="auto"/>
        <w:right w:val="none" w:sz="0" w:space="0" w:color="auto"/>
      </w:divBdr>
    </w:div>
    <w:div w:id="1008556523">
      <w:bodyDiv w:val="1"/>
      <w:marLeft w:val="0"/>
      <w:marRight w:val="0"/>
      <w:marTop w:val="0"/>
      <w:marBottom w:val="0"/>
      <w:divBdr>
        <w:top w:val="none" w:sz="0" w:space="0" w:color="auto"/>
        <w:left w:val="none" w:sz="0" w:space="0" w:color="auto"/>
        <w:bottom w:val="none" w:sz="0" w:space="0" w:color="auto"/>
        <w:right w:val="none" w:sz="0" w:space="0" w:color="auto"/>
      </w:divBdr>
    </w:div>
    <w:div w:id="1057824868">
      <w:bodyDiv w:val="1"/>
      <w:marLeft w:val="0"/>
      <w:marRight w:val="0"/>
      <w:marTop w:val="0"/>
      <w:marBottom w:val="0"/>
      <w:divBdr>
        <w:top w:val="none" w:sz="0" w:space="0" w:color="auto"/>
        <w:left w:val="none" w:sz="0" w:space="0" w:color="auto"/>
        <w:bottom w:val="none" w:sz="0" w:space="0" w:color="auto"/>
        <w:right w:val="none" w:sz="0" w:space="0" w:color="auto"/>
      </w:divBdr>
    </w:div>
    <w:div w:id="1131678914">
      <w:bodyDiv w:val="1"/>
      <w:marLeft w:val="0"/>
      <w:marRight w:val="0"/>
      <w:marTop w:val="0"/>
      <w:marBottom w:val="0"/>
      <w:divBdr>
        <w:top w:val="none" w:sz="0" w:space="0" w:color="auto"/>
        <w:left w:val="none" w:sz="0" w:space="0" w:color="auto"/>
        <w:bottom w:val="none" w:sz="0" w:space="0" w:color="auto"/>
        <w:right w:val="none" w:sz="0" w:space="0" w:color="auto"/>
      </w:divBdr>
    </w:div>
    <w:div w:id="1218129593">
      <w:bodyDiv w:val="1"/>
      <w:marLeft w:val="0"/>
      <w:marRight w:val="0"/>
      <w:marTop w:val="0"/>
      <w:marBottom w:val="0"/>
      <w:divBdr>
        <w:top w:val="none" w:sz="0" w:space="0" w:color="auto"/>
        <w:left w:val="none" w:sz="0" w:space="0" w:color="auto"/>
        <w:bottom w:val="none" w:sz="0" w:space="0" w:color="auto"/>
        <w:right w:val="none" w:sz="0" w:space="0" w:color="auto"/>
      </w:divBdr>
    </w:div>
    <w:div w:id="1258518763">
      <w:bodyDiv w:val="1"/>
      <w:marLeft w:val="0"/>
      <w:marRight w:val="0"/>
      <w:marTop w:val="0"/>
      <w:marBottom w:val="0"/>
      <w:divBdr>
        <w:top w:val="none" w:sz="0" w:space="0" w:color="auto"/>
        <w:left w:val="none" w:sz="0" w:space="0" w:color="auto"/>
        <w:bottom w:val="none" w:sz="0" w:space="0" w:color="auto"/>
        <w:right w:val="none" w:sz="0" w:space="0" w:color="auto"/>
      </w:divBdr>
    </w:div>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1304041992">
      <w:bodyDiv w:val="1"/>
      <w:marLeft w:val="0"/>
      <w:marRight w:val="0"/>
      <w:marTop w:val="0"/>
      <w:marBottom w:val="0"/>
      <w:divBdr>
        <w:top w:val="none" w:sz="0" w:space="0" w:color="auto"/>
        <w:left w:val="none" w:sz="0" w:space="0" w:color="auto"/>
        <w:bottom w:val="none" w:sz="0" w:space="0" w:color="auto"/>
        <w:right w:val="none" w:sz="0" w:space="0" w:color="auto"/>
      </w:divBdr>
    </w:div>
    <w:div w:id="1347756518">
      <w:bodyDiv w:val="1"/>
      <w:marLeft w:val="0"/>
      <w:marRight w:val="0"/>
      <w:marTop w:val="0"/>
      <w:marBottom w:val="0"/>
      <w:divBdr>
        <w:top w:val="none" w:sz="0" w:space="0" w:color="auto"/>
        <w:left w:val="none" w:sz="0" w:space="0" w:color="auto"/>
        <w:bottom w:val="none" w:sz="0" w:space="0" w:color="auto"/>
        <w:right w:val="none" w:sz="0" w:space="0" w:color="auto"/>
      </w:divBdr>
    </w:div>
    <w:div w:id="1353993566">
      <w:bodyDiv w:val="1"/>
      <w:marLeft w:val="0"/>
      <w:marRight w:val="0"/>
      <w:marTop w:val="0"/>
      <w:marBottom w:val="0"/>
      <w:divBdr>
        <w:top w:val="none" w:sz="0" w:space="0" w:color="auto"/>
        <w:left w:val="none" w:sz="0" w:space="0" w:color="auto"/>
        <w:bottom w:val="none" w:sz="0" w:space="0" w:color="auto"/>
        <w:right w:val="none" w:sz="0" w:space="0" w:color="auto"/>
      </w:divBdr>
    </w:div>
    <w:div w:id="1430006850">
      <w:bodyDiv w:val="1"/>
      <w:marLeft w:val="0"/>
      <w:marRight w:val="0"/>
      <w:marTop w:val="0"/>
      <w:marBottom w:val="0"/>
      <w:divBdr>
        <w:top w:val="none" w:sz="0" w:space="0" w:color="auto"/>
        <w:left w:val="none" w:sz="0" w:space="0" w:color="auto"/>
        <w:bottom w:val="none" w:sz="0" w:space="0" w:color="auto"/>
        <w:right w:val="none" w:sz="0" w:space="0" w:color="auto"/>
      </w:divBdr>
      <w:divsChild>
        <w:div w:id="594048744">
          <w:marLeft w:val="0"/>
          <w:marRight w:val="0"/>
          <w:marTop w:val="0"/>
          <w:marBottom w:val="0"/>
          <w:divBdr>
            <w:top w:val="none" w:sz="0" w:space="0" w:color="auto"/>
            <w:left w:val="none" w:sz="0" w:space="0" w:color="auto"/>
            <w:bottom w:val="none" w:sz="0" w:space="0" w:color="auto"/>
            <w:right w:val="none" w:sz="0" w:space="0" w:color="auto"/>
          </w:divBdr>
        </w:div>
        <w:div w:id="1049263342">
          <w:marLeft w:val="0"/>
          <w:marRight w:val="0"/>
          <w:marTop w:val="0"/>
          <w:marBottom w:val="0"/>
          <w:divBdr>
            <w:top w:val="none" w:sz="0" w:space="0" w:color="auto"/>
            <w:left w:val="none" w:sz="0" w:space="0" w:color="auto"/>
            <w:bottom w:val="none" w:sz="0" w:space="0" w:color="auto"/>
            <w:right w:val="none" w:sz="0" w:space="0" w:color="auto"/>
          </w:divBdr>
        </w:div>
      </w:divsChild>
    </w:div>
    <w:div w:id="1463038277">
      <w:bodyDiv w:val="1"/>
      <w:marLeft w:val="0"/>
      <w:marRight w:val="0"/>
      <w:marTop w:val="0"/>
      <w:marBottom w:val="0"/>
      <w:divBdr>
        <w:top w:val="none" w:sz="0" w:space="0" w:color="auto"/>
        <w:left w:val="none" w:sz="0" w:space="0" w:color="auto"/>
        <w:bottom w:val="none" w:sz="0" w:space="0" w:color="auto"/>
        <w:right w:val="none" w:sz="0" w:space="0" w:color="auto"/>
      </w:divBdr>
    </w:div>
    <w:div w:id="1505197910">
      <w:bodyDiv w:val="1"/>
      <w:marLeft w:val="0"/>
      <w:marRight w:val="0"/>
      <w:marTop w:val="0"/>
      <w:marBottom w:val="0"/>
      <w:divBdr>
        <w:top w:val="none" w:sz="0" w:space="0" w:color="auto"/>
        <w:left w:val="none" w:sz="0" w:space="0" w:color="auto"/>
        <w:bottom w:val="none" w:sz="0" w:space="0" w:color="auto"/>
        <w:right w:val="none" w:sz="0" w:space="0" w:color="auto"/>
      </w:divBdr>
    </w:div>
    <w:div w:id="1599756669">
      <w:bodyDiv w:val="1"/>
      <w:marLeft w:val="0"/>
      <w:marRight w:val="0"/>
      <w:marTop w:val="0"/>
      <w:marBottom w:val="0"/>
      <w:divBdr>
        <w:top w:val="none" w:sz="0" w:space="0" w:color="auto"/>
        <w:left w:val="none" w:sz="0" w:space="0" w:color="auto"/>
        <w:bottom w:val="none" w:sz="0" w:space="0" w:color="auto"/>
        <w:right w:val="none" w:sz="0" w:space="0" w:color="auto"/>
      </w:divBdr>
    </w:div>
    <w:div w:id="1661233323">
      <w:bodyDiv w:val="1"/>
      <w:marLeft w:val="0"/>
      <w:marRight w:val="0"/>
      <w:marTop w:val="0"/>
      <w:marBottom w:val="0"/>
      <w:divBdr>
        <w:top w:val="none" w:sz="0" w:space="0" w:color="auto"/>
        <w:left w:val="none" w:sz="0" w:space="0" w:color="auto"/>
        <w:bottom w:val="none" w:sz="0" w:space="0" w:color="auto"/>
        <w:right w:val="none" w:sz="0" w:space="0" w:color="auto"/>
      </w:divBdr>
    </w:div>
    <w:div w:id="1664891952">
      <w:bodyDiv w:val="1"/>
      <w:marLeft w:val="0"/>
      <w:marRight w:val="0"/>
      <w:marTop w:val="0"/>
      <w:marBottom w:val="0"/>
      <w:divBdr>
        <w:top w:val="none" w:sz="0" w:space="0" w:color="auto"/>
        <w:left w:val="none" w:sz="0" w:space="0" w:color="auto"/>
        <w:bottom w:val="none" w:sz="0" w:space="0" w:color="auto"/>
        <w:right w:val="none" w:sz="0" w:space="0" w:color="auto"/>
      </w:divBdr>
    </w:div>
    <w:div w:id="1666202498">
      <w:bodyDiv w:val="1"/>
      <w:marLeft w:val="0"/>
      <w:marRight w:val="0"/>
      <w:marTop w:val="0"/>
      <w:marBottom w:val="0"/>
      <w:divBdr>
        <w:top w:val="none" w:sz="0" w:space="0" w:color="auto"/>
        <w:left w:val="none" w:sz="0" w:space="0" w:color="auto"/>
        <w:bottom w:val="none" w:sz="0" w:space="0" w:color="auto"/>
        <w:right w:val="none" w:sz="0" w:space="0" w:color="auto"/>
      </w:divBdr>
    </w:div>
    <w:div w:id="1696803676">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716003509">
      <w:bodyDiv w:val="1"/>
      <w:marLeft w:val="0"/>
      <w:marRight w:val="0"/>
      <w:marTop w:val="0"/>
      <w:marBottom w:val="0"/>
      <w:divBdr>
        <w:top w:val="none" w:sz="0" w:space="0" w:color="auto"/>
        <w:left w:val="none" w:sz="0" w:space="0" w:color="auto"/>
        <w:bottom w:val="none" w:sz="0" w:space="0" w:color="auto"/>
        <w:right w:val="none" w:sz="0" w:space="0" w:color="auto"/>
      </w:divBdr>
    </w:div>
    <w:div w:id="1724213607">
      <w:bodyDiv w:val="1"/>
      <w:marLeft w:val="0"/>
      <w:marRight w:val="0"/>
      <w:marTop w:val="0"/>
      <w:marBottom w:val="0"/>
      <w:divBdr>
        <w:top w:val="none" w:sz="0" w:space="0" w:color="auto"/>
        <w:left w:val="none" w:sz="0" w:space="0" w:color="auto"/>
        <w:bottom w:val="none" w:sz="0" w:space="0" w:color="auto"/>
        <w:right w:val="none" w:sz="0" w:space="0" w:color="auto"/>
      </w:divBdr>
    </w:div>
    <w:div w:id="1759330563">
      <w:bodyDiv w:val="1"/>
      <w:marLeft w:val="0"/>
      <w:marRight w:val="0"/>
      <w:marTop w:val="0"/>
      <w:marBottom w:val="0"/>
      <w:divBdr>
        <w:top w:val="none" w:sz="0" w:space="0" w:color="auto"/>
        <w:left w:val="none" w:sz="0" w:space="0" w:color="auto"/>
        <w:bottom w:val="none" w:sz="0" w:space="0" w:color="auto"/>
        <w:right w:val="none" w:sz="0" w:space="0" w:color="auto"/>
      </w:divBdr>
    </w:div>
    <w:div w:id="1830825901">
      <w:bodyDiv w:val="1"/>
      <w:marLeft w:val="0"/>
      <w:marRight w:val="0"/>
      <w:marTop w:val="0"/>
      <w:marBottom w:val="0"/>
      <w:divBdr>
        <w:top w:val="none" w:sz="0" w:space="0" w:color="auto"/>
        <w:left w:val="none" w:sz="0" w:space="0" w:color="auto"/>
        <w:bottom w:val="none" w:sz="0" w:space="0" w:color="auto"/>
        <w:right w:val="none" w:sz="0" w:space="0" w:color="auto"/>
      </w:divBdr>
    </w:div>
    <w:div w:id="1841002651">
      <w:bodyDiv w:val="1"/>
      <w:marLeft w:val="0"/>
      <w:marRight w:val="0"/>
      <w:marTop w:val="0"/>
      <w:marBottom w:val="0"/>
      <w:divBdr>
        <w:top w:val="none" w:sz="0" w:space="0" w:color="auto"/>
        <w:left w:val="none" w:sz="0" w:space="0" w:color="auto"/>
        <w:bottom w:val="none" w:sz="0" w:space="0" w:color="auto"/>
        <w:right w:val="none" w:sz="0" w:space="0" w:color="auto"/>
      </w:divBdr>
    </w:div>
    <w:div w:id="2000034692">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013487701">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 w:id="2133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viewer?docex=1&amp;url=https://aee.gov.md/storage/eficienta%20energetica/Inventarul%20cl%c4%83dirilor%20publice%20de%c8%9binute%20%c8%99i%20ocupate%20de%20c%c4%83tre%20Administra%c8%9bia%20Public%c4%83%20Central%c4%83.pdf" TargetMode="External"/><Relationship Id="rId3" Type="http://schemas.openxmlformats.org/officeDocument/2006/relationships/hyperlink" Target="https://energy.ec.europa.eu/topics/energy-strategy/clean-energy-all-europeans-package_en" TargetMode="External"/><Relationship Id="rId7" Type="http://schemas.openxmlformats.org/officeDocument/2006/relationships/hyperlink" Target="https://docs.google.com/viewer?docex=1&amp;url=https://statistica.gov.md/public/files/publicatii_electronice/balanta_energetica/Balanta_energetica_2020_ro.pdf" TargetMode="External"/><Relationship Id="rId2" Type="http://schemas.openxmlformats.org/officeDocument/2006/relationships/hyperlink" Target="https://docs.google.com/viewer?docex=1&amp;url=https://www.energy-community.org/dam/jcr:c755f9db-f6e7-448c-9cf5-0a5f02113ae2/19thMCDecision14_CEPII_30112021.pdf" TargetMode="External"/><Relationship Id="rId1" Type="http://schemas.openxmlformats.org/officeDocument/2006/relationships/hyperlink" Target="https://eur-lex.europa.eu/legal-content/RO/ALL/?uri=CELEX:32018L2002" TargetMode="External"/><Relationship Id="rId6" Type="http://schemas.openxmlformats.org/officeDocument/2006/relationships/hyperlink" Target="https://docs.google.com/viewer?docex=1&amp;url=https://aee.gov.md/storage/Rapoarte/Raport%20Privind%20EE%20SER%202020.pdf" TargetMode="External"/><Relationship Id="rId5" Type="http://schemas.openxmlformats.org/officeDocument/2006/relationships/hyperlink" Target="https://www.legis.md/cautare/getResults?doc_id=121818&amp;lang=ro" TargetMode="External"/><Relationship Id="rId4" Type="http://schemas.openxmlformats.org/officeDocument/2006/relationships/hyperlink" Target="https://www.undp.org/ro/moldova/projects/abordarea-impactului-crizei-energetice-&#238;n-republica-mold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01EA-E273-4635-97EF-C9DDC9E7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7396</Words>
  <Characters>42903</Characters>
  <Application>Microsoft Office Word</Application>
  <DocSecurity>0</DocSecurity>
  <Lines>357</Lines>
  <Paragraphs>100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Nicolae Olari</cp:lastModifiedBy>
  <cp:revision>11</cp:revision>
  <cp:lastPrinted>2019-11-15T11:32:00Z</cp:lastPrinted>
  <dcterms:created xsi:type="dcterms:W3CDTF">2022-06-27T12:18:00Z</dcterms:created>
  <dcterms:modified xsi:type="dcterms:W3CDTF">2022-09-14T10:33:00Z</dcterms:modified>
</cp:coreProperties>
</file>