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20" w:rsidRPr="00F505D9" w:rsidRDefault="009F3F20" w:rsidP="004C60E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505D9">
        <w:rPr>
          <w:rFonts w:ascii="Times New Roman" w:hAnsi="Times New Roman"/>
          <w:b/>
          <w:sz w:val="28"/>
          <w:szCs w:val="28"/>
        </w:rPr>
        <w:t>NOTĂ INFORMATIVĂ</w:t>
      </w:r>
    </w:p>
    <w:p w:rsidR="009F3F20" w:rsidRPr="00F505D9" w:rsidRDefault="009F3F20" w:rsidP="004C60EF">
      <w:pPr>
        <w:spacing w:after="0" w:line="276" w:lineRule="auto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F505D9">
        <w:rPr>
          <w:rFonts w:ascii="Times New Roman" w:hAnsi="Times New Roman"/>
          <w:b/>
          <w:sz w:val="28"/>
          <w:szCs w:val="28"/>
        </w:rPr>
        <w:t xml:space="preserve">la proiectul </w:t>
      </w:r>
      <w:r w:rsidR="004A652A" w:rsidRPr="00F505D9">
        <w:rPr>
          <w:rFonts w:ascii="Times New Roman" w:hAnsi="Times New Roman"/>
          <w:b/>
          <w:sz w:val="28"/>
          <w:szCs w:val="28"/>
        </w:rPr>
        <w:t xml:space="preserve">Hotărârii de Guvern </w:t>
      </w:r>
      <w:r w:rsidR="0085177C" w:rsidRPr="00F505D9">
        <w:rPr>
          <w:rFonts w:ascii="Times New Roman" w:hAnsi="Times New Roman"/>
          <w:b/>
          <w:sz w:val="28"/>
          <w:szCs w:val="28"/>
        </w:rPr>
        <w:t>cu privire la unele instituții rezidenţiale</w:t>
      </w: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3"/>
      </w:tblGrid>
      <w:tr w:rsidR="007C09B3" w:rsidRPr="00F505D9" w:rsidTr="002B6606">
        <w:trPr>
          <w:trHeight w:val="415"/>
        </w:trPr>
        <w:tc>
          <w:tcPr>
            <w:tcW w:w="5000" w:type="pct"/>
          </w:tcPr>
          <w:p w:rsidR="009F3F20" w:rsidRPr="00F505D9" w:rsidRDefault="009F3F20" w:rsidP="004C60EF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76" w:lineRule="auto"/>
              <w:ind w:left="313" w:right="33" w:hanging="3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Denumirea autorului şi, după caz, a </w:t>
            </w:r>
            <w:r w:rsidR="00571201" w:rsidRPr="00F505D9">
              <w:rPr>
                <w:rFonts w:ascii="Times New Roman" w:hAnsi="Times New Roman"/>
                <w:b/>
                <w:sz w:val="28"/>
                <w:szCs w:val="28"/>
              </w:rPr>
              <w:t>participanților</w:t>
            </w: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4A652A" w:rsidP="004C60EF">
            <w:pPr>
              <w:spacing w:after="0" w:line="276" w:lineRule="auto"/>
              <w:ind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Proiectul </w:t>
            </w:r>
            <w:r w:rsidR="0038195B" w:rsidRPr="00F505D9">
              <w:rPr>
                <w:rFonts w:ascii="Times New Roman" w:hAnsi="Times New Roman"/>
                <w:sz w:val="28"/>
                <w:szCs w:val="28"/>
              </w:rPr>
              <w:t xml:space="preserve">prezentei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Hotărârii de Guvern </w:t>
            </w:r>
            <w:r w:rsidR="009F3F20" w:rsidRPr="00F505D9">
              <w:rPr>
                <w:rFonts w:ascii="Times New Roman" w:hAnsi="Times New Roman"/>
                <w:sz w:val="28"/>
                <w:szCs w:val="28"/>
              </w:rPr>
              <w:t>este elaborat de către Ministerul Ed</w:t>
            </w:r>
            <w:r w:rsidR="00666DA2" w:rsidRPr="00F505D9">
              <w:rPr>
                <w:rFonts w:ascii="Times New Roman" w:hAnsi="Times New Roman"/>
                <w:sz w:val="28"/>
                <w:szCs w:val="28"/>
              </w:rPr>
              <w:t>ucației și Cercetării.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313" w:right="33" w:hanging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FC1FE1" w:rsidRPr="00F505D9">
              <w:rPr>
                <w:rFonts w:ascii="Times New Roman" w:hAnsi="Times New Roman"/>
                <w:b/>
                <w:sz w:val="28"/>
                <w:szCs w:val="28"/>
              </w:rPr>
              <w:t>Condițiile</w:t>
            </w: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 ce au impus elaborarea proiectului </w:t>
            </w:r>
            <w:r w:rsidR="00FC1FE1" w:rsidRPr="00F505D9">
              <w:rPr>
                <w:rFonts w:ascii="Times New Roman" w:hAnsi="Times New Roman"/>
                <w:b/>
                <w:sz w:val="28"/>
                <w:szCs w:val="28"/>
              </w:rPr>
              <w:t>și</w:t>
            </w: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1FE1" w:rsidRPr="00F505D9">
              <w:rPr>
                <w:rFonts w:ascii="Times New Roman" w:hAnsi="Times New Roman"/>
                <w:b/>
                <w:sz w:val="28"/>
                <w:szCs w:val="28"/>
              </w:rPr>
              <w:t>finalitățile</w:t>
            </w: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7C09B3" w:rsidRPr="00F505D9" w:rsidTr="002B6606">
        <w:tc>
          <w:tcPr>
            <w:tcW w:w="5000" w:type="pct"/>
          </w:tcPr>
          <w:p w:rsidR="00070143" w:rsidRPr="00F505D9" w:rsidRDefault="00070143" w:rsidP="004C60EF">
            <w:pPr>
              <w:pStyle w:val="Default"/>
              <w:spacing w:line="276" w:lineRule="auto"/>
              <w:ind w:firstLine="28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>Republica Moldova, ratificând Convenția ONU cu privire la drepturile copilului (1993) şi Convenția ONU privind drepturile persoanelor cu dizabilități (2007)</w:t>
            </w:r>
            <w:r w:rsidR="00661738">
              <w:rPr>
                <w:color w:val="auto"/>
                <w:sz w:val="28"/>
                <w:szCs w:val="28"/>
                <w:lang w:val="ro-RO"/>
              </w:rPr>
              <w:t>,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 s-a angajat să asigure respectarea drepturilor tuturor copiilor prin promovarea reformelor în domeniile educației, protecției sociale și sănătății copilului. </w:t>
            </w:r>
          </w:p>
          <w:p w:rsidR="00070143" w:rsidRPr="00F505D9" w:rsidRDefault="00070143" w:rsidP="004C60EF">
            <w:pPr>
              <w:pStyle w:val="Default"/>
              <w:spacing w:line="276" w:lineRule="auto"/>
              <w:ind w:firstLine="28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Codul </w:t>
            </w:r>
            <w:r w:rsidR="00361965">
              <w:rPr>
                <w:color w:val="auto"/>
                <w:sz w:val="28"/>
                <w:szCs w:val="28"/>
                <w:lang w:val="ro-RO"/>
              </w:rPr>
              <w:t>e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ducației </w:t>
            </w:r>
            <w:r w:rsidR="00361965">
              <w:rPr>
                <w:color w:val="auto"/>
                <w:sz w:val="28"/>
                <w:szCs w:val="28"/>
                <w:lang w:val="ro-RO"/>
              </w:rPr>
              <w:t xml:space="preserve">al Republicii Moldova nr. 152/2014 și 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>Legea privind incluziunea socială a persoanel</w:t>
            </w:r>
            <w:r w:rsidR="00812267" w:rsidRPr="00F505D9">
              <w:rPr>
                <w:color w:val="auto"/>
                <w:sz w:val="28"/>
                <w:szCs w:val="28"/>
                <w:lang w:val="ro-RO"/>
              </w:rPr>
              <w:t xml:space="preserve">or cu dizabilități nr. 60/2012 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garantează copilului cu cerințe educaționale speciale exercitarea dreptului </w:t>
            </w:r>
            <w:r w:rsidR="009D54EE" w:rsidRPr="00F505D9">
              <w:rPr>
                <w:color w:val="auto"/>
                <w:sz w:val="28"/>
                <w:szCs w:val="28"/>
                <w:lang w:val="ro-RO"/>
              </w:rPr>
              <w:t xml:space="preserve">la educație, bazat pe principii incluzive. </w:t>
            </w:r>
          </w:p>
          <w:p w:rsidR="0000601C" w:rsidRPr="00F505D9" w:rsidRDefault="00F52ED1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În vederea implementării Programului de dezvoltare a educației incluzive în Republica Moldova, </w:t>
            </w:r>
            <w:r w:rsidR="00F94B73" w:rsidRPr="00F505D9">
              <w:rPr>
                <w:rFonts w:ascii="Times New Roman" w:hAnsi="Times New Roman"/>
                <w:sz w:val="28"/>
                <w:szCs w:val="28"/>
              </w:rPr>
              <w:t>una</w:t>
            </w:r>
            <w:r w:rsidR="00CB5E46" w:rsidRPr="00F505D9">
              <w:rPr>
                <w:rFonts w:ascii="Times New Roman" w:hAnsi="Times New Roman"/>
                <w:sz w:val="28"/>
                <w:szCs w:val="28"/>
              </w:rPr>
              <w:t xml:space="preserve"> din principalele acțiuni a fost </w:t>
            </w:r>
            <w:r w:rsidR="00B630F7" w:rsidRPr="00F505D9">
              <w:rPr>
                <w:rFonts w:ascii="Times New Roman" w:hAnsi="Times New Roman"/>
                <w:sz w:val="28"/>
                <w:szCs w:val="28"/>
              </w:rPr>
              <w:t>Reforma sistemului rezidențial de îngrijire a copilului</w:t>
            </w:r>
            <w:r w:rsidR="0000601C" w:rsidRPr="00F505D9">
              <w:rPr>
                <w:rFonts w:ascii="Times New Roman" w:hAnsi="Times New Roman"/>
                <w:sz w:val="28"/>
                <w:szCs w:val="28"/>
              </w:rPr>
              <w:t xml:space="preserve"> al cărui obiective 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>a</w:t>
            </w:r>
            <w:r w:rsidR="0000601C" w:rsidRPr="00F505D9">
              <w:rPr>
                <w:rFonts w:ascii="Times New Roman" w:hAnsi="Times New Roman"/>
                <w:sz w:val="28"/>
                <w:szCs w:val="28"/>
              </w:rPr>
              <w:t xml:space="preserve"> avut ca scop:</w:t>
            </w:r>
          </w:p>
          <w:p w:rsidR="00B630F7" w:rsidRPr="00F505D9" w:rsidRDefault="0000601C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1.</w:t>
            </w:r>
            <w:r w:rsidR="00850550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0F7" w:rsidRPr="00F505D9">
              <w:rPr>
                <w:rFonts w:ascii="Times New Roman" w:hAnsi="Times New Roman"/>
                <w:sz w:val="28"/>
                <w:szCs w:val="28"/>
              </w:rPr>
              <w:t>Reducerea continuă a numărului de copii aflați în îngrijire rezidențială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30F7" w:rsidRPr="00F505D9" w:rsidRDefault="00727ABC" w:rsidP="004C60EF">
            <w:pPr>
              <w:tabs>
                <w:tab w:val="left" w:pos="199"/>
                <w:tab w:val="left" w:pos="379"/>
              </w:tabs>
              <w:spacing w:after="0" w:line="276" w:lineRule="auto"/>
              <w:ind w:left="1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B630F7" w:rsidRPr="00F505D9">
              <w:rPr>
                <w:rFonts w:ascii="Times New Roman" w:hAnsi="Times New Roman"/>
                <w:sz w:val="28"/>
                <w:szCs w:val="28"/>
              </w:rPr>
              <w:t>Asigurarea reintegrării socio-educaționale calitative a copiilor dezinstituționalizați din sistemul rezidențial de îngrijire a copilului</w:t>
            </w:r>
            <w:r w:rsidR="0000601C" w:rsidRPr="00F505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39F5" w:rsidRPr="00F505D9" w:rsidRDefault="00E22E56" w:rsidP="004C60EF">
            <w:pPr>
              <w:tabs>
                <w:tab w:val="num" w:pos="0"/>
              </w:tabs>
              <w:spacing w:after="0" w:line="276" w:lineRule="auto"/>
              <w:ind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În privința </w:t>
            </w:r>
            <w:r w:rsidR="006F0FE9" w:rsidRPr="00F505D9">
              <w:rPr>
                <w:rFonts w:ascii="Times New Roman" w:hAnsi="Times New Roman"/>
                <w:sz w:val="28"/>
                <w:szCs w:val="28"/>
              </w:rPr>
              <w:t>Şcoala de Tip Internat pentru Copii Rămași fără Ocrotire Părintească din Străşeni</w:t>
            </w:r>
            <w:r w:rsidR="008439F5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reținem </w:t>
            </w:r>
            <w:r w:rsidR="008439F5" w:rsidRPr="00F505D9">
              <w:rPr>
                <w:rFonts w:ascii="Times New Roman" w:hAnsi="Times New Roman"/>
                <w:sz w:val="28"/>
                <w:szCs w:val="28"/>
              </w:rPr>
              <w:t xml:space="preserve">că în anul de studii 2018-2019, instituţia din or. Strășeni a funcționat la capacitate minimă, din numărul de </w:t>
            </w:r>
            <w:r w:rsidR="00C65272" w:rsidRPr="00F505D9">
              <w:rPr>
                <w:rFonts w:ascii="Times New Roman" w:hAnsi="Times New Roman"/>
                <w:sz w:val="28"/>
                <w:szCs w:val="28"/>
              </w:rPr>
              <w:t>540</w:t>
            </w:r>
            <w:r w:rsidR="008439F5" w:rsidRPr="00F505D9">
              <w:rPr>
                <w:rFonts w:ascii="Times New Roman" w:hAnsi="Times New Roman"/>
                <w:sz w:val="28"/>
                <w:szCs w:val="28"/>
              </w:rPr>
              <w:t xml:space="preserve"> de locuri disponibile fiind ocupate doar 33 locuri. </w:t>
            </w:r>
          </w:p>
          <w:p w:rsidR="0038195B" w:rsidRPr="00F505D9" w:rsidRDefault="00EA3E30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Pe parcursul 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>anului 2019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în privința celor </w:t>
            </w:r>
            <w:r w:rsidR="00A30DE7" w:rsidRPr="00F505D9">
              <w:rPr>
                <w:rFonts w:ascii="Times New Roman" w:hAnsi="Times New Roman"/>
                <w:sz w:val="28"/>
                <w:szCs w:val="28"/>
              </w:rPr>
              <w:t xml:space="preserve">33 de copii care frecventau </w:t>
            </w:r>
            <w:r w:rsidR="006F0FE9" w:rsidRPr="00F505D9">
              <w:rPr>
                <w:rFonts w:ascii="Times New Roman" w:hAnsi="Times New Roman"/>
                <w:sz w:val="28"/>
                <w:szCs w:val="28"/>
              </w:rPr>
              <w:t xml:space="preserve">Şcoala de Tip Internat pentru Copii Rămași fără Ocrotire Părintească din Străşeni </w:t>
            </w:r>
            <w:r w:rsidR="0038195B" w:rsidRPr="00F505D9">
              <w:rPr>
                <w:rFonts w:ascii="Times New Roman" w:hAnsi="Times New Roman"/>
                <w:sz w:val="28"/>
                <w:szCs w:val="28"/>
              </w:rPr>
              <w:t>a</w:t>
            </w:r>
            <w:r w:rsidR="00FC053A" w:rsidRPr="00F505D9">
              <w:rPr>
                <w:rFonts w:ascii="Times New Roman" w:hAnsi="Times New Roman"/>
                <w:sz w:val="28"/>
                <w:szCs w:val="28"/>
              </w:rPr>
              <w:t xml:space="preserve"> fost </w:t>
            </w:r>
            <w:r w:rsidR="0038195B" w:rsidRPr="00F505D9">
              <w:rPr>
                <w:rFonts w:ascii="Times New Roman" w:hAnsi="Times New Roman"/>
                <w:sz w:val="28"/>
                <w:szCs w:val="28"/>
              </w:rPr>
              <w:t xml:space="preserve">asigurat </w:t>
            </w:r>
            <w:r w:rsidR="0038195B" w:rsidRPr="00F505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plasamentul conform dispoziţiei autorităţii tutelare teritoriale, cu avizul autorităţii tutelare locale şi în baza avizului pozitiv al Comisiei pentru protecţia copilului aflat în </w:t>
            </w:r>
            <w:r w:rsidR="00F44002" w:rsidRPr="00F505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dificultate. </w:t>
            </w:r>
          </w:p>
          <w:p w:rsidR="00106017" w:rsidRPr="00F505D9" w:rsidRDefault="006E0AAA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Astfel, cei 33 de </w:t>
            </w:r>
            <w:r w:rsidR="00EA3E30" w:rsidRPr="00F505D9">
              <w:rPr>
                <w:rFonts w:ascii="Times New Roman" w:hAnsi="Times New Roman"/>
                <w:sz w:val="28"/>
                <w:szCs w:val="28"/>
              </w:rPr>
              <w:t xml:space="preserve">copii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>au fost</w:t>
            </w:r>
            <w:r w:rsidR="00EA3E30" w:rsidRPr="00F505D9">
              <w:rPr>
                <w:rFonts w:ascii="Times New Roman" w:hAnsi="Times New Roman"/>
                <w:sz w:val="28"/>
                <w:szCs w:val="28"/>
              </w:rPr>
              <w:t xml:space="preserve"> plasaţi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 xml:space="preserve"> în</w:t>
            </w:r>
            <w:r w:rsidR="00EA3E30" w:rsidRPr="00F505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06017" w:rsidRPr="00F505D9" w:rsidRDefault="00106017" w:rsidP="004C60EF">
            <w:pPr>
              <w:numPr>
                <w:ilvl w:val="0"/>
                <w:numId w:val="4"/>
              </w:numPr>
              <w:tabs>
                <w:tab w:val="left" w:pos="379"/>
                <w:tab w:val="left" w:pos="559"/>
              </w:tabs>
              <w:spacing w:after="0" w:line="276" w:lineRule="auto"/>
              <w:ind w:left="0" w:right="33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serviciul de tutelă – 4 copii;</w:t>
            </w:r>
          </w:p>
          <w:p w:rsidR="00106017" w:rsidRPr="00F505D9" w:rsidRDefault="00106017" w:rsidP="004C60EF">
            <w:pPr>
              <w:numPr>
                <w:ilvl w:val="0"/>
                <w:numId w:val="4"/>
              </w:numPr>
              <w:tabs>
                <w:tab w:val="left" w:pos="379"/>
                <w:tab w:val="left" w:pos="559"/>
              </w:tabs>
              <w:spacing w:after="0" w:line="276" w:lineRule="auto"/>
              <w:ind w:left="0" w:right="33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serviciul de plasament de tip familial – 1 copil </w:t>
            </w:r>
            <w:r w:rsidR="00133922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581A" w:rsidRPr="00F505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casă de copii de tip familial 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 xml:space="preserve">și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5 copii </w:t>
            </w:r>
            <w:r w:rsidR="0055581A" w:rsidRPr="00F505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0098" w:rsidRPr="00F505D9">
              <w:rPr>
                <w:rFonts w:ascii="Times New Roman" w:hAnsi="Times New Roman"/>
                <w:sz w:val="28"/>
                <w:szCs w:val="28"/>
              </w:rPr>
              <w:t>asistență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parentală profesionistă;</w:t>
            </w:r>
          </w:p>
          <w:p w:rsidR="00106017" w:rsidRPr="00F505D9" w:rsidRDefault="00106017" w:rsidP="004C60EF">
            <w:pPr>
              <w:numPr>
                <w:ilvl w:val="0"/>
                <w:numId w:val="4"/>
              </w:numPr>
              <w:tabs>
                <w:tab w:val="left" w:pos="379"/>
                <w:tab w:val="left" w:pos="559"/>
              </w:tabs>
              <w:spacing w:after="0" w:line="276" w:lineRule="auto"/>
              <w:ind w:left="0" w:right="33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serviciul de plasament de tip rezidenţial – 2 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 xml:space="preserve">copii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>(centru comunitar)</w:t>
            </w:r>
            <w:r w:rsidR="002725F5" w:rsidRPr="00F505D9">
              <w:rPr>
                <w:rFonts w:ascii="Times New Roman" w:hAnsi="Times New Roman"/>
                <w:sz w:val="28"/>
                <w:szCs w:val="28"/>
              </w:rPr>
              <w:t>;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A4C" w:rsidRPr="00F505D9" w:rsidRDefault="00106017" w:rsidP="004C60EF">
            <w:pPr>
              <w:numPr>
                <w:ilvl w:val="0"/>
                <w:numId w:val="4"/>
              </w:numPr>
              <w:tabs>
                <w:tab w:val="left" w:pos="379"/>
                <w:tab w:val="left" w:pos="559"/>
              </w:tabs>
              <w:spacing w:after="0" w:line="276" w:lineRule="auto"/>
              <w:ind w:left="0" w:right="33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familii biologice – 19 copii.</w:t>
            </w:r>
          </w:p>
          <w:p w:rsidR="004D3D19" w:rsidRPr="00F505D9" w:rsidRDefault="004D3D19" w:rsidP="004C60EF">
            <w:pPr>
              <w:spacing w:after="0" w:line="276" w:lineRule="auto"/>
              <w:ind w:right="44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Analiza cheltuielilor curente pe articole a arătat că aproximativ 70 la sută din suma totală a bugetului instituţiei au constituit cheltuielile pentru retribuirea muncii (inclusiv plăţile sociale: contribuţiile de asigurări sociale şi asigurarea medicală), iar circa 30% - cheltuielile pentru plata mărfurilor şi serviciilor, jumătate dintre care au fost utilizate pentru întreţinerea imobilului.</w:t>
            </w:r>
          </w:p>
          <w:p w:rsidR="008652F9" w:rsidRPr="00F505D9" w:rsidRDefault="008652F9" w:rsidP="004C60EF">
            <w:pPr>
              <w:spacing w:after="0" w:line="276" w:lineRule="auto"/>
              <w:ind w:right="44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lastRenderedPageBreak/>
              <w:t>În prezent, în Şcoala de Tip Internat pentru Copii Rămași fără Ocrotire Părintească din Străşeni</w:t>
            </w:r>
            <w:r w:rsidR="00A6786B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894" w:rsidRPr="00F505D9">
              <w:rPr>
                <w:rFonts w:ascii="Times New Roman" w:hAnsi="Times New Roman"/>
                <w:sz w:val="28"/>
                <w:szCs w:val="28"/>
              </w:rPr>
              <w:t>activează doi salariați: directorul și contabilul.</w:t>
            </w:r>
          </w:p>
          <w:p w:rsidR="00E22E56" w:rsidRPr="00F505D9" w:rsidRDefault="00E22E56" w:rsidP="004C60EF">
            <w:pPr>
              <w:spacing w:after="0" w:line="276" w:lineRule="auto"/>
              <w:ind w:right="44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Referitor la </w:t>
            </w:r>
            <w:r w:rsidR="00691360" w:rsidRPr="00F505D9">
              <w:rPr>
                <w:rFonts w:ascii="Times New Roman" w:hAnsi="Times New Roman"/>
                <w:sz w:val="28"/>
                <w:szCs w:val="28"/>
              </w:rPr>
              <w:t>Şcoala-Internat Specială pentru Copii Surzi şi Hipoacuzici din Cahul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>, notăm că</w:t>
            </w:r>
            <w:r w:rsidR="00845BC4" w:rsidRPr="00F505D9">
              <w:rPr>
                <w:rFonts w:ascii="Times New Roman" w:hAnsi="Times New Roman"/>
                <w:sz w:val="28"/>
                <w:szCs w:val="28"/>
              </w:rPr>
              <w:t xml:space="preserve"> în anul 2019-2020 a funcționat la capacitate minimă, din numărul de </w:t>
            </w:r>
            <w:r w:rsidR="00D340C3" w:rsidRPr="00F505D9">
              <w:rPr>
                <w:rFonts w:ascii="Times New Roman" w:hAnsi="Times New Roman"/>
                <w:sz w:val="28"/>
                <w:szCs w:val="28"/>
              </w:rPr>
              <w:t>150</w:t>
            </w:r>
            <w:r w:rsidR="00845BC4" w:rsidRPr="00F505D9">
              <w:rPr>
                <w:rFonts w:ascii="Times New Roman" w:hAnsi="Times New Roman"/>
                <w:sz w:val="28"/>
                <w:szCs w:val="28"/>
              </w:rPr>
              <w:t xml:space="preserve"> de locuri disponibile fiind ocupate doar 14 locuri dintre care 5 elevi au absolvit instituția de învățământ.</w:t>
            </w:r>
          </w:p>
          <w:p w:rsidR="00845BC4" w:rsidRPr="00F505D9" w:rsidRDefault="00845BC4" w:rsidP="004C60EF">
            <w:pPr>
              <w:spacing w:after="0" w:line="276" w:lineRule="auto"/>
              <w:ind w:right="44" w:firstLine="3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În vederea continuării procesului de reintegrare a celor 9 copii s-a conlucrat cu Structurile Teritoriale de Asistență Socială și Protecția Familiei din r-nul </w:t>
            </w:r>
            <w:r w:rsidR="00D340C3" w:rsidRPr="00F505D9">
              <w:rPr>
                <w:rFonts w:ascii="Times New Roman" w:hAnsi="Times New Roman"/>
                <w:sz w:val="28"/>
                <w:szCs w:val="28"/>
              </w:rPr>
              <w:t xml:space="preserve">Hîncești, Leova, Cantemir, Criuleni, Briceni și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Cahul, cu autoritățile publice locale, cu familiile biologice și extinse, fiind întreprinse acțiuni concrete: - expedierea în termeni optimi a demersurilor către autorități pentru </w:t>
            </w:r>
            <w:r w:rsidR="009D6D9F" w:rsidRPr="00F505D9">
              <w:rPr>
                <w:rFonts w:ascii="Times New Roman" w:hAnsi="Times New Roman"/>
                <w:sz w:val="28"/>
                <w:szCs w:val="28"/>
              </w:rPr>
              <w:t>reevaluarea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situației copiilor; - pregătirea și participarea la mai multe ședințe ale comisiei pentru protecția copilului aflat în dificultate; - pregătirea psihologică a familiei pentru reintegrarea copiilor; - acțiuni de responsabilizare a părinților, medierea diferitor conflicte apărute în perioada pandemică și nu în ultimul rând – pregătirea copilului pentru integrarea în școala din comunitate. </w:t>
            </w:r>
          </w:p>
          <w:p w:rsidR="00845BC4" w:rsidRPr="00F505D9" w:rsidRDefault="00845BC4" w:rsidP="004C60EF">
            <w:pPr>
              <w:pStyle w:val="Default"/>
              <w:spacing w:line="276" w:lineRule="auto"/>
              <w:ind w:firstLine="431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Cei </w:t>
            </w:r>
            <w:r w:rsidR="00120E57" w:rsidRPr="00F505D9">
              <w:rPr>
                <w:color w:val="auto"/>
                <w:sz w:val="28"/>
                <w:szCs w:val="28"/>
                <w:lang w:val="ro-RO"/>
              </w:rPr>
              <w:t>9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 copii au fost plasați după cum urmează: - </w:t>
            </w:r>
            <w:r w:rsidR="00120E57" w:rsidRPr="00F505D9">
              <w:rPr>
                <w:color w:val="auto"/>
                <w:sz w:val="28"/>
                <w:szCs w:val="28"/>
                <w:lang w:val="ro-RO"/>
              </w:rPr>
              <w:t>8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 copii în familia biologică; - 1 copil în familia extinsă.</w:t>
            </w:r>
          </w:p>
          <w:p w:rsidR="00845BC4" w:rsidRPr="00F505D9" w:rsidRDefault="00845BC4" w:rsidP="004C60EF">
            <w:pPr>
              <w:spacing w:after="0" w:line="276" w:lineRule="auto"/>
              <w:ind w:firstLine="4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În anul de studii 2020 – 2021, toți </w:t>
            </w:r>
            <w:r w:rsidR="009F3BF0" w:rsidRPr="00F505D9">
              <w:rPr>
                <w:rFonts w:ascii="Times New Roman" w:hAnsi="Times New Roman"/>
                <w:sz w:val="28"/>
                <w:szCs w:val="28"/>
              </w:rPr>
              <w:t>copiii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dezinstituționalizați de vârstă școlară </w:t>
            </w:r>
            <w:r w:rsidR="00661738">
              <w:rPr>
                <w:rFonts w:ascii="Times New Roman" w:hAnsi="Times New Roman"/>
                <w:sz w:val="28"/>
                <w:szCs w:val="28"/>
              </w:rPr>
              <w:t>și-au continut</w:t>
            </w:r>
            <w:bookmarkStart w:id="0" w:name="_GoBack"/>
            <w:bookmarkEnd w:id="0"/>
            <w:r w:rsidRPr="00F505D9">
              <w:rPr>
                <w:rFonts w:ascii="Times New Roman" w:hAnsi="Times New Roman"/>
                <w:sz w:val="28"/>
                <w:szCs w:val="28"/>
              </w:rPr>
              <w:t xml:space="preserve"> studiile în instituțiile de învățământ din localitățile de baștină (în care locuiesc cu familiile):</w:t>
            </w:r>
          </w:p>
          <w:p w:rsidR="00845BC4" w:rsidRPr="00F505D9" w:rsidRDefault="009F14D7" w:rsidP="004C60EF">
            <w:pPr>
              <w:pStyle w:val="a8"/>
              <w:numPr>
                <w:ilvl w:val="0"/>
                <w:numId w:val="5"/>
              </w:numPr>
              <w:spacing w:after="0" w:line="276" w:lineRule="auto"/>
              <w:ind w:left="5" w:firstLine="431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4</w:t>
            </w:r>
            <w:r w:rsidR="00845BC4" w:rsidRPr="00F505D9">
              <w:rPr>
                <w:rFonts w:ascii="Times New Roman" w:hAnsi="Times New Roman"/>
                <w:sz w:val="28"/>
                <w:szCs w:val="28"/>
              </w:rPr>
              <w:t xml:space="preserve"> copii - clasa 9;</w:t>
            </w:r>
          </w:p>
          <w:p w:rsidR="00845BC4" w:rsidRPr="00F505D9" w:rsidRDefault="009F14D7" w:rsidP="004C60EF">
            <w:pPr>
              <w:pStyle w:val="a8"/>
              <w:numPr>
                <w:ilvl w:val="0"/>
                <w:numId w:val="5"/>
              </w:numPr>
              <w:spacing w:after="0" w:line="276" w:lineRule="auto"/>
              <w:ind w:left="5" w:firstLine="431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5</w:t>
            </w:r>
            <w:r w:rsidR="00845BC4" w:rsidRPr="00F505D9">
              <w:rPr>
                <w:rFonts w:ascii="Times New Roman" w:hAnsi="Times New Roman"/>
                <w:sz w:val="28"/>
                <w:szCs w:val="28"/>
              </w:rPr>
              <w:t xml:space="preserve"> copii – clasa 8. </w:t>
            </w:r>
          </w:p>
          <w:p w:rsidR="00845BC4" w:rsidRPr="00F505D9" w:rsidRDefault="00845BC4" w:rsidP="004C60EF">
            <w:pPr>
              <w:spacing w:after="0" w:line="276" w:lineRule="auto"/>
              <w:ind w:firstLine="4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Înmatricularea fiecărui copil în instituțiile de învățământ din localitățile de baștină este confirmată de către administrația instituțiilor respective, în formă scrisă.</w:t>
            </w:r>
          </w:p>
          <w:p w:rsidR="00845BC4" w:rsidRPr="00F505D9" w:rsidRDefault="00845BC4" w:rsidP="004C60EF">
            <w:pPr>
              <w:spacing w:after="0" w:line="276" w:lineRule="auto"/>
              <w:ind w:firstLine="4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 xml:space="preserve">În prezent în </w:t>
            </w:r>
            <w:r w:rsidR="00691360" w:rsidRPr="00F505D9">
              <w:rPr>
                <w:rFonts w:ascii="Times New Roman" w:hAnsi="Times New Roman"/>
                <w:sz w:val="28"/>
                <w:szCs w:val="28"/>
              </w:rPr>
              <w:t xml:space="preserve">Şcoala-Internat Specială pentru Copii Surzi şi Hipoacuzici din Cahul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activează </w:t>
            </w:r>
            <w:r w:rsidR="008652F9" w:rsidRPr="00F505D9">
              <w:rPr>
                <w:rFonts w:ascii="Times New Roman" w:hAnsi="Times New Roman"/>
                <w:sz w:val="28"/>
                <w:szCs w:val="28"/>
              </w:rPr>
              <w:t>7</w:t>
            </w:r>
            <w:r w:rsidR="006F35AE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0051" w:rsidRPr="00F505D9">
              <w:rPr>
                <w:rFonts w:ascii="Times New Roman" w:hAnsi="Times New Roman"/>
                <w:sz w:val="28"/>
                <w:szCs w:val="28"/>
              </w:rPr>
              <w:t>salariați din care face parte personalul de conducere și personalul auxiliar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. Salariații școlii </w:t>
            </w:r>
            <w:r w:rsidR="006F35AE" w:rsidRPr="00F505D9">
              <w:rPr>
                <w:rFonts w:ascii="Times New Roman" w:hAnsi="Times New Roman"/>
                <w:sz w:val="28"/>
                <w:szCs w:val="28"/>
              </w:rPr>
              <w:t xml:space="preserve">urmează a fi 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>preavizați, în conformitate cu Codul muncii și vor beneficia de indemnizațiile prevăzute de legislația în vigoare.</w:t>
            </w:r>
          </w:p>
          <w:p w:rsidR="00C315D0" w:rsidRPr="00F505D9" w:rsidRDefault="004D3D19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În circumstanțele expuse supra, i</w:t>
            </w:r>
            <w:r w:rsidR="009F3F20" w:rsidRPr="00F505D9">
              <w:rPr>
                <w:rFonts w:ascii="Times New Roman" w:hAnsi="Times New Roman"/>
                <w:sz w:val="28"/>
                <w:szCs w:val="28"/>
              </w:rPr>
              <w:t xml:space="preserve">nițierea elaborării acestui proiect </w:t>
            </w:r>
            <w:r w:rsidR="00A41B38" w:rsidRPr="00F505D9">
              <w:rPr>
                <w:rFonts w:ascii="Times New Roman" w:hAnsi="Times New Roman"/>
                <w:sz w:val="28"/>
                <w:szCs w:val="28"/>
              </w:rPr>
              <w:t xml:space="preserve">al Hotărârii de Guvern </w:t>
            </w:r>
            <w:r w:rsidR="00361965">
              <w:rPr>
                <w:rFonts w:ascii="Times New Roman" w:hAnsi="Times New Roman"/>
                <w:sz w:val="28"/>
                <w:szCs w:val="28"/>
              </w:rPr>
              <w:t xml:space="preserve">este iminentă având în vedere că instituțiile nu au copii și nu desfășoară activitate. Proiectul </w:t>
            </w:r>
            <w:r w:rsidR="00580502" w:rsidRPr="00F505D9">
              <w:rPr>
                <w:rFonts w:ascii="Times New Roman" w:hAnsi="Times New Roman"/>
                <w:sz w:val="28"/>
                <w:szCs w:val="28"/>
              </w:rPr>
              <w:t>va contribui la</w:t>
            </w:r>
            <w:r w:rsidR="007E0E2D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965" w:rsidRPr="00F505D9">
              <w:rPr>
                <w:rFonts w:ascii="Times New Roman" w:hAnsi="Times New Roman"/>
                <w:sz w:val="28"/>
                <w:szCs w:val="28"/>
              </w:rPr>
              <w:t>valorificarea bunurilor mobile și imobile care au fost gestionate de instituții</w:t>
            </w:r>
            <w:r w:rsidR="00361965">
              <w:rPr>
                <w:rFonts w:ascii="Times New Roman" w:hAnsi="Times New Roman"/>
                <w:sz w:val="28"/>
                <w:szCs w:val="28"/>
              </w:rPr>
              <w:t xml:space="preserve"> și </w:t>
            </w:r>
            <w:r w:rsidR="00580502" w:rsidRPr="00F505D9">
              <w:rPr>
                <w:rFonts w:ascii="Times New Roman" w:hAnsi="Times New Roman"/>
                <w:sz w:val="28"/>
                <w:szCs w:val="28"/>
              </w:rPr>
              <w:t>reducerea</w:t>
            </w:r>
            <w:r w:rsidR="007E0E2D" w:rsidRPr="00F505D9">
              <w:rPr>
                <w:rFonts w:ascii="Times New Roman" w:hAnsi="Times New Roman"/>
                <w:sz w:val="28"/>
                <w:szCs w:val="28"/>
              </w:rPr>
              <w:t xml:space="preserve"> cheltuielilor </w:t>
            </w:r>
            <w:r w:rsidR="00361965" w:rsidRPr="00F505D9">
              <w:rPr>
                <w:rFonts w:ascii="Times New Roman" w:hAnsi="Times New Roman"/>
                <w:sz w:val="28"/>
                <w:szCs w:val="28"/>
              </w:rPr>
              <w:t>financiare</w:t>
            </w:r>
            <w:r w:rsidR="007E0E2D" w:rsidRPr="00F505D9">
              <w:rPr>
                <w:rFonts w:ascii="Times New Roman" w:hAnsi="Times New Roman"/>
                <w:sz w:val="28"/>
                <w:szCs w:val="28"/>
              </w:rPr>
              <w:t xml:space="preserve"> ineficiente de la bugetul de stat pentru </w:t>
            </w:r>
            <w:r w:rsidR="00116621" w:rsidRPr="00F505D9">
              <w:rPr>
                <w:rFonts w:ascii="Times New Roman" w:hAnsi="Times New Roman"/>
                <w:sz w:val="28"/>
                <w:szCs w:val="28"/>
              </w:rPr>
              <w:t xml:space="preserve">personalul </w:t>
            </w:r>
            <w:r w:rsidR="00691360" w:rsidRPr="00F505D9">
              <w:rPr>
                <w:rFonts w:ascii="Times New Roman" w:hAnsi="Times New Roman"/>
                <w:sz w:val="28"/>
                <w:szCs w:val="28"/>
              </w:rPr>
              <w:t>Şcolii de Tip Internat pentru Copii Rămași fără Ocrotire Părintească din Străşeni</w:t>
            </w:r>
            <w:r w:rsidR="00361965">
              <w:rPr>
                <w:rFonts w:ascii="Times New Roman" w:hAnsi="Times New Roman"/>
                <w:sz w:val="28"/>
                <w:szCs w:val="28"/>
              </w:rPr>
              <w:t xml:space="preserve"> și</w:t>
            </w:r>
            <w:r w:rsidR="00116621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1360" w:rsidRPr="00F505D9">
              <w:rPr>
                <w:rFonts w:ascii="Times New Roman" w:hAnsi="Times New Roman"/>
                <w:sz w:val="28"/>
                <w:szCs w:val="28"/>
              </w:rPr>
              <w:t>Şcolii-Internat Speciale pentru Copii Surzi şi Hipoacuzici din Cahul</w:t>
            </w:r>
            <w:r w:rsidR="003619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4C60EF">
            <w:pPr>
              <w:spacing w:after="0" w:line="276" w:lineRule="auto"/>
              <w:ind w:right="8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F505D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4C60EF">
            <w:pPr>
              <w:spacing w:after="0" w:line="276" w:lineRule="auto"/>
              <w:ind w:right="8" w:firstLine="31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F505D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Actul normativ </w:t>
            </w:r>
            <w:r w:rsidR="00512F0F" w:rsidRPr="00F505D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nu conține norme privind armonizarea legislației naționale cu legislația Uniunii Europene.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05D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 Principalele prevederi ale proiectului </w:t>
            </w:r>
            <w:r w:rsidR="008A5B8B" w:rsidRPr="00F505D9">
              <w:rPr>
                <w:rFonts w:ascii="Times New Roman" w:hAnsi="Times New Roman"/>
                <w:b/>
                <w:sz w:val="28"/>
                <w:szCs w:val="28"/>
              </w:rPr>
              <w:t>și</w:t>
            </w: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B6606" w:rsidRPr="00F505D9">
              <w:rPr>
                <w:rFonts w:ascii="Times New Roman" w:hAnsi="Times New Roman"/>
                <w:b/>
                <w:sz w:val="28"/>
                <w:szCs w:val="28"/>
              </w:rPr>
              <w:t>evidențierea</w:t>
            </w: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7C09B3" w:rsidRPr="00F505D9" w:rsidTr="002B6606">
        <w:tc>
          <w:tcPr>
            <w:tcW w:w="5000" w:type="pct"/>
          </w:tcPr>
          <w:p w:rsidR="00A04A69" w:rsidRPr="00F505D9" w:rsidRDefault="00A04A69" w:rsidP="004C60EF">
            <w:pPr>
              <w:pStyle w:val="Default"/>
              <w:spacing w:line="276" w:lineRule="auto"/>
              <w:ind w:firstLine="379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Proiectul prevede: </w:t>
            </w:r>
          </w:p>
          <w:p w:rsidR="00A04A69" w:rsidRPr="00F505D9" w:rsidRDefault="00A04A69" w:rsidP="004C60EF">
            <w:pPr>
              <w:pStyle w:val="Default"/>
              <w:spacing w:line="276" w:lineRule="auto"/>
              <w:ind w:firstLine="37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- aprobarea </w:t>
            </w:r>
            <w:r w:rsidR="00ED1A52" w:rsidRPr="00F505D9">
              <w:rPr>
                <w:color w:val="auto"/>
                <w:sz w:val="28"/>
                <w:szCs w:val="28"/>
                <w:lang w:val="ro-RO"/>
              </w:rPr>
              <w:t>lichidării</w:t>
            </w:r>
            <w:r w:rsidR="00305E27" w:rsidRPr="00F505D9">
              <w:rPr>
                <w:color w:val="auto"/>
                <w:sz w:val="28"/>
                <w:szCs w:val="28"/>
                <w:lang w:val="ro-RO"/>
              </w:rPr>
              <w:t xml:space="preserve"> </w:t>
            </w:r>
            <w:r w:rsidR="00361965" w:rsidRPr="00F505D9">
              <w:rPr>
                <w:color w:val="auto"/>
                <w:sz w:val="28"/>
                <w:szCs w:val="28"/>
                <w:lang w:val="ro-RO"/>
              </w:rPr>
              <w:t>Școlii</w:t>
            </w:r>
            <w:r w:rsidR="00691360" w:rsidRPr="00F505D9">
              <w:rPr>
                <w:color w:val="auto"/>
                <w:sz w:val="28"/>
                <w:szCs w:val="28"/>
                <w:lang w:val="ro-RO"/>
              </w:rPr>
              <w:t>-Internat Speciale pentru Copii Surzi şi Hipoacuzici din Cahul</w:t>
            </w:r>
            <w:r w:rsidR="00305E27" w:rsidRPr="00F505D9">
              <w:rPr>
                <w:color w:val="auto"/>
                <w:sz w:val="28"/>
                <w:szCs w:val="28"/>
                <w:lang w:val="ro-RO"/>
              </w:rPr>
              <w:t xml:space="preserve"> și a </w:t>
            </w:r>
            <w:r w:rsidR="00561A82" w:rsidRPr="00F505D9">
              <w:rPr>
                <w:color w:val="auto"/>
                <w:sz w:val="28"/>
                <w:szCs w:val="28"/>
                <w:lang w:val="ro-RO"/>
              </w:rPr>
              <w:t>Şcolii de Tip Internat pentru Copii Rămași fără Ocrotire Părintească din Străşeni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; </w:t>
            </w:r>
          </w:p>
          <w:p w:rsidR="00E7343A" w:rsidRPr="00F505D9" w:rsidRDefault="00E7343A" w:rsidP="004C60EF">
            <w:pPr>
              <w:pStyle w:val="Default"/>
              <w:spacing w:line="276" w:lineRule="auto"/>
              <w:ind w:firstLine="37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- instituirea comisiilor de lichidare a instituțiilor de învățămînt nominalizate mai sus; </w:t>
            </w:r>
          </w:p>
          <w:p w:rsidR="00305E27" w:rsidRPr="00F505D9" w:rsidRDefault="00305E27" w:rsidP="004C60EF">
            <w:pPr>
              <w:pStyle w:val="Default"/>
              <w:pageBreakBefore/>
              <w:spacing w:line="276" w:lineRule="auto"/>
              <w:ind w:firstLine="37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- transmiterea bunurilor imobile și mobile din gestiunea </w:t>
            </w:r>
            <w:r w:rsidR="00691360" w:rsidRPr="00F505D9">
              <w:rPr>
                <w:color w:val="auto"/>
                <w:sz w:val="28"/>
                <w:szCs w:val="28"/>
                <w:lang w:val="ro-RO"/>
              </w:rPr>
              <w:t xml:space="preserve">Şcolii de Tip Internat pentru Copii Rămași fără Ocrotire Părintească din Străşeni 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 xml:space="preserve">în gestiunea </w:t>
            </w:r>
            <w:r w:rsidR="00691360" w:rsidRPr="00F505D9">
              <w:rPr>
                <w:color w:val="auto"/>
                <w:sz w:val="28"/>
                <w:szCs w:val="28"/>
                <w:lang w:val="ro-RO"/>
              </w:rPr>
              <w:t>Instituției Publice Colegiul de Inginerie din Strășeni</w:t>
            </w:r>
            <w:r w:rsidRPr="00F505D9">
              <w:rPr>
                <w:color w:val="auto"/>
                <w:sz w:val="28"/>
                <w:szCs w:val="28"/>
                <w:lang w:val="ro-RO"/>
              </w:rPr>
              <w:t>;</w:t>
            </w:r>
          </w:p>
          <w:p w:rsidR="00B02ADA" w:rsidRPr="00F505D9" w:rsidRDefault="00305E27" w:rsidP="004C60EF">
            <w:pPr>
              <w:pStyle w:val="Default"/>
              <w:spacing w:line="276" w:lineRule="auto"/>
              <w:ind w:firstLine="37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F505D9">
              <w:rPr>
                <w:color w:val="auto"/>
                <w:sz w:val="28"/>
                <w:szCs w:val="28"/>
                <w:lang w:val="ro-RO"/>
              </w:rPr>
              <w:t xml:space="preserve">- </w:t>
            </w:r>
            <w:r w:rsidR="00A2715D" w:rsidRPr="00F505D9">
              <w:rPr>
                <w:color w:val="auto"/>
                <w:sz w:val="28"/>
                <w:szCs w:val="28"/>
                <w:lang w:val="ro-RO"/>
              </w:rPr>
              <w:t xml:space="preserve">transmiterea bunurilor imobile și mobile din </w:t>
            </w:r>
            <w:r w:rsidR="00344384" w:rsidRPr="00F505D9">
              <w:rPr>
                <w:color w:val="auto"/>
                <w:sz w:val="28"/>
                <w:szCs w:val="28"/>
                <w:lang w:val="ro-RO"/>
              </w:rPr>
              <w:t xml:space="preserve">proprietatea statului aflate în administrarea Ministerului Educației și Cercetării și </w:t>
            </w:r>
            <w:r w:rsidR="00A2715D" w:rsidRPr="00F505D9">
              <w:rPr>
                <w:color w:val="auto"/>
                <w:sz w:val="28"/>
                <w:szCs w:val="28"/>
                <w:lang w:val="ro-RO"/>
              </w:rPr>
              <w:t xml:space="preserve">gestiunea </w:t>
            </w:r>
            <w:r w:rsidR="00691360" w:rsidRPr="00F505D9">
              <w:rPr>
                <w:color w:val="auto"/>
                <w:sz w:val="28"/>
                <w:szCs w:val="28"/>
                <w:lang w:val="ro-RO"/>
              </w:rPr>
              <w:t>Şcolii-Internat Speciale pentru Copii Surzi şi Hipoacuzici din Cahul</w:t>
            </w:r>
            <w:r w:rsidR="00A2715D" w:rsidRPr="00F505D9">
              <w:rPr>
                <w:color w:val="auto"/>
                <w:sz w:val="28"/>
                <w:szCs w:val="28"/>
                <w:lang w:val="ro-RO"/>
              </w:rPr>
              <w:t xml:space="preserve"> în </w:t>
            </w:r>
            <w:r w:rsidR="00344384" w:rsidRPr="00F505D9">
              <w:rPr>
                <w:color w:val="auto"/>
                <w:sz w:val="28"/>
                <w:szCs w:val="28"/>
                <w:lang w:val="ro-RO"/>
              </w:rPr>
              <w:t>proprietatea publică a Consiliului raional Cahul</w:t>
            </w:r>
            <w:r w:rsidR="00A04A69" w:rsidRPr="00F505D9">
              <w:rPr>
                <w:color w:val="auto"/>
                <w:sz w:val="28"/>
                <w:szCs w:val="28"/>
                <w:lang w:val="ro-RO"/>
              </w:rPr>
              <w:t xml:space="preserve">. 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>5. Fundamentarea economico-financiară</w:t>
            </w:r>
          </w:p>
        </w:tc>
      </w:tr>
      <w:tr w:rsidR="007C09B3" w:rsidRPr="00F505D9" w:rsidTr="002B6606">
        <w:trPr>
          <w:trHeight w:val="424"/>
        </w:trPr>
        <w:tc>
          <w:tcPr>
            <w:tcW w:w="5000" w:type="pct"/>
          </w:tcPr>
          <w:p w:rsidR="009F3F20" w:rsidRPr="00F505D9" w:rsidRDefault="00866D4D" w:rsidP="004C60EF">
            <w:pPr>
              <w:tabs>
                <w:tab w:val="left" w:pos="5954"/>
                <w:tab w:val="left" w:pos="60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hAnsi="Times New Roman"/>
                <w:sz w:val="28"/>
                <w:szCs w:val="28"/>
              </w:rPr>
              <w:t>Implementarea prevederilor proiectului nu necesită cheltuieli financiare supli</w:t>
            </w:r>
            <w:r w:rsidR="00BF7278">
              <w:rPr>
                <w:rFonts w:ascii="Times New Roman" w:hAnsi="Times New Roman"/>
                <w:sz w:val="28"/>
                <w:szCs w:val="28"/>
              </w:rPr>
              <w:t>mentare din bugetul de stat, or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contractele de muncă a majorității personalului disponibilizat au fost încheiate pe perioad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>ă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 xml:space="preserve"> determinat</w:t>
            </w:r>
            <w:r w:rsidR="00977BF2" w:rsidRPr="00F505D9">
              <w:rPr>
                <w:rFonts w:ascii="Times New Roman" w:hAnsi="Times New Roman"/>
                <w:sz w:val="28"/>
                <w:szCs w:val="28"/>
              </w:rPr>
              <w:t>ă</w:t>
            </w:r>
            <w:r w:rsidRPr="00F505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D7101C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05D9">
              <w:rPr>
                <w:rFonts w:ascii="Times New Roman" w:hAnsi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7C09B3" w:rsidRPr="00F505D9" w:rsidTr="002B6606">
        <w:tc>
          <w:tcPr>
            <w:tcW w:w="5000" w:type="pct"/>
          </w:tcPr>
          <w:p w:rsidR="009F3F20" w:rsidRPr="00F505D9" w:rsidRDefault="009F3F20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D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Proiectul se încorporează î</w:t>
            </w:r>
            <w:r w:rsidR="00DD2FBF" w:rsidRPr="00F505D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n sistemul actelor normative și</w:t>
            </w:r>
            <w:r w:rsidR="00DD2FBF" w:rsidRPr="00F505D9">
              <w:rPr>
                <w:rFonts w:ascii="Times New Roman" w:hAnsi="Times New Roman"/>
                <w:sz w:val="28"/>
                <w:szCs w:val="28"/>
              </w:rPr>
              <w:t xml:space="preserve"> nu necesită</w:t>
            </w:r>
            <w:r w:rsidR="00D51596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FBF" w:rsidRPr="00F505D9">
              <w:rPr>
                <w:rFonts w:ascii="Times New Roman" w:hAnsi="Times New Roman"/>
                <w:sz w:val="28"/>
                <w:szCs w:val="28"/>
              </w:rPr>
              <w:t>modificarea cadrului normativ sau elaborarea unor acte normative noi.</w:t>
            </w:r>
            <w:r w:rsidR="00D51596" w:rsidRPr="00F50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D7101C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EF0CAB">
              <w:rPr>
                <w:rFonts w:ascii="Times New Roman" w:hAnsi="Times New Roman"/>
                <w:b/>
                <w:sz w:val="28"/>
                <w:szCs w:val="26"/>
              </w:rPr>
              <w:t>7. Avizarea şi consultarea publică a proiectului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EF0CAB">
              <w:rPr>
                <w:rFonts w:ascii="Times New Roman" w:hAnsi="Times New Roman"/>
                <w:sz w:val="28"/>
                <w:szCs w:val="26"/>
              </w:rPr>
              <w:t xml:space="preserve">În scopul respectării prevederilor Legii nr.239/2008 privind transparența în procesul decizional, proiectul a fost plasat pe pagina web oficială a Ministerului Educației și Cercetării </w:t>
            </w:r>
            <w:hyperlink r:id="rId8" w:history="1">
              <w:r w:rsidRPr="00EF0CAB">
                <w:rPr>
                  <w:rStyle w:val="a3"/>
                  <w:rFonts w:ascii="Times New Roman" w:hAnsi="Times New Roman"/>
                  <w:color w:val="auto"/>
                  <w:sz w:val="28"/>
                  <w:szCs w:val="26"/>
                </w:rPr>
                <w:t>www.mec.gov.md</w:t>
              </w:r>
            </w:hyperlink>
            <w:r w:rsidRPr="00EF0CAB">
              <w:rPr>
                <w:rFonts w:ascii="Times New Roman" w:hAnsi="Times New Roman"/>
                <w:sz w:val="28"/>
                <w:szCs w:val="26"/>
              </w:rPr>
              <w:t xml:space="preserve">, compartimentul Transparența decizională, precum și pe pagina web </w:t>
            </w:r>
            <w:hyperlink r:id="rId9" w:history="1">
              <w:r w:rsidRPr="00EF0CAB">
                <w:rPr>
                  <w:rStyle w:val="a3"/>
                  <w:rFonts w:ascii="Times New Roman" w:hAnsi="Times New Roman"/>
                  <w:color w:val="auto"/>
                  <w:sz w:val="28"/>
                  <w:szCs w:val="26"/>
                </w:rPr>
                <w:t>www.particip.gov.md</w:t>
              </w:r>
            </w:hyperlink>
            <w:r w:rsidRPr="00EF0CAB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D7101C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EF0CAB">
              <w:rPr>
                <w:rFonts w:ascii="Times New Roman" w:hAnsi="Times New Roman"/>
                <w:b/>
                <w:sz w:val="28"/>
                <w:szCs w:val="26"/>
              </w:rPr>
              <w:t>8. Constatările expertizei anticorupție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right="33" w:firstLine="379"/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-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D7101C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6"/>
                <w:lang w:eastAsia="ru-RU"/>
              </w:rPr>
            </w:pPr>
            <w:r w:rsidRPr="00EF0CAB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9. Constatările expertizei de compatibilitate cu legislația Uniunii Europene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6"/>
                <w:lang w:eastAsia="ru-RU"/>
              </w:rPr>
            </w:pPr>
            <w:r w:rsidRPr="00EF0CAB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6"/>
                <w:lang w:eastAsia="ru-RU"/>
              </w:rPr>
              <w:t>Proiectul nu intră în categoria actelor normative care necesită expertiza de compatibilitate cu legislația Uniunii Europene.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D7101C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</w:rPr>
            </w:pPr>
            <w:r w:rsidRPr="00EF0CAB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10. Constatările expertizei juridice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</w:rPr>
              <w:t>-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D7101C">
            <w:pPr>
              <w:tabs>
                <w:tab w:val="left" w:pos="884"/>
                <w:tab w:val="left" w:pos="1196"/>
              </w:tabs>
              <w:spacing w:after="0" w:line="276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EF0CAB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11. Constatările altor expertize</w:t>
            </w:r>
          </w:p>
        </w:tc>
      </w:tr>
      <w:tr w:rsidR="004C60EF" w:rsidRPr="00F505D9" w:rsidTr="00C71104">
        <w:tc>
          <w:tcPr>
            <w:tcW w:w="5000" w:type="pct"/>
            <w:vAlign w:val="center"/>
          </w:tcPr>
          <w:p w:rsidR="004C60EF" w:rsidRPr="00EF0CAB" w:rsidRDefault="004C60EF" w:rsidP="004C60EF">
            <w:pPr>
              <w:tabs>
                <w:tab w:val="left" w:pos="884"/>
                <w:tab w:val="left" w:pos="1196"/>
              </w:tabs>
              <w:spacing w:after="0" w:line="276" w:lineRule="auto"/>
              <w:ind w:left="29" w:right="33"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EF0CAB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Proiectul nu necesită alte expertize.</w:t>
            </w:r>
          </w:p>
        </w:tc>
      </w:tr>
    </w:tbl>
    <w:p w:rsidR="00562BBF" w:rsidRPr="00F505D9" w:rsidRDefault="00562BBF" w:rsidP="004C60E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0DE3" w:rsidRPr="00F505D9" w:rsidRDefault="009A47D6" w:rsidP="004C60E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505D9">
        <w:rPr>
          <w:rFonts w:ascii="Times New Roman" w:hAnsi="Times New Roman"/>
          <w:b/>
          <w:sz w:val="28"/>
          <w:szCs w:val="28"/>
        </w:rPr>
        <w:t>Ministru</w:t>
      </w:r>
      <w:r w:rsidRPr="00F505D9">
        <w:rPr>
          <w:rFonts w:ascii="Times New Roman" w:hAnsi="Times New Roman"/>
          <w:b/>
          <w:sz w:val="28"/>
          <w:szCs w:val="28"/>
        </w:rPr>
        <w:tab/>
      </w:r>
      <w:r w:rsidRPr="00F505D9">
        <w:rPr>
          <w:rFonts w:ascii="Times New Roman" w:hAnsi="Times New Roman"/>
          <w:b/>
          <w:sz w:val="28"/>
          <w:szCs w:val="28"/>
        </w:rPr>
        <w:tab/>
      </w:r>
      <w:r w:rsidRPr="00F505D9">
        <w:rPr>
          <w:rFonts w:ascii="Times New Roman" w:hAnsi="Times New Roman"/>
          <w:b/>
          <w:sz w:val="28"/>
          <w:szCs w:val="28"/>
        </w:rPr>
        <w:tab/>
      </w:r>
      <w:r w:rsidRPr="00F505D9">
        <w:rPr>
          <w:rFonts w:ascii="Times New Roman" w:hAnsi="Times New Roman"/>
          <w:b/>
          <w:sz w:val="28"/>
          <w:szCs w:val="28"/>
        </w:rPr>
        <w:tab/>
      </w:r>
      <w:r w:rsidRPr="00F505D9">
        <w:rPr>
          <w:rFonts w:ascii="Times New Roman" w:hAnsi="Times New Roman"/>
          <w:b/>
          <w:sz w:val="28"/>
          <w:szCs w:val="28"/>
        </w:rPr>
        <w:tab/>
      </w:r>
      <w:r w:rsidR="00062851" w:rsidRPr="00F505D9">
        <w:rPr>
          <w:rFonts w:ascii="Times New Roman" w:hAnsi="Times New Roman"/>
          <w:b/>
          <w:sz w:val="28"/>
          <w:szCs w:val="28"/>
        </w:rPr>
        <w:t>Anatolie TOPALĂ</w:t>
      </w:r>
    </w:p>
    <w:p w:rsidR="00D7101C" w:rsidRDefault="00D7101C" w:rsidP="004C60EF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D7101C" w:rsidRDefault="00D7101C" w:rsidP="004C60EF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BA0DE3" w:rsidRPr="00BA0DE3" w:rsidRDefault="00F1237E" w:rsidP="004C60EF">
      <w:pPr>
        <w:spacing w:after="0"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</w:t>
      </w:r>
      <w:r w:rsidR="00BA0DE3" w:rsidRPr="00BA0DE3">
        <w:rPr>
          <w:rFonts w:ascii="Times New Roman" w:hAnsi="Times New Roman"/>
          <w:sz w:val="18"/>
          <w:szCs w:val="18"/>
        </w:rPr>
        <w:t>x</w:t>
      </w:r>
      <w:r>
        <w:rPr>
          <w:rFonts w:ascii="Times New Roman" w:hAnsi="Times New Roman"/>
          <w:sz w:val="18"/>
          <w:szCs w:val="18"/>
        </w:rPr>
        <w:t>.</w:t>
      </w:r>
      <w:r w:rsidR="00BA0DE3" w:rsidRPr="00BA0DE3">
        <w:rPr>
          <w:rFonts w:ascii="Times New Roman" w:hAnsi="Times New Roman"/>
          <w:sz w:val="18"/>
          <w:szCs w:val="18"/>
        </w:rPr>
        <w:t>: Ana Berghi,</w:t>
      </w:r>
      <w:r w:rsidR="00D7101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tel. </w:t>
      </w:r>
      <w:r w:rsidR="00D7101C">
        <w:rPr>
          <w:rFonts w:ascii="Times New Roman" w:hAnsi="Times New Roman"/>
          <w:sz w:val="18"/>
          <w:szCs w:val="18"/>
        </w:rPr>
        <w:t>02223</w:t>
      </w:r>
      <w:r w:rsidR="00BA0DE3" w:rsidRPr="00BA0DE3">
        <w:rPr>
          <w:rFonts w:ascii="Times New Roman" w:hAnsi="Times New Roman"/>
          <w:sz w:val="18"/>
          <w:szCs w:val="18"/>
        </w:rPr>
        <w:t>3678</w:t>
      </w:r>
    </w:p>
    <w:p w:rsidR="009A47D6" w:rsidRPr="00BA0DE3" w:rsidRDefault="00F1237E" w:rsidP="004C60EF">
      <w:pPr>
        <w:spacing w:after="0"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</w:t>
      </w:r>
      <w:r w:rsidR="00BA0DE3" w:rsidRPr="00BA0DE3">
        <w:rPr>
          <w:rFonts w:ascii="Times New Roman" w:hAnsi="Times New Roman"/>
          <w:sz w:val="18"/>
          <w:szCs w:val="18"/>
        </w:rPr>
        <w:t xml:space="preserve">-mail: </w:t>
      </w:r>
      <w:hyperlink r:id="rId10" w:history="1">
        <w:r w:rsidR="00BA0DE3" w:rsidRPr="00BA0DE3">
          <w:rPr>
            <w:rStyle w:val="a3"/>
            <w:rFonts w:ascii="Times New Roman" w:hAnsi="Times New Roman"/>
            <w:sz w:val="18"/>
            <w:szCs w:val="18"/>
          </w:rPr>
          <w:t>ana.berghi@mec.gov.md</w:t>
        </w:r>
      </w:hyperlink>
    </w:p>
    <w:sectPr w:rsidR="009A47D6" w:rsidRPr="00BA0DE3" w:rsidSect="00D7101C">
      <w:footerReference w:type="default" r:id="rId11"/>
      <w:pgSz w:w="11906" w:h="16838"/>
      <w:pgMar w:top="993" w:right="85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39" w:rsidRDefault="000C2539" w:rsidP="009F3F20">
      <w:pPr>
        <w:spacing w:after="0" w:line="240" w:lineRule="auto"/>
      </w:pPr>
      <w:r>
        <w:separator/>
      </w:r>
    </w:p>
  </w:endnote>
  <w:endnote w:type="continuationSeparator" w:id="0">
    <w:p w:rsidR="000C2539" w:rsidRDefault="000C2539" w:rsidP="009F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0DF" w:rsidRPr="00BB399A" w:rsidRDefault="001F20DF" w:rsidP="00BB399A">
    <w:pPr>
      <w:pStyle w:val="a6"/>
      <w:jc w:val="right"/>
      <w:rPr>
        <w:rFonts w:ascii="Times New Roman" w:hAnsi="Times New Roman"/>
      </w:rPr>
    </w:pPr>
    <w:r w:rsidRPr="001F20DF">
      <w:rPr>
        <w:rFonts w:ascii="Times New Roman" w:hAnsi="Times New Roman"/>
      </w:rPr>
      <w:t>Pag.</w:t>
    </w:r>
    <w:r w:rsidRPr="001F20DF">
      <w:rPr>
        <w:rFonts w:ascii="Times New Roman" w:hAnsi="Times New Roman"/>
        <w:lang w:val="ru-RU"/>
      </w:rPr>
      <w:t xml:space="preserve"> </w:t>
    </w:r>
    <w:r w:rsidRPr="001F20DF">
      <w:rPr>
        <w:rFonts w:ascii="Times New Roman" w:hAnsi="Times New Roman"/>
        <w:bCs/>
        <w:sz w:val="24"/>
        <w:szCs w:val="24"/>
      </w:rPr>
      <w:fldChar w:fldCharType="begin"/>
    </w:r>
    <w:r w:rsidRPr="001F20DF">
      <w:rPr>
        <w:rFonts w:ascii="Times New Roman" w:hAnsi="Times New Roman"/>
        <w:bCs/>
      </w:rPr>
      <w:instrText>PAGE</w:instrText>
    </w:r>
    <w:r w:rsidRPr="001F20DF">
      <w:rPr>
        <w:rFonts w:ascii="Times New Roman" w:hAnsi="Times New Roman"/>
        <w:bCs/>
        <w:sz w:val="24"/>
        <w:szCs w:val="24"/>
      </w:rPr>
      <w:fldChar w:fldCharType="separate"/>
    </w:r>
    <w:r w:rsidR="00661738">
      <w:rPr>
        <w:rFonts w:ascii="Times New Roman" w:hAnsi="Times New Roman"/>
        <w:bCs/>
        <w:noProof/>
      </w:rPr>
      <w:t>2</w:t>
    </w:r>
    <w:r w:rsidRPr="001F20DF">
      <w:rPr>
        <w:rFonts w:ascii="Times New Roman" w:hAnsi="Times New Roman"/>
        <w:bCs/>
        <w:sz w:val="24"/>
        <w:szCs w:val="24"/>
      </w:rPr>
      <w:fldChar w:fldCharType="end"/>
    </w:r>
    <w:r w:rsidRPr="001F20DF">
      <w:rPr>
        <w:rFonts w:ascii="Times New Roman" w:hAnsi="Times New Roman"/>
      </w:rPr>
      <w:t>/</w:t>
    </w:r>
    <w:r w:rsidRPr="001F20DF">
      <w:rPr>
        <w:rFonts w:ascii="Times New Roman" w:hAnsi="Times New Roman"/>
        <w:bCs/>
        <w:sz w:val="24"/>
        <w:szCs w:val="24"/>
      </w:rPr>
      <w:fldChar w:fldCharType="begin"/>
    </w:r>
    <w:r w:rsidRPr="001F20DF">
      <w:rPr>
        <w:rFonts w:ascii="Times New Roman" w:hAnsi="Times New Roman"/>
        <w:bCs/>
      </w:rPr>
      <w:instrText>NUMPAGES</w:instrText>
    </w:r>
    <w:r w:rsidRPr="001F20DF">
      <w:rPr>
        <w:rFonts w:ascii="Times New Roman" w:hAnsi="Times New Roman"/>
        <w:bCs/>
        <w:sz w:val="24"/>
        <w:szCs w:val="24"/>
      </w:rPr>
      <w:fldChar w:fldCharType="separate"/>
    </w:r>
    <w:r w:rsidR="00661738">
      <w:rPr>
        <w:rFonts w:ascii="Times New Roman" w:hAnsi="Times New Roman"/>
        <w:bCs/>
        <w:noProof/>
      </w:rPr>
      <w:t>3</w:t>
    </w:r>
    <w:r w:rsidRPr="001F20D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39" w:rsidRDefault="000C2539" w:rsidP="009F3F20">
      <w:pPr>
        <w:spacing w:after="0" w:line="240" w:lineRule="auto"/>
      </w:pPr>
      <w:r>
        <w:separator/>
      </w:r>
    </w:p>
  </w:footnote>
  <w:footnote w:type="continuationSeparator" w:id="0">
    <w:p w:rsidR="000C2539" w:rsidRDefault="000C2539" w:rsidP="009F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65DC"/>
    <w:multiLevelType w:val="hybridMultilevel"/>
    <w:tmpl w:val="17A21BF2"/>
    <w:lvl w:ilvl="0" w:tplc="080AAEA8">
      <w:start w:val="6"/>
      <w:numFmt w:val="bullet"/>
      <w:lvlText w:val="-"/>
      <w:lvlJc w:val="left"/>
      <w:pPr>
        <w:ind w:left="791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23B458AA"/>
    <w:multiLevelType w:val="hybridMultilevel"/>
    <w:tmpl w:val="612E9B28"/>
    <w:lvl w:ilvl="0" w:tplc="F9B64654">
      <w:start w:val="19"/>
      <w:numFmt w:val="bullet"/>
      <w:lvlText w:val="-"/>
      <w:lvlJc w:val="left"/>
      <w:pPr>
        <w:ind w:left="67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">
    <w:nsid w:val="39B22ADC"/>
    <w:multiLevelType w:val="hybridMultilevel"/>
    <w:tmpl w:val="FB30EC20"/>
    <w:lvl w:ilvl="0" w:tplc="DB1E9E0E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4612675C"/>
    <w:multiLevelType w:val="hybridMultilevel"/>
    <w:tmpl w:val="05D6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55316"/>
    <w:multiLevelType w:val="hybridMultilevel"/>
    <w:tmpl w:val="939C6F26"/>
    <w:lvl w:ilvl="0" w:tplc="9E8844CE">
      <w:start w:val="1"/>
      <w:numFmt w:val="bullet"/>
      <w:lvlText w:val="–"/>
      <w:lvlJc w:val="left"/>
      <w:pPr>
        <w:ind w:left="502" w:hanging="360"/>
      </w:pPr>
      <w:rPr>
        <w:rFonts w:ascii="Arial" w:hAnsi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70381"/>
    <w:multiLevelType w:val="hybridMultilevel"/>
    <w:tmpl w:val="880E0D4C"/>
    <w:lvl w:ilvl="0" w:tplc="E68AE20C">
      <w:numFmt w:val="bullet"/>
      <w:lvlText w:val="-"/>
      <w:lvlJc w:val="left"/>
      <w:pPr>
        <w:ind w:left="67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6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A8"/>
    <w:rsid w:val="00002651"/>
    <w:rsid w:val="0000467A"/>
    <w:rsid w:val="0000601C"/>
    <w:rsid w:val="000171E3"/>
    <w:rsid w:val="000267FE"/>
    <w:rsid w:val="00056089"/>
    <w:rsid w:val="00062407"/>
    <w:rsid w:val="00062851"/>
    <w:rsid w:val="00070143"/>
    <w:rsid w:val="000704E5"/>
    <w:rsid w:val="000810F2"/>
    <w:rsid w:val="000A27E6"/>
    <w:rsid w:val="000B309F"/>
    <w:rsid w:val="000B4EDB"/>
    <w:rsid w:val="000C0329"/>
    <w:rsid w:val="000C2539"/>
    <w:rsid w:val="000C4548"/>
    <w:rsid w:val="000D5A6D"/>
    <w:rsid w:val="000D6A82"/>
    <w:rsid w:val="000E38FC"/>
    <w:rsid w:val="00106017"/>
    <w:rsid w:val="00116621"/>
    <w:rsid w:val="00120E57"/>
    <w:rsid w:val="00133922"/>
    <w:rsid w:val="00143F45"/>
    <w:rsid w:val="001458B2"/>
    <w:rsid w:val="00153C8B"/>
    <w:rsid w:val="00164038"/>
    <w:rsid w:val="00167924"/>
    <w:rsid w:val="0017263E"/>
    <w:rsid w:val="00184E66"/>
    <w:rsid w:val="00192B8C"/>
    <w:rsid w:val="001932CF"/>
    <w:rsid w:val="00193492"/>
    <w:rsid w:val="001A182D"/>
    <w:rsid w:val="001A7BE2"/>
    <w:rsid w:val="001E2B65"/>
    <w:rsid w:val="001F20DF"/>
    <w:rsid w:val="001F417A"/>
    <w:rsid w:val="002000A1"/>
    <w:rsid w:val="002074D8"/>
    <w:rsid w:val="00227376"/>
    <w:rsid w:val="002502E6"/>
    <w:rsid w:val="002725F5"/>
    <w:rsid w:val="00286379"/>
    <w:rsid w:val="00293A36"/>
    <w:rsid w:val="002A6CB6"/>
    <w:rsid w:val="002A76D5"/>
    <w:rsid w:val="002B6606"/>
    <w:rsid w:val="002C0F19"/>
    <w:rsid w:val="002C4469"/>
    <w:rsid w:val="002C482E"/>
    <w:rsid w:val="002D46D3"/>
    <w:rsid w:val="002D67A0"/>
    <w:rsid w:val="002F0344"/>
    <w:rsid w:val="002F5C89"/>
    <w:rsid w:val="00305859"/>
    <w:rsid w:val="00305E27"/>
    <w:rsid w:val="00311577"/>
    <w:rsid w:val="00311FC1"/>
    <w:rsid w:val="00315A95"/>
    <w:rsid w:val="00335A77"/>
    <w:rsid w:val="00337055"/>
    <w:rsid w:val="00344384"/>
    <w:rsid w:val="00345FB9"/>
    <w:rsid w:val="00352395"/>
    <w:rsid w:val="00356B44"/>
    <w:rsid w:val="00361965"/>
    <w:rsid w:val="0036615C"/>
    <w:rsid w:val="00372B4E"/>
    <w:rsid w:val="00374B43"/>
    <w:rsid w:val="0038195B"/>
    <w:rsid w:val="003841C6"/>
    <w:rsid w:val="00384D7A"/>
    <w:rsid w:val="0039236B"/>
    <w:rsid w:val="003962DF"/>
    <w:rsid w:val="003C103B"/>
    <w:rsid w:val="003C5DED"/>
    <w:rsid w:val="003D7A41"/>
    <w:rsid w:val="003E2406"/>
    <w:rsid w:val="003E63A2"/>
    <w:rsid w:val="003F0A69"/>
    <w:rsid w:val="004209B4"/>
    <w:rsid w:val="004518BF"/>
    <w:rsid w:val="00456180"/>
    <w:rsid w:val="0048304A"/>
    <w:rsid w:val="0049459F"/>
    <w:rsid w:val="004A0753"/>
    <w:rsid w:val="004A3B75"/>
    <w:rsid w:val="004A652A"/>
    <w:rsid w:val="004C0084"/>
    <w:rsid w:val="004C2C22"/>
    <w:rsid w:val="004C46D2"/>
    <w:rsid w:val="004C60EF"/>
    <w:rsid w:val="004D0D0B"/>
    <w:rsid w:val="004D3D19"/>
    <w:rsid w:val="004D5467"/>
    <w:rsid w:val="004E4525"/>
    <w:rsid w:val="004F0FF7"/>
    <w:rsid w:val="004F43EC"/>
    <w:rsid w:val="004F69F4"/>
    <w:rsid w:val="004F7A4C"/>
    <w:rsid w:val="005127E2"/>
    <w:rsid w:val="00512CFB"/>
    <w:rsid w:val="00512F0F"/>
    <w:rsid w:val="0051377F"/>
    <w:rsid w:val="00516181"/>
    <w:rsid w:val="00517AB6"/>
    <w:rsid w:val="005373A8"/>
    <w:rsid w:val="00547509"/>
    <w:rsid w:val="00547848"/>
    <w:rsid w:val="0055581A"/>
    <w:rsid w:val="00556F2D"/>
    <w:rsid w:val="00561A82"/>
    <w:rsid w:val="00562523"/>
    <w:rsid w:val="00562BBF"/>
    <w:rsid w:val="0056550D"/>
    <w:rsid w:val="00567B57"/>
    <w:rsid w:val="00571201"/>
    <w:rsid w:val="00577445"/>
    <w:rsid w:val="00580502"/>
    <w:rsid w:val="00582065"/>
    <w:rsid w:val="00583C75"/>
    <w:rsid w:val="005A43CC"/>
    <w:rsid w:val="005C1F8D"/>
    <w:rsid w:val="005C7E27"/>
    <w:rsid w:val="005D6732"/>
    <w:rsid w:val="005E0C10"/>
    <w:rsid w:val="005E3F39"/>
    <w:rsid w:val="005E5774"/>
    <w:rsid w:val="005E57F9"/>
    <w:rsid w:val="00620CE6"/>
    <w:rsid w:val="00621851"/>
    <w:rsid w:val="00661738"/>
    <w:rsid w:val="00664829"/>
    <w:rsid w:val="00666128"/>
    <w:rsid w:val="00666DA2"/>
    <w:rsid w:val="0068425A"/>
    <w:rsid w:val="00691360"/>
    <w:rsid w:val="006A0CD7"/>
    <w:rsid w:val="006A5BE2"/>
    <w:rsid w:val="006B35AD"/>
    <w:rsid w:val="006C5A74"/>
    <w:rsid w:val="006D5085"/>
    <w:rsid w:val="006E0AAA"/>
    <w:rsid w:val="006F0FE9"/>
    <w:rsid w:val="006F35AE"/>
    <w:rsid w:val="006F4D8C"/>
    <w:rsid w:val="00702591"/>
    <w:rsid w:val="00703EC6"/>
    <w:rsid w:val="0070747E"/>
    <w:rsid w:val="00707D1D"/>
    <w:rsid w:val="00727ABC"/>
    <w:rsid w:val="00727E46"/>
    <w:rsid w:val="00753802"/>
    <w:rsid w:val="00787776"/>
    <w:rsid w:val="00796219"/>
    <w:rsid w:val="00796502"/>
    <w:rsid w:val="00796E8E"/>
    <w:rsid w:val="007C09B3"/>
    <w:rsid w:val="007C60A0"/>
    <w:rsid w:val="007D5F1A"/>
    <w:rsid w:val="007E0E2D"/>
    <w:rsid w:val="007E4801"/>
    <w:rsid w:val="007E56A3"/>
    <w:rsid w:val="007F2CC4"/>
    <w:rsid w:val="007F517E"/>
    <w:rsid w:val="007F7298"/>
    <w:rsid w:val="0081008D"/>
    <w:rsid w:val="00812267"/>
    <w:rsid w:val="00834868"/>
    <w:rsid w:val="008439F5"/>
    <w:rsid w:val="00845BC4"/>
    <w:rsid w:val="00850550"/>
    <w:rsid w:val="0085177C"/>
    <w:rsid w:val="008535BA"/>
    <w:rsid w:val="00856F2B"/>
    <w:rsid w:val="008652F9"/>
    <w:rsid w:val="00866D4D"/>
    <w:rsid w:val="00870B73"/>
    <w:rsid w:val="008721BB"/>
    <w:rsid w:val="00873D53"/>
    <w:rsid w:val="008768EE"/>
    <w:rsid w:val="00876A89"/>
    <w:rsid w:val="00880098"/>
    <w:rsid w:val="008820E4"/>
    <w:rsid w:val="00882A05"/>
    <w:rsid w:val="008875AC"/>
    <w:rsid w:val="008928FC"/>
    <w:rsid w:val="008A5B8B"/>
    <w:rsid w:val="008A5C9D"/>
    <w:rsid w:val="008C7384"/>
    <w:rsid w:val="008D0877"/>
    <w:rsid w:val="008E1005"/>
    <w:rsid w:val="008F6EC1"/>
    <w:rsid w:val="0091002C"/>
    <w:rsid w:val="00911988"/>
    <w:rsid w:val="00912D11"/>
    <w:rsid w:val="0092287B"/>
    <w:rsid w:val="009301BB"/>
    <w:rsid w:val="0094030F"/>
    <w:rsid w:val="00956C87"/>
    <w:rsid w:val="00977BF2"/>
    <w:rsid w:val="00984365"/>
    <w:rsid w:val="00984989"/>
    <w:rsid w:val="009907EC"/>
    <w:rsid w:val="009928A0"/>
    <w:rsid w:val="009A36B7"/>
    <w:rsid w:val="009A47D6"/>
    <w:rsid w:val="009B0292"/>
    <w:rsid w:val="009C3632"/>
    <w:rsid w:val="009C6771"/>
    <w:rsid w:val="009C7173"/>
    <w:rsid w:val="009D0598"/>
    <w:rsid w:val="009D54EE"/>
    <w:rsid w:val="009D6538"/>
    <w:rsid w:val="009D6D9F"/>
    <w:rsid w:val="009E67AC"/>
    <w:rsid w:val="009F14D7"/>
    <w:rsid w:val="009F3BF0"/>
    <w:rsid w:val="009F3F20"/>
    <w:rsid w:val="00A04A69"/>
    <w:rsid w:val="00A05CAE"/>
    <w:rsid w:val="00A2715D"/>
    <w:rsid w:val="00A30DE7"/>
    <w:rsid w:val="00A3550B"/>
    <w:rsid w:val="00A41B38"/>
    <w:rsid w:val="00A44B1E"/>
    <w:rsid w:val="00A602D8"/>
    <w:rsid w:val="00A61AF7"/>
    <w:rsid w:val="00A65763"/>
    <w:rsid w:val="00A6777A"/>
    <w:rsid w:val="00A6786B"/>
    <w:rsid w:val="00A70051"/>
    <w:rsid w:val="00A7253D"/>
    <w:rsid w:val="00A7696F"/>
    <w:rsid w:val="00A81C30"/>
    <w:rsid w:val="00A833EB"/>
    <w:rsid w:val="00A946E5"/>
    <w:rsid w:val="00AA1997"/>
    <w:rsid w:val="00AB5DF7"/>
    <w:rsid w:val="00AC29A1"/>
    <w:rsid w:val="00AC338E"/>
    <w:rsid w:val="00AE60BF"/>
    <w:rsid w:val="00B02ADA"/>
    <w:rsid w:val="00B24351"/>
    <w:rsid w:val="00B40563"/>
    <w:rsid w:val="00B600B7"/>
    <w:rsid w:val="00B630F7"/>
    <w:rsid w:val="00B64E08"/>
    <w:rsid w:val="00B93D61"/>
    <w:rsid w:val="00B94D51"/>
    <w:rsid w:val="00BA0DE3"/>
    <w:rsid w:val="00BA2DAA"/>
    <w:rsid w:val="00BB06F9"/>
    <w:rsid w:val="00BB399A"/>
    <w:rsid w:val="00BC1332"/>
    <w:rsid w:val="00BC47C3"/>
    <w:rsid w:val="00BF2690"/>
    <w:rsid w:val="00BF7278"/>
    <w:rsid w:val="00BF76F5"/>
    <w:rsid w:val="00C027AD"/>
    <w:rsid w:val="00C12086"/>
    <w:rsid w:val="00C1669D"/>
    <w:rsid w:val="00C24320"/>
    <w:rsid w:val="00C315D0"/>
    <w:rsid w:val="00C50534"/>
    <w:rsid w:val="00C65272"/>
    <w:rsid w:val="00C66FA4"/>
    <w:rsid w:val="00C74712"/>
    <w:rsid w:val="00C806EC"/>
    <w:rsid w:val="00C8770A"/>
    <w:rsid w:val="00C94EAF"/>
    <w:rsid w:val="00C9691C"/>
    <w:rsid w:val="00CA1ACC"/>
    <w:rsid w:val="00CB0E78"/>
    <w:rsid w:val="00CB5E46"/>
    <w:rsid w:val="00CD1F3D"/>
    <w:rsid w:val="00CE0C0E"/>
    <w:rsid w:val="00D130CA"/>
    <w:rsid w:val="00D2364D"/>
    <w:rsid w:val="00D27109"/>
    <w:rsid w:val="00D334E6"/>
    <w:rsid w:val="00D340C3"/>
    <w:rsid w:val="00D420F9"/>
    <w:rsid w:val="00D51596"/>
    <w:rsid w:val="00D7101C"/>
    <w:rsid w:val="00D748EC"/>
    <w:rsid w:val="00D7504D"/>
    <w:rsid w:val="00D76AC8"/>
    <w:rsid w:val="00DB3BD0"/>
    <w:rsid w:val="00DC3CC6"/>
    <w:rsid w:val="00DC7B52"/>
    <w:rsid w:val="00DD2FBF"/>
    <w:rsid w:val="00DF3852"/>
    <w:rsid w:val="00DF7693"/>
    <w:rsid w:val="00E01BFA"/>
    <w:rsid w:val="00E07662"/>
    <w:rsid w:val="00E22828"/>
    <w:rsid w:val="00E22E56"/>
    <w:rsid w:val="00E373C4"/>
    <w:rsid w:val="00E50239"/>
    <w:rsid w:val="00E6403B"/>
    <w:rsid w:val="00E7343A"/>
    <w:rsid w:val="00EA3E30"/>
    <w:rsid w:val="00ED1A52"/>
    <w:rsid w:val="00ED2894"/>
    <w:rsid w:val="00F11B8E"/>
    <w:rsid w:val="00F1237E"/>
    <w:rsid w:val="00F17A2A"/>
    <w:rsid w:val="00F253FF"/>
    <w:rsid w:val="00F3682A"/>
    <w:rsid w:val="00F44002"/>
    <w:rsid w:val="00F454A5"/>
    <w:rsid w:val="00F505D9"/>
    <w:rsid w:val="00F52ED1"/>
    <w:rsid w:val="00F55E53"/>
    <w:rsid w:val="00F56FB0"/>
    <w:rsid w:val="00F74962"/>
    <w:rsid w:val="00F80BE6"/>
    <w:rsid w:val="00F905AB"/>
    <w:rsid w:val="00F9432B"/>
    <w:rsid w:val="00F94B73"/>
    <w:rsid w:val="00F951FE"/>
    <w:rsid w:val="00FA1B9D"/>
    <w:rsid w:val="00FA2FC8"/>
    <w:rsid w:val="00FA4D97"/>
    <w:rsid w:val="00FC053A"/>
    <w:rsid w:val="00FC191F"/>
    <w:rsid w:val="00FC1FE1"/>
    <w:rsid w:val="00FD1C1A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6FEC2-348C-4022-BB01-48E2B93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20"/>
    <w:pPr>
      <w:spacing w:after="160" w:line="259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3F2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F3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9F3F20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F3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9F3F20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0704E5"/>
    <w:pPr>
      <w:ind w:left="720"/>
      <w:contextualSpacing/>
    </w:pPr>
  </w:style>
  <w:style w:type="paragraph" w:customStyle="1" w:styleId="Default">
    <w:name w:val="Default"/>
    <w:rsid w:val="00A04A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B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c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a.berghi@mec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DA15-E323-481C-A018-EBCCF8E3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7728</CharactersWithSpaces>
  <SharedDoc>false</SharedDoc>
  <HLinks>
    <vt:vector size="12" baseType="variant"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http://www.particip.gov.md/</vt:lpwstr>
      </vt:variant>
      <vt:variant>
        <vt:lpwstr/>
      </vt:variant>
      <vt:variant>
        <vt:i4>3014698</vt:i4>
      </vt:variant>
      <vt:variant>
        <vt:i4>0</vt:i4>
      </vt:variant>
      <vt:variant>
        <vt:i4>0</vt:i4>
      </vt:variant>
      <vt:variant>
        <vt:i4>5</vt:i4>
      </vt:variant>
      <vt:variant>
        <vt:lpwstr>http://www.mecc.gov.md/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cp:lastModifiedBy>Vasile Secrieru MEC</cp:lastModifiedBy>
  <cp:revision>27</cp:revision>
  <cp:lastPrinted>2021-11-19T08:43:00Z</cp:lastPrinted>
  <dcterms:created xsi:type="dcterms:W3CDTF">2021-11-18T19:30:00Z</dcterms:created>
  <dcterms:modified xsi:type="dcterms:W3CDTF">2022-09-14T07:22:00Z</dcterms:modified>
</cp:coreProperties>
</file>