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C55" w:rsidRPr="00F02AB9" w:rsidRDefault="003C5C55" w:rsidP="003C5C55">
      <w:pPr>
        <w:spacing w:after="0" w:line="240" w:lineRule="auto"/>
        <w:ind w:left="425" w:right="142"/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F02AB9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Notă informativă</w:t>
      </w:r>
    </w:p>
    <w:p w:rsidR="00D74E32" w:rsidRDefault="003C5C55" w:rsidP="003C5C55">
      <w:pPr>
        <w:spacing w:after="0" w:line="240" w:lineRule="auto"/>
        <w:ind w:right="142"/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F02AB9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la proiectul Hotărârii Guvernului </w:t>
      </w:r>
    </w:p>
    <w:p w:rsidR="003C5C55" w:rsidRPr="00F02AB9" w:rsidRDefault="003C5C55" w:rsidP="003C5C55">
      <w:pPr>
        <w:spacing w:after="0" w:line="240" w:lineRule="auto"/>
        <w:ind w:right="142"/>
        <w:jc w:val="center"/>
        <w:rPr>
          <w:rFonts w:ascii="Times New Roman" w:hAnsi="Times New Roman"/>
          <w:b/>
          <w:i/>
          <w:sz w:val="28"/>
          <w:szCs w:val="28"/>
          <w:lang w:val="ro-MD"/>
        </w:rPr>
      </w:pPr>
      <w:r w:rsidRPr="00F02AB9">
        <w:rPr>
          <w:rFonts w:ascii="Times New Roman" w:eastAsia="Times New Roman" w:hAnsi="Times New Roman"/>
          <w:b/>
          <w:i/>
          <w:sz w:val="28"/>
          <w:szCs w:val="28"/>
          <w:lang w:val="ro-MD" w:eastAsia="ru-RU"/>
        </w:rPr>
        <w:t xml:space="preserve">cu privire la modificarea </w:t>
      </w:r>
      <w:r w:rsidR="0040129A">
        <w:rPr>
          <w:rFonts w:ascii="Times New Roman" w:eastAsia="Times New Roman" w:hAnsi="Times New Roman"/>
          <w:b/>
          <w:i/>
          <w:sz w:val="28"/>
          <w:szCs w:val="28"/>
          <w:lang w:val="ro-MD" w:eastAsia="ru-RU"/>
        </w:rPr>
        <w:t>efectivului-limită al unor instituții publice</w:t>
      </w:r>
    </w:p>
    <w:p w:rsidR="003C5C55" w:rsidRPr="00F02AB9" w:rsidRDefault="003C5C55" w:rsidP="003C5C55">
      <w:pPr>
        <w:shd w:val="clear" w:color="auto" w:fill="FFFFFF"/>
        <w:spacing w:after="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tbl>
      <w:tblPr>
        <w:tblpPr w:leftFromText="180" w:rightFromText="180" w:vertAnchor="text" w:tblpY="1"/>
        <w:tblOverlap w:val="never"/>
        <w:tblW w:w="492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3C5C55" w:rsidRPr="00D74E32" w:rsidTr="00372304">
        <w:trPr>
          <w:tblCellSpacing w:w="15" w:type="dxa"/>
        </w:trPr>
        <w:tc>
          <w:tcPr>
            <w:tcW w:w="496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C5C55" w:rsidRPr="00F02AB9" w:rsidRDefault="003C5C55" w:rsidP="00372304">
            <w:pPr>
              <w:tabs>
                <w:tab w:val="left" w:pos="9027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F02AB9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 xml:space="preserve">1. Denumirea autorului şi, după caz, a participanţilor la elaborarea proiectului </w:t>
            </w:r>
          </w:p>
        </w:tc>
      </w:tr>
      <w:tr w:rsidR="003C5C55" w:rsidRPr="00D74E32" w:rsidTr="00372304">
        <w:trPr>
          <w:tblCellSpacing w:w="15" w:type="dxa"/>
        </w:trPr>
        <w:tc>
          <w:tcPr>
            <w:tcW w:w="496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C5C55" w:rsidRPr="00F02AB9" w:rsidRDefault="003C5C55" w:rsidP="0040129A">
            <w:pPr>
              <w:tabs>
                <w:tab w:val="left" w:pos="9027"/>
              </w:tabs>
              <w:spacing w:after="0" w:line="240" w:lineRule="auto"/>
              <w:ind w:left="97" w:right="-108" w:firstLine="540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F02AB9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 xml:space="preserve">Proiectul Hotărârii Guvernului </w:t>
            </w:r>
            <w:r w:rsidRPr="00F02AB9">
              <w:rPr>
                <w:rFonts w:ascii="Times New Roman" w:eastAsia="Times New Roman" w:hAnsi="Times New Roman"/>
                <w:i/>
                <w:noProof/>
                <w:sz w:val="28"/>
                <w:szCs w:val="28"/>
                <w:lang w:val="ro-MD" w:eastAsia="ru-RU"/>
              </w:rPr>
              <w:t xml:space="preserve">cu privire la modificarea </w:t>
            </w:r>
            <w:r w:rsidR="0040129A">
              <w:rPr>
                <w:rFonts w:ascii="Times New Roman" w:eastAsia="Times New Roman" w:hAnsi="Times New Roman"/>
                <w:i/>
                <w:noProof/>
                <w:sz w:val="28"/>
                <w:szCs w:val="28"/>
                <w:lang w:val="ro-MD" w:eastAsia="ru-RU"/>
              </w:rPr>
              <w:t>efectivului limită al unor instituții publice</w:t>
            </w: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F02AB9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a fost elaborat de către Ministerul Culturii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, în baza scrisorii Direcției Generale pentru administrarea clădirilor Guvernului Republicii Moldova nr.577-04 din 05 mai 2022</w:t>
            </w:r>
            <w:r w:rsidRPr="00F02AB9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.</w:t>
            </w:r>
          </w:p>
        </w:tc>
      </w:tr>
      <w:tr w:rsidR="003C5C55" w:rsidRPr="00D74E32" w:rsidTr="00372304">
        <w:trPr>
          <w:tblCellSpacing w:w="15" w:type="dxa"/>
        </w:trPr>
        <w:tc>
          <w:tcPr>
            <w:tcW w:w="496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C5C55" w:rsidRPr="00F02AB9" w:rsidRDefault="003C5C55" w:rsidP="00372304">
            <w:pPr>
              <w:tabs>
                <w:tab w:val="left" w:pos="9027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F02AB9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2. Condiţiile ce au impus elaborarea proiectului de act normativ şi finalităţile urmărite</w:t>
            </w:r>
          </w:p>
        </w:tc>
      </w:tr>
      <w:tr w:rsidR="003C5C55" w:rsidRPr="00D74E32" w:rsidTr="00372304">
        <w:trPr>
          <w:tblCellSpacing w:w="15" w:type="dxa"/>
        </w:trPr>
        <w:tc>
          <w:tcPr>
            <w:tcW w:w="496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C5C55" w:rsidRPr="00F02AB9" w:rsidRDefault="003C5C55" w:rsidP="00372304">
            <w:pPr>
              <w:tabs>
                <w:tab w:val="left" w:pos="9027"/>
              </w:tabs>
              <w:spacing w:after="0" w:line="240" w:lineRule="auto"/>
              <w:ind w:left="97" w:right="-109"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Prin Hotărârea Guvernului nr.136/2022 </w:t>
            </w:r>
            <w:r w:rsidRPr="00F02AB9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 xml:space="preserve">cu privire la transmiterea </w:t>
            </w: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>unor bunuri imobile și modificarea unor hotărâri ale Guvernului s-a dispus transmiterea în gestiunea Instituției Publice „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Muzeul Național de Literatură „Mihail Kogălniceanu</w:t>
            </w: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>” a terenului cu nr. cadastral 0100202017 din mun. Chișinău str. Alexei Mateevici, nr.79 și a 4 construcții amplasare pe acesta.</w:t>
            </w:r>
          </w:p>
          <w:p w:rsidR="003C5C55" w:rsidRPr="00F02AB9" w:rsidRDefault="003C5C55" w:rsidP="00372304">
            <w:pPr>
              <w:tabs>
                <w:tab w:val="left" w:pos="9027"/>
              </w:tabs>
              <w:spacing w:after="0" w:line="240" w:lineRule="auto"/>
              <w:ind w:left="97" w:right="-109"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>Pentru supravegherea și îngrijirea acestor 4 construcții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la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Instituția Pub</w:t>
            </w:r>
            <w:r w:rsidR="00710B5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lică „Direcția Generală pentru a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dministrarea </w:t>
            </w:r>
            <w:r w:rsidR="00710B5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c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lădirilor Guvernului Republicii Moldova” erau</w:t>
            </w: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aprobate 6,5 unități de personal auxiliar (state incluse în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Hotărârea Guvernului nr.950/2018 cu privire la organizarea și funcționarea Instituției Publice, „Direcția Generală pentru administrarea clădirii Guvernului Republica Moldova”</w:t>
            </w: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>).</w:t>
            </w:r>
          </w:p>
          <w:p w:rsidR="003C5C55" w:rsidRDefault="003C5C55" w:rsidP="00372304">
            <w:pPr>
              <w:tabs>
                <w:tab w:val="left" w:pos="9027"/>
              </w:tabs>
              <w:spacing w:after="0" w:line="240" w:lineRule="auto"/>
              <w:ind w:left="97" w:right="-109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</w:pP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>Odată cu finalizarea procedurii de transmitere a celor 4 construcții și a terenului aferent va decădea necesitatea păstrării celor 6,5 unități de personal la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 Instituția Publică „Direcția Generală pentru </w:t>
            </w:r>
            <w:r w:rsidR="00710B5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a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dministrarea </w:t>
            </w:r>
            <w:r w:rsidR="00710B5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c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lădirilor Guvernului Republicii Moldova”, precum și necesitatea menținerii personalului care ocupă aceste unități de personal auxiliar.</w:t>
            </w:r>
          </w:p>
          <w:p w:rsidR="003C5C55" w:rsidRDefault="003C5C55" w:rsidP="00372304">
            <w:pPr>
              <w:tabs>
                <w:tab w:val="left" w:pos="9027"/>
              </w:tabs>
              <w:spacing w:after="0" w:line="240" w:lineRule="auto"/>
              <w:ind w:left="97" w:right="-109"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Totodată, la 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Instituția Publică</w:t>
            </w: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„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Muzeul Național de Literatură „Mihail Kogălniceanu</w:t>
            </w: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, va apărea necesitatea stringentă de a suplini statele de personal cu 6,5 unități de personal a</w:t>
            </w:r>
            <w:r w:rsidR="00710B5C">
              <w:rPr>
                <w:rFonts w:ascii="Times New Roman" w:hAnsi="Times New Roman"/>
                <w:sz w:val="28"/>
                <w:szCs w:val="28"/>
                <w:lang w:val="ro-MD"/>
              </w:rPr>
              <w:t>uxiliar care vor fi responsabile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supravegherea și întreținerea celor 4 construcții din </w:t>
            </w: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>mun. Chișinău str. Alexei Mateevici, nr.79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, utilizate în calitate de sediu (pentru scopuri muzeale).</w:t>
            </w:r>
          </w:p>
          <w:p w:rsidR="003C5C55" w:rsidRPr="00F02AB9" w:rsidRDefault="003C5C55" w:rsidP="00372304">
            <w:pPr>
              <w:tabs>
                <w:tab w:val="left" w:pos="9027"/>
              </w:tabs>
              <w:spacing w:after="0" w:line="240" w:lineRule="auto"/>
              <w:ind w:left="97" w:right="-109"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Prin scrisoarea 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 xml:space="preserve">nr.577-04 din 05 mai </w:t>
            </w:r>
            <w:r w:rsidR="00710B5C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2022, Direcția Generală pentru administrarea c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 xml:space="preserve">lădirilor Guvernului Republicii Moldova s-a exprimat acordul de a iniția procedura de modificare a Hotărârii Givernului nr.136/2022 în vederea transferării personalului în număr de 6,5 unități de personal auxiliar, de la Instituția Publică </w:t>
            </w:r>
            <w:r w:rsidR="00710B5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„Direcția Generală pentru administrarea c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lădirilor Guvernului Republicii Moldova”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 la Instituția Publică </w:t>
            </w: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>„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Muzeul Național de Literatură „Mihail Kogălniceanu</w:t>
            </w: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  <w:p w:rsidR="003C5C55" w:rsidRPr="00F02AB9" w:rsidRDefault="003C5C55" w:rsidP="00372304">
            <w:pPr>
              <w:tabs>
                <w:tab w:val="left" w:pos="9027"/>
              </w:tabs>
              <w:spacing w:after="0" w:line="240" w:lineRule="auto"/>
              <w:ind w:left="97" w:right="-109"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>Luând în considerare cele expuse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 se impune necesitatea reducerii a 6,5 state de personal auxiliar de la Instituția Pub</w:t>
            </w:r>
            <w:r w:rsidR="00710B5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lică „Direcția Generală pentru administrarea c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lădirilor Guvernului Republicii Moldova” și majorarea a 6,5 state de personal la </w:t>
            </w: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>Instituția Publică „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Muzeul Național de Literatură „Mihail Kogălniceanu</w:t>
            </w: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>”.</w:t>
            </w:r>
          </w:p>
          <w:p w:rsidR="003C5C55" w:rsidRPr="00AD0084" w:rsidRDefault="003C5C55" w:rsidP="00372304">
            <w:pPr>
              <w:tabs>
                <w:tab w:val="left" w:pos="9027"/>
              </w:tabs>
              <w:spacing w:after="0" w:line="240" w:lineRule="auto"/>
              <w:ind w:left="97" w:right="-109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Reducerea a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6,5 state de personal auxiliar de la Instituția Pub</w:t>
            </w:r>
            <w:r w:rsidR="00710B5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lică „Direcția Generală pentru administrarea c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lădirilor Guvernului Republicii Moldova” poate fi realizată prin Hotărâre de Guvern, operând modificări în acest sens la Hotărârea Guvernului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nr.950/2018 cu privire la organizarea și funcționarea Instituției Publice, „Direcția Generală pentru administrarea clădirii Guvernului Republica Moldova”,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lastRenderedPageBreak/>
              <w:t xml:space="preserve">iar majorarea a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6,5 state de personal auxiliar la </w:t>
            </w: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>Instituția Publică „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Muzeul Național de Literatură „Mihail Kogălniceanu</w:t>
            </w: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>” urmează a fi asigurată de Ministerul Culturii, în temeiul pct.22 din Regulamentul de organizare și funcționare a muzeelor, aprobat prin Hotărârea Guvernului nr.604/2020.</w:t>
            </w:r>
          </w:p>
          <w:p w:rsidR="003C5C55" w:rsidRPr="00F02AB9" w:rsidRDefault="003C5C55" w:rsidP="00372304">
            <w:pPr>
              <w:tabs>
                <w:tab w:val="left" w:pos="9027"/>
              </w:tabs>
              <w:spacing w:after="0" w:line="240" w:lineRule="auto"/>
              <w:ind w:right="-109" w:firstLine="66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</w:pPr>
            <w:r w:rsidRPr="00F02A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După aprobarea prezentului proiect de Hotărâre de Guvern,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Instituția Pub</w:t>
            </w:r>
            <w:r w:rsidR="00710B5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lică „Direcția Generală pentru administrarea c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lădirilor Guvernului Republicii Moldova” și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Instituția Publică Muzeul Național de Literatură „Mihail Kogălniceanu”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 vor iniția procedura de transfer a 6,5 unități de personal auxiliar, în condițiile articolului 74 din Codul muncii al Republicii Moldova nr.154/2003.</w:t>
            </w:r>
          </w:p>
          <w:p w:rsidR="003C5C55" w:rsidRPr="00F02AB9" w:rsidRDefault="003C5C55" w:rsidP="00372304">
            <w:pPr>
              <w:tabs>
                <w:tab w:val="left" w:pos="9027"/>
              </w:tabs>
              <w:spacing w:after="0" w:line="240" w:lineRule="auto"/>
              <w:ind w:right="-109" w:firstLine="66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</w:pP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Concomitent, Ministerul Culturii, în temeiul prezentei Hotărâri de Guvern va înainta Ministerului Finanțelor propuneri de rectificare a bugetelor potrivit limitelor cheltuielilor de personal.</w:t>
            </w:r>
          </w:p>
        </w:tc>
      </w:tr>
      <w:tr w:rsidR="003C5C55" w:rsidRPr="00D74E32" w:rsidTr="00372304">
        <w:trPr>
          <w:tblCellSpacing w:w="15" w:type="dxa"/>
        </w:trPr>
        <w:tc>
          <w:tcPr>
            <w:tcW w:w="496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C5C55" w:rsidRPr="00F02AB9" w:rsidRDefault="003C5C55" w:rsidP="00372304">
            <w:pPr>
              <w:tabs>
                <w:tab w:val="left" w:pos="9027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F02AB9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lastRenderedPageBreak/>
              <w:t>3. Descrierea gradului de compatibilitate pentru proiectele care au ca scop armonizarea legislaţiei naţionale cu legislaţia Uniunii Europene</w:t>
            </w:r>
          </w:p>
        </w:tc>
      </w:tr>
      <w:tr w:rsidR="003C5C55" w:rsidRPr="00D74E32" w:rsidTr="00372304">
        <w:trPr>
          <w:tblCellSpacing w:w="15" w:type="dxa"/>
        </w:trPr>
        <w:tc>
          <w:tcPr>
            <w:tcW w:w="496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C5C55" w:rsidRPr="00F02AB9" w:rsidRDefault="003C5C55" w:rsidP="00372304">
            <w:pPr>
              <w:tabs>
                <w:tab w:val="left" w:pos="9027"/>
              </w:tabs>
              <w:spacing w:after="0" w:line="240" w:lineRule="auto"/>
              <w:ind w:right="-109" w:firstLine="522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</w:pPr>
            <w:r w:rsidRPr="00F02AB9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Actul normativ nu are ca scop armonizarea legislaţiei naţionale cu legislaţia Uniunii Europene</w:t>
            </w:r>
          </w:p>
        </w:tc>
      </w:tr>
      <w:tr w:rsidR="003C5C55" w:rsidRPr="00D74E32" w:rsidTr="00372304">
        <w:trPr>
          <w:tblCellSpacing w:w="15" w:type="dxa"/>
        </w:trPr>
        <w:tc>
          <w:tcPr>
            <w:tcW w:w="496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C5C55" w:rsidRPr="00F02AB9" w:rsidRDefault="003C5C55" w:rsidP="00372304">
            <w:pPr>
              <w:tabs>
                <w:tab w:val="left" w:pos="9027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F02AB9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4. Principalele prevederi ale proiectului şi evidenţierea elementelor noi</w:t>
            </w:r>
          </w:p>
        </w:tc>
      </w:tr>
      <w:tr w:rsidR="003C5C55" w:rsidRPr="00D74E32" w:rsidTr="00372304">
        <w:trPr>
          <w:tblCellSpacing w:w="15" w:type="dxa"/>
        </w:trPr>
        <w:tc>
          <w:tcPr>
            <w:tcW w:w="496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C5C55" w:rsidRPr="00F02AB9" w:rsidRDefault="003C5C55" w:rsidP="00372304">
            <w:pPr>
              <w:tabs>
                <w:tab w:val="left" w:pos="9027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F02AB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Proiectul menționat se referă la reducerea a 6,5 state de personal auxiliar la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 Instituția Pub</w:t>
            </w:r>
            <w:r w:rsidR="0040119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lică „Direcția Generală pentru administrarea c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lădirilor Guvernului Republicii Moldova” și întreprinderea măsurilor în vederea majorării cu 6,5 unități de personal auxiliar a statelor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Instituției Publice Muzeul Național de Literatură „Mihail Kogălniceanu” (pct.1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și pct.2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din prezentu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l proiect de Hotărâre de Guvern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).</w:t>
            </w:r>
          </w:p>
          <w:p w:rsidR="003C5C55" w:rsidRPr="00F02AB9" w:rsidRDefault="003C5C55" w:rsidP="00372304">
            <w:pPr>
              <w:tabs>
                <w:tab w:val="left" w:pos="9027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Concomitent, actualul proiect de Hotărâre de Guvern prevede transferarea personalului care ocupă cele 6,5 unități de personal auxiliar de la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 Instituția Pub</w:t>
            </w:r>
            <w:r w:rsidR="0040119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lică „Direcția Generală pentru administrarea c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lădirilor Guvernului Republicii Moldova”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 la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Instituția Publică Muzeul Național de Literatură „Mihail Kogălniceanu”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(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pct.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3 și pct.4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din prezentu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l proiect de Hotărâre de Guvern).</w:t>
            </w:r>
          </w:p>
          <w:p w:rsidR="003C5C55" w:rsidRPr="009760DE" w:rsidRDefault="003C5C55" w:rsidP="00372304">
            <w:pPr>
              <w:tabs>
                <w:tab w:val="left" w:pos="9027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Pentru acoperirea cheltuielilor de remunerare a celor 6,5 unități de personal auxiliar, proiectul prevede sarcina Ministerului Culturii </w:t>
            </w:r>
            <w:r w:rsidR="00401195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și a Cancelariei de Stat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de a înainta Ministerului Finanțelor, propuneri de rectificare a bugetelor în limita cheltuielilor de personal (pct.</w:t>
            </w:r>
            <w:r w:rsidR="00401195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5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din prezentu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l proiect de Hotărâre de Guvern).</w:t>
            </w:r>
          </w:p>
          <w:p w:rsidR="003C5C55" w:rsidRPr="00F02AB9" w:rsidRDefault="003C5C55" w:rsidP="00401195">
            <w:pPr>
              <w:tabs>
                <w:tab w:val="left" w:pos="9027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F02AB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>C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>onform pct. 6</w:t>
            </w:r>
            <w:r w:rsidRPr="00F02AB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 al proiectului, data intrării în vigoare a Hotărârii de Guvern se propune a fi data publicării acestuia.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Intrarea în vigoare a Hotărârii de Guvern la data publicării este dictată de necesitatea </w:t>
            </w:r>
            <w:r w:rsidR="00401195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asigurării cu personal de deservire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a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construcțiilor proprietate a statului cu nr. cadastrale 0100202017.01 (Blocul A), 0100202017.02 (Blocul B), 0100202017.03 (Blocul G) și 0100202017.08 (Blocul V) amplasate în mun. Chișinău str. Alexei Mateevici, nr.79</w:t>
            </w:r>
            <w:r w:rsidR="00401195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, care au fost transmise în gestiunea</w:t>
            </w:r>
            <w:r w:rsidR="00401195"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r w:rsidR="00401195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Instituției Publice</w:t>
            </w:r>
            <w:r w:rsidR="00401195"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Muzeul Național de Literatură „Mihail Kogălniceanu”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.</w:t>
            </w:r>
          </w:p>
        </w:tc>
      </w:tr>
      <w:tr w:rsidR="003C5C55" w:rsidRPr="00F02AB9" w:rsidTr="00372304">
        <w:trPr>
          <w:trHeight w:val="50"/>
          <w:tblCellSpacing w:w="15" w:type="dxa"/>
        </w:trPr>
        <w:tc>
          <w:tcPr>
            <w:tcW w:w="496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C5C55" w:rsidRPr="00F02AB9" w:rsidRDefault="003C5C55" w:rsidP="00372304">
            <w:pPr>
              <w:tabs>
                <w:tab w:val="left" w:pos="9027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F02AB9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5. Fundamentarea economico-financiară</w:t>
            </w:r>
          </w:p>
        </w:tc>
      </w:tr>
      <w:tr w:rsidR="003C5C55" w:rsidRPr="00D74E32" w:rsidTr="00372304">
        <w:trPr>
          <w:tblCellSpacing w:w="15" w:type="dxa"/>
        </w:trPr>
        <w:tc>
          <w:tcPr>
            <w:tcW w:w="496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C5C55" w:rsidRDefault="003C5C55" w:rsidP="00372304">
            <w:pPr>
              <w:tabs>
                <w:tab w:val="left" w:pos="9027"/>
              </w:tabs>
              <w:spacing w:after="0" w:line="240" w:lineRule="auto"/>
              <w:ind w:right="-109" w:firstLine="522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</w:pPr>
            <w:r w:rsidRPr="00F02AB9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 xml:space="preserve">Implementarea prezentului proiect nu necesită cheltuieli financiare 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 xml:space="preserve">suplimentare </w:t>
            </w:r>
            <w:r w:rsidRPr="00F02AB9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din bugetul de stat.</w:t>
            </w:r>
          </w:p>
          <w:p w:rsidR="003C5C55" w:rsidRDefault="003C5C55" w:rsidP="00372304">
            <w:pPr>
              <w:tabs>
                <w:tab w:val="left" w:pos="9027"/>
              </w:tabs>
              <w:spacing w:after="0" w:line="240" w:lineRule="auto"/>
              <w:ind w:right="-109" w:firstLine="5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 xml:space="preserve">Remunerarea celor 6,5 unități de personal auxiliar cu care se va majora statele de personal ale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Instituției Publice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Muzeul Național de Literatură „Mihail Kogălniceanu”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, se va efectua în limita mijloacelor bugetare alocate în acest sens, după rectificarea bugetelor, prin redistribuirea mijloacelor bugetare de la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Instituția Pub</w:t>
            </w:r>
            <w:r w:rsidR="0040119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lică „Direcția Generală pentru administrarea c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lădirilor Guvernului Republicii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lastRenderedPageBreak/>
              <w:t>Moldova”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 la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Instituția Publică Muzeul Național de Literatură „Mihail Kogălniceanu”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în limita a 6,5 unități de personal auxiliar care vor fi reduse la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 Instituția Pub</w:t>
            </w:r>
            <w:r w:rsidR="0040119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lică „Direcția Generală pentru administrarea c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lădirilor Guvernului Republicii Moldova”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  <w:p w:rsidR="003C5C55" w:rsidRDefault="003C5C55" w:rsidP="00372304">
            <w:pPr>
              <w:tabs>
                <w:tab w:val="left" w:pos="9027"/>
              </w:tabs>
              <w:spacing w:after="0" w:line="240" w:lineRule="auto"/>
              <w:ind w:right="-109" w:firstLine="5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Pentru anul 2022, salariul mediu lunar al personalului încadrat în cele 6,5 unități de personal auxiliar constituie 15 650 lei, sau aproximativ 190 000 lei anual.</w:t>
            </w:r>
          </w:p>
          <w:p w:rsidR="003C5C55" w:rsidRDefault="003C5C55" w:rsidP="00372304">
            <w:pPr>
              <w:tabs>
                <w:tab w:val="left" w:pos="9027"/>
              </w:tabs>
              <w:spacing w:after="0" w:line="240" w:lineRule="auto"/>
              <w:ind w:right="-109" w:firstLine="5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Pentru asigurarea salarizării salariaților care vor fi încadrați în cele 6,5 unități de personal auxiliar (în cazul în care vor accepta transferul), se va rectifica bugetul, prin redistribuirea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mijloacelor bugetare de la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Instituția Pub</w:t>
            </w:r>
            <w:r w:rsidR="0040119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lică „Direcția Generală pentru administrarea c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>lădirilor Guvernului Republicii Moldova”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  <w:t xml:space="preserve"> (planificați pentru salarizarea personalului încadrat în aceste 6,5 unități de personal auxiliar) la </w:t>
            </w:r>
            <w:r w:rsidRPr="00F02AB9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Instituția Publică Muzeul Național de Literatură „Mihail Kogălniceanu”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.</w:t>
            </w:r>
          </w:p>
          <w:p w:rsidR="003C5C55" w:rsidRPr="003C5C55" w:rsidRDefault="003C5C55" w:rsidP="00372304">
            <w:pPr>
              <w:tabs>
                <w:tab w:val="left" w:pos="9027"/>
              </w:tabs>
              <w:spacing w:after="0" w:line="240" w:lineRule="auto"/>
              <w:ind w:right="-109" w:firstLine="5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D"/>
              </w:rPr>
            </w:pPr>
            <w:r w:rsidRPr="003C5C55">
              <w:rPr>
                <w:rFonts w:ascii="Times New Roman" w:hAnsi="Times New Roman"/>
                <w:sz w:val="28"/>
                <w:szCs w:val="28"/>
                <w:lang w:val="ro-MD"/>
              </w:rPr>
              <w:t>T</w:t>
            </w:r>
            <w:proofErr w:type="spellStart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>ransferarea</w:t>
            </w:r>
            <w:proofErr w:type="spellEnd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>unităților</w:t>
            </w:r>
            <w:proofErr w:type="spellEnd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 personal </w:t>
            </w:r>
            <w:proofErr w:type="spellStart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fi </w:t>
            </w:r>
            <w:proofErr w:type="spellStart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>efectuată</w:t>
            </w:r>
            <w:proofErr w:type="spellEnd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>în</w:t>
            </w:r>
            <w:proofErr w:type="spellEnd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>limita</w:t>
            </w:r>
            <w:proofErr w:type="spellEnd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>alocațiilor</w:t>
            </w:r>
            <w:proofErr w:type="spellEnd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>aprobate</w:t>
            </w:r>
            <w:proofErr w:type="spellEnd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>prin</w:t>
            </w:r>
            <w:proofErr w:type="spellEnd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Legea </w:t>
            </w:r>
            <w:proofErr w:type="spellStart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>bugetului</w:t>
            </w:r>
            <w:proofErr w:type="spellEnd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C5C55">
              <w:rPr>
                <w:rFonts w:ascii="Times New Roman" w:hAnsi="Times New Roman"/>
                <w:sz w:val="28"/>
                <w:szCs w:val="28"/>
                <w:lang w:val="en-US"/>
              </w:rPr>
              <w:t>2022 nr.205/2021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3C5C55" w:rsidRPr="00D74E32" w:rsidTr="00372304">
        <w:trPr>
          <w:tblCellSpacing w:w="15" w:type="dxa"/>
        </w:trPr>
        <w:tc>
          <w:tcPr>
            <w:tcW w:w="496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C5C55" w:rsidRPr="00F02AB9" w:rsidRDefault="003C5C55" w:rsidP="00372304">
            <w:pPr>
              <w:tabs>
                <w:tab w:val="left" w:pos="9027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F02AB9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lastRenderedPageBreak/>
              <w:t>6. Modul de încorporare a actului în cadrul normativ în vigoare</w:t>
            </w:r>
          </w:p>
        </w:tc>
      </w:tr>
      <w:tr w:rsidR="003C5C55" w:rsidRPr="00D74E32" w:rsidTr="00372304">
        <w:trPr>
          <w:tblCellSpacing w:w="15" w:type="dxa"/>
        </w:trPr>
        <w:tc>
          <w:tcPr>
            <w:tcW w:w="496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C5C55" w:rsidRPr="00F02AB9" w:rsidRDefault="003C5C55" w:rsidP="00372304">
            <w:pPr>
              <w:tabs>
                <w:tab w:val="left" w:pos="9027"/>
              </w:tabs>
              <w:spacing w:after="0" w:line="240" w:lineRule="auto"/>
              <w:ind w:right="-109" w:firstLine="522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</w:pPr>
            <w:r w:rsidRPr="00F02AB9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Proiectul se încorporează în sistemul actelor normative și nu va necesita modificarea altor acte legislative sau normative.</w:t>
            </w:r>
          </w:p>
          <w:p w:rsidR="003C5C55" w:rsidRPr="00F02AB9" w:rsidRDefault="003C5C55" w:rsidP="00372304">
            <w:pPr>
              <w:tabs>
                <w:tab w:val="left" w:pos="9027"/>
                <w:tab w:val="left" w:pos="9311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F02AB9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7. Avizarea și consultarea publică a proiectului</w:t>
            </w:r>
          </w:p>
          <w:p w:rsidR="003C5C55" w:rsidRDefault="003C5C55" w:rsidP="00372304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spacing w:after="0" w:line="240" w:lineRule="auto"/>
              <w:ind w:right="-13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F02A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Respectarea prevederilor Legii nr.100/2017 cu privire la actele normative și ale Legii nr. 239/2008 privind transparența în procesul decizional a fost asigurată prin plasarea proiectului, împreună cu Nota informativă, pe pagina web a ministerului (</w:t>
            </w:r>
            <w:hyperlink r:id="rId6" w:history="1">
              <w:r w:rsidRPr="00F02AB9">
                <w:rPr>
                  <w:rStyle w:val="a5"/>
                  <w:rFonts w:ascii="Times New Roman" w:hAnsi="Times New Roman"/>
                  <w:sz w:val="28"/>
                  <w:szCs w:val="28"/>
                  <w:lang w:val="ro-MD"/>
                </w:rPr>
                <w:t>www.mecc.gov.md</w:t>
              </w:r>
            </w:hyperlink>
            <w:r w:rsidRPr="00F02A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), secțiunea – Transparența decizională.</w:t>
            </w:r>
          </w:p>
          <w:p w:rsidR="00401195" w:rsidRDefault="00401195" w:rsidP="00372304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spacing w:after="0" w:line="240" w:lineRule="auto"/>
              <w:ind w:right="-13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Proiectul de Hotărâre a fost avizat de către Cancelaria de Stat, Ministerul Muncii și Protecției Sociale și Ministerul Finanțelor.</w:t>
            </w:r>
          </w:p>
          <w:p w:rsidR="00401195" w:rsidRPr="00F02AB9" w:rsidRDefault="00401195" w:rsidP="00372304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spacing w:after="0" w:line="240" w:lineRule="auto"/>
              <w:ind w:right="-13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Argumentarea Ministerului Culturii pe marginea recomandărilor înaintate a fost expusă în sinteza obiecțiilor și a propunerilor.</w:t>
            </w:r>
          </w:p>
          <w:p w:rsidR="003C5C55" w:rsidRDefault="003C5C55" w:rsidP="00372304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spacing w:after="0" w:line="240" w:lineRule="auto"/>
              <w:ind w:right="-1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o-MD"/>
              </w:rPr>
              <w:t>8. Con</w:t>
            </w:r>
            <w:r w:rsidRPr="00F02AB9">
              <w:rPr>
                <w:rFonts w:ascii="Times New Roman" w:hAnsi="Times New Roman"/>
                <w:b/>
                <w:color w:val="000000"/>
                <w:sz w:val="28"/>
                <w:szCs w:val="28"/>
                <w:lang w:val="ro-MD"/>
              </w:rPr>
              <w:t>s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o-MD"/>
              </w:rPr>
              <w:t>t</w:t>
            </w:r>
            <w:r w:rsidRPr="00F02AB9">
              <w:rPr>
                <w:rFonts w:ascii="Times New Roman" w:hAnsi="Times New Roman"/>
                <w:b/>
                <w:color w:val="000000"/>
                <w:sz w:val="28"/>
                <w:szCs w:val="28"/>
                <w:lang w:val="ro-MD"/>
              </w:rPr>
              <w:t>atările expertizei anticorupție</w:t>
            </w:r>
          </w:p>
          <w:p w:rsidR="003C5C55" w:rsidRPr="00632D0A" w:rsidRDefault="003C5C55" w:rsidP="00372304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spacing w:after="0" w:line="240" w:lineRule="auto"/>
              <w:ind w:right="-13" w:firstLine="52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Proiectul Hotărârii de Guvern va fi înaintat spre expertizare anticorupție la Centrul Național Anticorupție. </w:t>
            </w:r>
          </w:p>
          <w:p w:rsidR="003C5C55" w:rsidRPr="00F02AB9" w:rsidRDefault="003C5C55" w:rsidP="00372304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spacing w:after="0" w:line="240" w:lineRule="auto"/>
              <w:ind w:right="-1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o-MD"/>
              </w:rPr>
            </w:pPr>
            <w:r w:rsidRPr="00F02AB9">
              <w:rPr>
                <w:rFonts w:ascii="Times New Roman" w:hAnsi="Times New Roman"/>
                <w:b/>
                <w:color w:val="000000"/>
                <w:sz w:val="28"/>
                <w:szCs w:val="28"/>
                <w:lang w:val="ro-MD"/>
              </w:rPr>
              <w:t>9. Constatările expertizei de compatibilitate cu legislația Uniunii Europene</w:t>
            </w:r>
          </w:p>
          <w:p w:rsidR="003C5C55" w:rsidRPr="00F02AB9" w:rsidRDefault="003C5C55" w:rsidP="00372304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spacing w:after="0" w:line="240" w:lineRule="auto"/>
              <w:ind w:right="-13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F02A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Proiectul hotărârii de Guvern nu conține norme privind armonizarea legislației Uniunii Europene.</w:t>
            </w:r>
          </w:p>
          <w:p w:rsidR="003C5C55" w:rsidRPr="00F02AB9" w:rsidRDefault="003C5C55" w:rsidP="00372304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spacing w:after="0" w:line="240" w:lineRule="auto"/>
              <w:ind w:right="-1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o-MD"/>
              </w:rPr>
            </w:pPr>
            <w:r w:rsidRPr="00F02AB9">
              <w:rPr>
                <w:rFonts w:ascii="Times New Roman" w:hAnsi="Times New Roman"/>
                <w:b/>
                <w:color w:val="000000"/>
                <w:sz w:val="28"/>
                <w:szCs w:val="28"/>
                <w:lang w:val="ro-MD"/>
              </w:rPr>
              <w:t>10. Constatările expertizei juridice</w:t>
            </w:r>
          </w:p>
          <w:p w:rsidR="003C5C55" w:rsidRPr="00F02AB9" w:rsidRDefault="003C5C55" w:rsidP="00372304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spacing w:after="0" w:line="240" w:lineRule="auto"/>
              <w:ind w:right="-13" w:firstLine="51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F02A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Proiectul Hotărârii de Guvern </w:t>
            </w:r>
            <w:r w:rsidR="00D74E32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a fost expertizat la</w:t>
            </w:r>
            <w:r w:rsidR="00401195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M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inisterul Justiției</w:t>
            </w:r>
            <w:r w:rsidRPr="00F02A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.</w:t>
            </w:r>
          </w:p>
          <w:p w:rsidR="003C5C55" w:rsidRPr="00F02AB9" w:rsidRDefault="003C5C55" w:rsidP="00372304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spacing w:after="0" w:line="240" w:lineRule="auto"/>
              <w:ind w:right="-1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o-MD"/>
              </w:rPr>
            </w:pPr>
            <w:r w:rsidRPr="00F02AB9">
              <w:rPr>
                <w:rFonts w:ascii="Times New Roman" w:hAnsi="Times New Roman"/>
                <w:b/>
                <w:color w:val="000000"/>
                <w:sz w:val="28"/>
                <w:szCs w:val="28"/>
                <w:lang w:val="ro-MD"/>
              </w:rPr>
              <w:t xml:space="preserve">11. Constatările altor expertize </w:t>
            </w:r>
          </w:p>
          <w:p w:rsidR="003C5C55" w:rsidRPr="00F02AB9" w:rsidRDefault="003C5C55" w:rsidP="00372304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spacing w:after="0" w:line="240" w:lineRule="auto"/>
              <w:ind w:right="-13" w:firstLine="51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F02A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Proiectul nu conține prevederi de reglementare a activității de întreprinzător în contextul Legii nr.235/2006 cu privire la principiile de bază de reglementare a activități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i de întreprinzător, astfel decă</w:t>
            </w:r>
            <w:r w:rsidRPr="00F02A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zând necesitatea examinării acestuia de către Grupul de lucru pentru reglementarea activității de întreprinzător.</w:t>
            </w:r>
          </w:p>
          <w:p w:rsidR="003C5C55" w:rsidRPr="00F02AB9" w:rsidRDefault="003C5C55" w:rsidP="00372304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spacing w:after="0" w:line="240" w:lineRule="auto"/>
              <w:ind w:right="-13" w:firstLine="51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F02A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De asemenea proiectul nu cade sub incidența altor expertize necesare a fi efectuate în condițiile Legii nr.100/2017.</w:t>
            </w:r>
          </w:p>
          <w:p w:rsidR="003C5C55" w:rsidRPr="00A25263" w:rsidRDefault="003C5C55" w:rsidP="00372304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spacing w:after="0" w:line="240" w:lineRule="auto"/>
              <w:ind w:right="-13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</w:p>
        </w:tc>
      </w:tr>
    </w:tbl>
    <w:p w:rsidR="003C5C55" w:rsidRPr="00F02AB9" w:rsidRDefault="003C5C55" w:rsidP="00401195">
      <w:pPr>
        <w:spacing w:line="240" w:lineRule="auto"/>
        <w:ind w:right="-279"/>
        <w:rPr>
          <w:rFonts w:ascii="Times New Roman" w:hAnsi="Times New Roman"/>
          <w:b/>
          <w:sz w:val="28"/>
          <w:szCs w:val="28"/>
          <w:lang w:val="ro-MD"/>
        </w:rPr>
      </w:pPr>
    </w:p>
    <w:p w:rsidR="003C5C55" w:rsidRPr="00F02AB9" w:rsidRDefault="003C5C55" w:rsidP="003C5C55">
      <w:pPr>
        <w:spacing w:line="240" w:lineRule="auto"/>
        <w:ind w:right="-279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F02AB9">
        <w:rPr>
          <w:rFonts w:ascii="Times New Roman" w:hAnsi="Times New Roman"/>
          <w:b/>
          <w:sz w:val="28"/>
          <w:szCs w:val="28"/>
          <w:lang w:val="ro-MD"/>
        </w:rPr>
        <w:t>Ministru</w:t>
      </w:r>
      <w:r w:rsidRPr="00F02AB9">
        <w:rPr>
          <w:rFonts w:ascii="Times New Roman" w:hAnsi="Times New Roman"/>
          <w:b/>
          <w:sz w:val="28"/>
          <w:szCs w:val="28"/>
          <w:lang w:val="ro-MD"/>
        </w:rPr>
        <w:tab/>
      </w:r>
      <w:r w:rsidRPr="00F02AB9">
        <w:rPr>
          <w:rFonts w:ascii="Times New Roman" w:hAnsi="Times New Roman"/>
          <w:b/>
          <w:sz w:val="28"/>
          <w:szCs w:val="28"/>
          <w:lang w:val="ro-MD"/>
        </w:rPr>
        <w:tab/>
      </w:r>
      <w:r w:rsidRPr="00F02AB9">
        <w:rPr>
          <w:rFonts w:ascii="Times New Roman" w:hAnsi="Times New Roman"/>
          <w:b/>
          <w:sz w:val="28"/>
          <w:szCs w:val="28"/>
          <w:lang w:val="ro-MD"/>
        </w:rPr>
        <w:tab/>
      </w:r>
      <w:r w:rsidRPr="00F02AB9">
        <w:rPr>
          <w:rFonts w:ascii="Times New Roman" w:hAnsi="Times New Roman"/>
          <w:b/>
          <w:sz w:val="28"/>
          <w:szCs w:val="28"/>
          <w:lang w:val="ro-MD"/>
        </w:rPr>
        <w:tab/>
      </w:r>
      <w:r w:rsidRPr="00F02AB9">
        <w:rPr>
          <w:rFonts w:ascii="Times New Roman" w:hAnsi="Times New Roman"/>
          <w:b/>
          <w:sz w:val="28"/>
          <w:szCs w:val="28"/>
          <w:lang w:val="ro-MD"/>
        </w:rPr>
        <w:tab/>
      </w:r>
      <w:r w:rsidRPr="00F02AB9">
        <w:rPr>
          <w:rFonts w:ascii="Times New Roman" w:hAnsi="Times New Roman"/>
          <w:b/>
          <w:sz w:val="28"/>
          <w:szCs w:val="28"/>
          <w:lang w:val="ro-MD"/>
        </w:rPr>
        <w:tab/>
        <w:t>Sergiu PRODAN</w:t>
      </w:r>
    </w:p>
    <w:p w:rsidR="003C5C55" w:rsidRPr="00F02AB9" w:rsidRDefault="003C5C55" w:rsidP="003C5C55">
      <w:pPr>
        <w:tabs>
          <w:tab w:val="left" w:pos="3240"/>
        </w:tabs>
        <w:spacing w:after="0" w:line="276" w:lineRule="auto"/>
        <w:ind w:right="33"/>
        <w:rPr>
          <w:rFonts w:ascii="Times New Roman" w:eastAsia="Times New Roman" w:hAnsi="Times New Roman"/>
          <w:b/>
          <w:sz w:val="16"/>
          <w:szCs w:val="16"/>
          <w:lang w:val="ro-MD" w:eastAsia="ru-RU"/>
        </w:rPr>
      </w:pPr>
    </w:p>
    <w:p w:rsidR="003C5C55" w:rsidRDefault="003C5C55" w:rsidP="003C5C55">
      <w:pPr>
        <w:tabs>
          <w:tab w:val="left" w:pos="3240"/>
        </w:tabs>
        <w:spacing w:after="0" w:line="276" w:lineRule="auto"/>
        <w:ind w:right="33"/>
        <w:rPr>
          <w:rFonts w:ascii="Times New Roman" w:eastAsia="Times New Roman" w:hAnsi="Times New Roman"/>
          <w:b/>
          <w:sz w:val="16"/>
          <w:szCs w:val="16"/>
          <w:lang w:val="ro-MD" w:eastAsia="ru-RU"/>
        </w:rPr>
      </w:pPr>
    </w:p>
    <w:p w:rsidR="00D74E32" w:rsidRDefault="00D74E32" w:rsidP="003C5C55">
      <w:pPr>
        <w:tabs>
          <w:tab w:val="left" w:pos="3240"/>
        </w:tabs>
        <w:spacing w:after="0" w:line="276" w:lineRule="auto"/>
        <w:ind w:right="33"/>
        <w:rPr>
          <w:rFonts w:ascii="Times New Roman" w:eastAsia="Times New Roman" w:hAnsi="Times New Roman"/>
          <w:b/>
          <w:sz w:val="16"/>
          <w:szCs w:val="16"/>
          <w:lang w:val="ro-MD" w:eastAsia="ru-RU"/>
        </w:rPr>
      </w:pPr>
    </w:p>
    <w:p w:rsidR="00D74E32" w:rsidRPr="00F02AB9" w:rsidRDefault="00D74E32" w:rsidP="003C5C55">
      <w:pPr>
        <w:tabs>
          <w:tab w:val="left" w:pos="3240"/>
        </w:tabs>
        <w:spacing w:after="0" w:line="276" w:lineRule="auto"/>
        <w:ind w:right="33"/>
        <w:rPr>
          <w:rFonts w:ascii="Times New Roman" w:eastAsia="Times New Roman" w:hAnsi="Times New Roman"/>
          <w:b/>
          <w:sz w:val="16"/>
          <w:szCs w:val="16"/>
          <w:lang w:val="ro-MD" w:eastAsia="ru-RU"/>
        </w:rPr>
      </w:pPr>
      <w:bookmarkStart w:id="0" w:name="_GoBack"/>
      <w:bookmarkEnd w:id="0"/>
    </w:p>
    <w:p w:rsidR="003C5C55" w:rsidRPr="00F02AB9" w:rsidRDefault="003C5C55" w:rsidP="003C5C5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MD"/>
        </w:rPr>
      </w:pPr>
      <w:r w:rsidRPr="00F02AB9">
        <w:rPr>
          <w:rFonts w:ascii="Times New Roman" w:hAnsi="Times New Roman"/>
          <w:sz w:val="20"/>
          <w:szCs w:val="20"/>
          <w:lang w:val="ro-MD"/>
        </w:rPr>
        <w:t>Secția Juridică</w:t>
      </w:r>
    </w:p>
    <w:p w:rsidR="00CA18BF" w:rsidRPr="003C5C55" w:rsidRDefault="003C5C55" w:rsidP="003C5C5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MD"/>
        </w:rPr>
      </w:pPr>
      <w:r w:rsidRPr="00F02AB9">
        <w:rPr>
          <w:rFonts w:ascii="Times New Roman" w:hAnsi="Times New Roman"/>
          <w:sz w:val="20"/>
          <w:szCs w:val="20"/>
          <w:lang w:val="ro-MD"/>
        </w:rPr>
        <w:t>068269785</w:t>
      </w:r>
    </w:p>
    <w:sectPr w:rsidR="00CA18BF" w:rsidRPr="003C5C55" w:rsidSect="009F742A">
      <w:footerReference w:type="default" r:id="rId7"/>
      <w:pgSz w:w="11906" w:h="16838"/>
      <w:pgMar w:top="568" w:right="849" w:bottom="426" w:left="1276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529" w:rsidRDefault="003B6529">
      <w:pPr>
        <w:spacing w:after="0" w:line="240" w:lineRule="auto"/>
      </w:pPr>
      <w:r>
        <w:separator/>
      </w:r>
    </w:p>
  </w:endnote>
  <w:endnote w:type="continuationSeparator" w:id="0">
    <w:p w:rsidR="003B6529" w:rsidRDefault="003B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337776"/>
      <w:docPartObj>
        <w:docPartGallery w:val="Page Numbers (Bottom of Page)"/>
        <w:docPartUnique/>
      </w:docPartObj>
    </w:sdtPr>
    <w:sdtEndPr/>
    <w:sdtContent>
      <w:sdt>
        <w:sdtPr>
          <w:id w:val="193357017"/>
          <w:docPartObj>
            <w:docPartGallery w:val="Page Numbers (Top of Page)"/>
            <w:docPartUnique/>
          </w:docPartObj>
        </w:sdtPr>
        <w:sdtEndPr/>
        <w:sdtContent>
          <w:p w:rsidR="00F02AB9" w:rsidRDefault="00401195">
            <w:pPr>
              <w:pStyle w:val="a3"/>
              <w:jc w:val="right"/>
            </w:pPr>
            <w:r>
              <w:rPr>
                <w:lang w:val="ro-MD"/>
              </w:rPr>
              <w:t>Pagina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4E3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din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4E3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10C1" w:rsidRDefault="003B6529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529" w:rsidRDefault="003B6529">
      <w:pPr>
        <w:spacing w:after="0" w:line="240" w:lineRule="auto"/>
      </w:pPr>
      <w:r>
        <w:separator/>
      </w:r>
    </w:p>
  </w:footnote>
  <w:footnote w:type="continuationSeparator" w:id="0">
    <w:p w:rsidR="003B6529" w:rsidRDefault="003B6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A5"/>
    <w:rsid w:val="003B6529"/>
    <w:rsid w:val="003C5C55"/>
    <w:rsid w:val="00401195"/>
    <w:rsid w:val="0040129A"/>
    <w:rsid w:val="00710B5C"/>
    <w:rsid w:val="00C861A5"/>
    <w:rsid w:val="00CA18BF"/>
    <w:rsid w:val="00D7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FB89"/>
  <w15:chartTrackingRefBased/>
  <w15:docId w15:val="{BBE99D4C-0AA6-40A1-B53C-3FA700A0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C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5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5C5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3C5C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cc.gov.m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2022-09-16T13:33:00Z</dcterms:created>
  <dcterms:modified xsi:type="dcterms:W3CDTF">2022-09-22T13:47:00Z</dcterms:modified>
</cp:coreProperties>
</file>