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5D8E4" w14:textId="5B65B5D6" w:rsidR="0070662B" w:rsidRPr="00716117" w:rsidRDefault="0070662B" w:rsidP="0070662B">
      <w:pPr>
        <w:pStyle w:val="NormalWeb"/>
        <w:spacing w:before="0" w:beforeAutospacing="0" w:after="0" w:afterAutospacing="0"/>
        <w:jc w:val="center"/>
        <w:rPr>
          <w:b/>
          <w:bCs/>
          <w:color w:val="000000" w:themeColor="text1"/>
          <w:sz w:val="28"/>
          <w:szCs w:val="28"/>
        </w:rPr>
      </w:pPr>
      <w:bookmarkStart w:id="0" w:name="A13"/>
      <w:bookmarkStart w:id="1" w:name="_GoBack"/>
      <w:r w:rsidRPr="00716117">
        <w:rPr>
          <w:b/>
          <w:bCs/>
          <w:color w:val="000000" w:themeColor="text1"/>
          <w:sz w:val="28"/>
          <w:szCs w:val="28"/>
        </w:rPr>
        <w:t>GUVERNUL REPUBLICII MOLDOVA</w:t>
      </w:r>
    </w:p>
    <w:p w14:paraId="084E5974" w14:textId="77777777" w:rsidR="0070662B" w:rsidRPr="00716117" w:rsidRDefault="0070662B" w:rsidP="0070662B">
      <w:pPr>
        <w:pStyle w:val="NormalWeb"/>
        <w:spacing w:before="0" w:beforeAutospacing="0" w:after="0" w:afterAutospacing="0"/>
        <w:ind w:firstLine="567"/>
        <w:jc w:val="center"/>
        <w:rPr>
          <w:b/>
          <w:bCs/>
          <w:color w:val="000000" w:themeColor="text1"/>
          <w:sz w:val="28"/>
          <w:szCs w:val="28"/>
        </w:rPr>
      </w:pPr>
    </w:p>
    <w:p w14:paraId="32CD4586" w14:textId="352E5087" w:rsidR="0070662B" w:rsidRPr="00716117" w:rsidRDefault="0070662B" w:rsidP="0070662B">
      <w:pPr>
        <w:spacing w:after="0"/>
        <w:ind w:left="0" w:firstLine="0"/>
        <w:jc w:val="center"/>
        <w:rPr>
          <w:rFonts w:ascii="Times New Roman" w:eastAsia="Times New Roman" w:hAnsi="Times New Roman" w:cs="Times New Roman"/>
          <w:b/>
          <w:bCs/>
          <w:color w:val="000000"/>
          <w:sz w:val="28"/>
          <w:szCs w:val="28"/>
          <w:lang w:eastAsia="en-GB"/>
        </w:rPr>
      </w:pPr>
      <w:r w:rsidRPr="00716117">
        <w:rPr>
          <w:rFonts w:ascii="Times New Roman" w:eastAsia="Times New Roman" w:hAnsi="Times New Roman" w:cs="Times New Roman"/>
          <w:b/>
          <w:bCs/>
          <w:color w:val="000000"/>
          <w:sz w:val="28"/>
          <w:szCs w:val="28"/>
          <w:lang w:eastAsia="en-GB"/>
        </w:rPr>
        <w:t xml:space="preserve">H O T Ă R </w:t>
      </w:r>
      <w:r w:rsidR="00147C87">
        <w:rPr>
          <w:rFonts w:ascii="Times New Roman" w:eastAsia="Times New Roman" w:hAnsi="Times New Roman" w:cs="Times New Roman"/>
          <w:b/>
          <w:bCs/>
          <w:color w:val="000000"/>
          <w:sz w:val="28"/>
          <w:szCs w:val="28"/>
          <w:lang w:eastAsia="en-GB"/>
        </w:rPr>
        <w:t>Â</w:t>
      </w:r>
      <w:r w:rsidRPr="00716117">
        <w:rPr>
          <w:rFonts w:ascii="Times New Roman" w:eastAsia="Times New Roman" w:hAnsi="Times New Roman" w:cs="Times New Roman"/>
          <w:b/>
          <w:bCs/>
          <w:color w:val="000000"/>
          <w:sz w:val="28"/>
          <w:szCs w:val="28"/>
          <w:lang w:eastAsia="en-GB"/>
        </w:rPr>
        <w:t xml:space="preserve"> R E</w:t>
      </w:r>
    </w:p>
    <w:p w14:paraId="1247028F" w14:textId="77777777" w:rsidR="00716117" w:rsidRPr="00716117" w:rsidRDefault="00716117" w:rsidP="0070662B">
      <w:pPr>
        <w:spacing w:after="0"/>
        <w:ind w:left="0" w:firstLine="0"/>
        <w:jc w:val="center"/>
        <w:rPr>
          <w:rFonts w:ascii="Times New Roman" w:eastAsia="Times New Roman" w:hAnsi="Times New Roman" w:cs="Times New Roman"/>
          <w:b/>
          <w:bCs/>
          <w:color w:val="000000"/>
          <w:sz w:val="28"/>
          <w:szCs w:val="28"/>
          <w:lang w:eastAsia="en-GB"/>
        </w:rPr>
      </w:pPr>
    </w:p>
    <w:p w14:paraId="4ABAE0BF" w14:textId="77777777" w:rsidR="00716117" w:rsidRPr="00716117" w:rsidRDefault="00716117" w:rsidP="00716117">
      <w:pPr>
        <w:shd w:val="clear" w:color="auto" w:fill="FFFFFF"/>
        <w:ind w:firstLine="540"/>
        <w:jc w:val="center"/>
        <w:rPr>
          <w:rFonts w:ascii="Times New Roman" w:hAnsi="Times New Roman" w:cs="Times New Roman"/>
          <w:b/>
          <w:bCs/>
          <w:sz w:val="28"/>
          <w:szCs w:val="28"/>
          <w:lang w:val="ro-MD"/>
        </w:rPr>
      </w:pPr>
      <w:r w:rsidRPr="00716117">
        <w:rPr>
          <w:rFonts w:ascii="Times New Roman" w:hAnsi="Times New Roman" w:cs="Times New Roman"/>
          <w:b/>
          <w:bCs/>
          <w:sz w:val="28"/>
          <w:szCs w:val="28"/>
          <w:lang w:val="ro-MD"/>
        </w:rPr>
        <w:t>cu privire la aprobarea Regulamentului privind modul de compensare a dobânzilor la creditele bancare și/sau nebancare contractate de întreprinderile mici și mijlocii</w:t>
      </w:r>
    </w:p>
    <w:p w14:paraId="6D0E1D49" w14:textId="77777777" w:rsidR="0070662B" w:rsidRPr="00716117" w:rsidRDefault="0070662B" w:rsidP="0070662B">
      <w:pPr>
        <w:spacing w:after="0"/>
        <w:ind w:left="0" w:firstLine="0"/>
        <w:jc w:val="center"/>
        <w:rPr>
          <w:rFonts w:ascii="Times New Roman" w:eastAsia="Times New Roman" w:hAnsi="Times New Roman" w:cs="Times New Roman"/>
          <w:b/>
          <w:bCs/>
          <w:color w:val="000000"/>
          <w:sz w:val="28"/>
          <w:szCs w:val="28"/>
          <w:lang w:eastAsia="en-GB"/>
        </w:rPr>
      </w:pPr>
      <w:r w:rsidRPr="00716117">
        <w:rPr>
          <w:rFonts w:ascii="Times New Roman" w:eastAsia="Times New Roman" w:hAnsi="Times New Roman" w:cs="Times New Roman"/>
          <w:b/>
          <w:bCs/>
          <w:color w:val="000000"/>
          <w:sz w:val="28"/>
          <w:szCs w:val="28"/>
          <w:lang w:eastAsia="en-GB"/>
        </w:rPr>
        <w:t> </w:t>
      </w:r>
    </w:p>
    <w:p w14:paraId="51865C59" w14:textId="7F0828EE" w:rsidR="0070662B" w:rsidRPr="00716117" w:rsidRDefault="0070662B" w:rsidP="0070662B">
      <w:pPr>
        <w:spacing w:after="0"/>
        <w:ind w:left="0" w:firstLine="0"/>
        <w:jc w:val="center"/>
        <w:rPr>
          <w:rFonts w:ascii="Times New Roman" w:eastAsia="Times New Roman" w:hAnsi="Times New Roman" w:cs="Times New Roman"/>
          <w:b/>
          <w:bCs/>
          <w:color w:val="000000"/>
          <w:sz w:val="28"/>
          <w:szCs w:val="28"/>
          <w:lang w:eastAsia="en-GB"/>
        </w:rPr>
      </w:pPr>
      <w:r w:rsidRPr="00716117">
        <w:rPr>
          <w:rFonts w:ascii="Times New Roman" w:eastAsia="Times New Roman" w:hAnsi="Times New Roman" w:cs="Times New Roman"/>
          <w:b/>
          <w:bCs/>
          <w:color w:val="000000"/>
          <w:sz w:val="28"/>
          <w:szCs w:val="28"/>
          <w:lang w:eastAsia="en-GB"/>
        </w:rPr>
        <w:t>nr._____  din  ___ noiembrie 2022</w:t>
      </w:r>
    </w:p>
    <w:p w14:paraId="5DCCBE9E" w14:textId="42BC2B55" w:rsidR="0070662B" w:rsidRPr="00716117" w:rsidRDefault="0070662B" w:rsidP="00521F93">
      <w:p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  </w:t>
      </w:r>
    </w:p>
    <w:p w14:paraId="12B9A54B" w14:textId="3EAE8D6C" w:rsidR="0070662B" w:rsidRPr="00716117" w:rsidRDefault="0070662B" w:rsidP="00521F93">
      <w:p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 xml:space="preserve">În </w:t>
      </w:r>
      <w:r w:rsidR="00716117" w:rsidRPr="00716117">
        <w:rPr>
          <w:rFonts w:ascii="Times New Roman" w:eastAsia="Times New Roman" w:hAnsi="Times New Roman" w:cs="Times New Roman"/>
          <w:color w:val="000000"/>
          <w:sz w:val="28"/>
          <w:szCs w:val="28"/>
          <w:lang w:eastAsia="en-GB"/>
        </w:rPr>
        <w:t xml:space="preserve">scopul </w:t>
      </w:r>
      <w:r w:rsidRPr="00716117">
        <w:rPr>
          <w:rFonts w:ascii="Times New Roman" w:eastAsia="Times New Roman" w:hAnsi="Times New Roman" w:cs="Times New Roman"/>
          <w:color w:val="000000"/>
          <w:sz w:val="28"/>
          <w:szCs w:val="28"/>
          <w:lang w:eastAsia="en-GB"/>
        </w:rPr>
        <w:t>executării pct.</w:t>
      </w:r>
      <w:r w:rsidR="00716117" w:rsidRPr="00716117">
        <w:rPr>
          <w:rFonts w:ascii="Times New Roman" w:eastAsia="Times New Roman" w:hAnsi="Times New Roman" w:cs="Times New Roman"/>
          <w:color w:val="000000"/>
          <w:sz w:val="28"/>
          <w:szCs w:val="28"/>
          <w:lang w:eastAsia="en-GB"/>
        </w:rPr>
        <w:t xml:space="preserve"> </w:t>
      </w:r>
      <w:r w:rsidRPr="00716117">
        <w:rPr>
          <w:rFonts w:ascii="Times New Roman" w:eastAsia="Times New Roman" w:hAnsi="Times New Roman" w:cs="Times New Roman"/>
          <w:color w:val="000000"/>
          <w:sz w:val="28"/>
          <w:szCs w:val="28"/>
          <w:lang w:eastAsia="en-GB"/>
        </w:rPr>
        <w:t>3 a</w:t>
      </w:r>
      <w:r w:rsidR="00716117" w:rsidRPr="00716117">
        <w:rPr>
          <w:rFonts w:ascii="Times New Roman" w:eastAsia="Times New Roman" w:hAnsi="Times New Roman" w:cs="Times New Roman"/>
          <w:color w:val="000000"/>
          <w:sz w:val="28"/>
          <w:szCs w:val="28"/>
          <w:lang w:eastAsia="en-GB"/>
        </w:rPr>
        <w:t>l</w:t>
      </w:r>
      <w:r w:rsidRPr="00716117">
        <w:rPr>
          <w:rFonts w:ascii="Times New Roman" w:eastAsia="Times New Roman" w:hAnsi="Times New Roman" w:cs="Times New Roman"/>
          <w:color w:val="000000"/>
          <w:sz w:val="28"/>
          <w:szCs w:val="28"/>
          <w:lang w:eastAsia="en-GB"/>
        </w:rPr>
        <w:t xml:space="preserve"> Dispoziției </w:t>
      </w:r>
      <w:r w:rsidR="00716117" w:rsidRPr="00716117">
        <w:rPr>
          <w:rFonts w:ascii="Times New Roman" w:eastAsia="Times New Roman" w:hAnsi="Times New Roman" w:cs="Times New Roman"/>
          <w:color w:val="000000"/>
          <w:sz w:val="28"/>
          <w:szCs w:val="28"/>
          <w:lang w:eastAsia="en-GB"/>
        </w:rPr>
        <w:t xml:space="preserve">nr. 44 din 25 octombrie 2022 a </w:t>
      </w:r>
      <w:r w:rsidRPr="00716117">
        <w:rPr>
          <w:rFonts w:ascii="Times New Roman" w:eastAsia="Times New Roman" w:hAnsi="Times New Roman" w:cs="Times New Roman"/>
          <w:color w:val="000000"/>
          <w:sz w:val="28"/>
          <w:szCs w:val="28"/>
          <w:lang w:eastAsia="en-GB"/>
        </w:rPr>
        <w:t>Comisiei pentru Situații Excepționale a Republicii Moldova,</w:t>
      </w:r>
      <w:r w:rsidR="00716117" w:rsidRPr="00716117">
        <w:rPr>
          <w:rFonts w:ascii="Times New Roman" w:eastAsia="Times New Roman" w:hAnsi="Times New Roman" w:cs="Times New Roman"/>
          <w:color w:val="000000"/>
          <w:sz w:val="28"/>
          <w:szCs w:val="28"/>
          <w:lang w:eastAsia="en-GB"/>
        </w:rPr>
        <w:t xml:space="preserve"> în temeiul </w:t>
      </w:r>
      <w:r w:rsidR="00C44099">
        <w:rPr>
          <w:rFonts w:ascii="Times New Roman" w:eastAsia="Times New Roman" w:hAnsi="Times New Roman" w:cs="Times New Roman"/>
          <w:color w:val="000000"/>
          <w:sz w:val="28"/>
          <w:szCs w:val="28"/>
          <w:lang w:eastAsia="en-GB"/>
        </w:rPr>
        <w:t xml:space="preserve">art. 9 alin. (1) din Legea nr. 179/2016 cu privire la întreprinderile mici și mijlocii </w:t>
      </w:r>
      <w:r w:rsidR="00C44099" w:rsidRPr="00716117">
        <w:rPr>
          <w:rFonts w:ascii="Times New Roman" w:eastAsia="Times New Roman" w:hAnsi="Times New Roman" w:cs="Times New Roman"/>
          <w:color w:val="000000"/>
          <w:sz w:val="28"/>
          <w:szCs w:val="28"/>
          <w:lang w:eastAsia="en-GB"/>
        </w:rPr>
        <w:t xml:space="preserve">(Monitorul Oficial al Republicii Moldova, nr. </w:t>
      </w:r>
      <w:r w:rsidR="00C44099">
        <w:rPr>
          <w:rFonts w:ascii="Times New Roman" w:eastAsia="Times New Roman" w:hAnsi="Times New Roman" w:cs="Times New Roman"/>
          <w:color w:val="000000"/>
          <w:sz w:val="28"/>
          <w:szCs w:val="28"/>
          <w:lang w:eastAsia="en-GB"/>
        </w:rPr>
        <w:t>306-313</w:t>
      </w:r>
      <w:r w:rsidR="00C44099" w:rsidRPr="00716117">
        <w:rPr>
          <w:rFonts w:ascii="Times New Roman" w:eastAsia="Times New Roman" w:hAnsi="Times New Roman" w:cs="Times New Roman"/>
          <w:color w:val="000000"/>
          <w:sz w:val="28"/>
          <w:szCs w:val="28"/>
          <w:lang w:eastAsia="en-GB"/>
        </w:rPr>
        <w:t xml:space="preserve">, art. </w:t>
      </w:r>
      <w:r w:rsidR="00C44099">
        <w:rPr>
          <w:rFonts w:ascii="Times New Roman" w:eastAsia="Times New Roman" w:hAnsi="Times New Roman" w:cs="Times New Roman"/>
          <w:color w:val="000000"/>
          <w:sz w:val="28"/>
          <w:szCs w:val="28"/>
          <w:lang w:eastAsia="en-GB"/>
        </w:rPr>
        <w:t>651</w:t>
      </w:r>
      <w:r w:rsidR="00C44099" w:rsidRPr="00716117">
        <w:rPr>
          <w:rFonts w:ascii="Times New Roman" w:eastAsia="Times New Roman" w:hAnsi="Times New Roman" w:cs="Times New Roman"/>
          <w:color w:val="000000"/>
          <w:sz w:val="28"/>
          <w:szCs w:val="28"/>
          <w:lang w:eastAsia="en-GB"/>
        </w:rPr>
        <w:t>)</w:t>
      </w:r>
      <w:r w:rsidR="00C44099">
        <w:rPr>
          <w:rFonts w:ascii="Times New Roman" w:eastAsia="Times New Roman" w:hAnsi="Times New Roman" w:cs="Times New Roman"/>
          <w:color w:val="000000"/>
          <w:sz w:val="28"/>
          <w:szCs w:val="28"/>
          <w:lang w:eastAsia="en-GB"/>
        </w:rPr>
        <w:t xml:space="preserve"> și </w:t>
      </w:r>
      <w:r w:rsidRPr="00716117">
        <w:rPr>
          <w:rFonts w:ascii="Times New Roman" w:eastAsia="Times New Roman" w:hAnsi="Times New Roman" w:cs="Times New Roman"/>
          <w:color w:val="000000"/>
          <w:sz w:val="28"/>
          <w:szCs w:val="28"/>
          <w:lang w:eastAsia="en-GB"/>
        </w:rPr>
        <w:t>art.</w:t>
      </w:r>
      <w:r w:rsidR="00716117" w:rsidRPr="00716117">
        <w:rPr>
          <w:rFonts w:ascii="Times New Roman" w:eastAsia="Times New Roman" w:hAnsi="Times New Roman" w:cs="Times New Roman"/>
          <w:color w:val="000000"/>
          <w:sz w:val="28"/>
          <w:szCs w:val="28"/>
          <w:lang w:eastAsia="en-GB"/>
        </w:rPr>
        <w:t xml:space="preserve"> 6, lit. </w:t>
      </w:r>
      <w:r w:rsidRPr="00716117">
        <w:rPr>
          <w:rFonts w:ascii="Times New Roman" w:eastAsia="Times New Roman" w:hAnsi="Times New Roman" w:cs="Times New Roman"/>
          <w:color w:val="000000"/>
          <w:sz w:val="28"/>
          <w:szCs w:val="28"/>
          <w:lang w:eastAsia="en-GB"/>
        </w:rPr>
        <w:t>h) din Legea nr.136/2017 cu privire la Guvern (Monitorul Oficial al Republicii Moldova, nr.</w:t>
      </w:r>
      <w:r w:rsidR="00716117" w:rsidRPr="00716117">
        <w:rPr>
          <w:rFonts w:ascii="Times New Roman" w:eastAsia="Times New Roman" w:hAnsi="Times New Roman" w:cs="Times New Roman"/>
          <w:color w:val="000000"/>
          <w:sz w:val="28"/>
          <w:szCs w:val="28"/>
          <w:lang w:eastAsia="en-GB"/>
        </w:rPr>
        <w:t xml:space="preserve"> </w:t>
      </w:r>
      <w:r w:rsidRPr="00716117">
        <w:rPr>
          <w:rFonts w:ascii="Times New Roman" w:eastAsia="Times New Roman" w:hAnsi="Times New Roman" w:cs="Times New Roman"/>
          <w:color w:val="000000"/>
          <w:sz w:val="28"/>
          <w:szCs w:val="28"/>
          <w:lang w:eastAsia="en-GB"/>
        </w:rPr>
        <w:t>252, art.</w:t>
      </w:r>
      <w:r w:rsidR="00716117" w:rsidRPr="00716117">
        <w:rPr>
          <w:rFonts w:ascii="Times New Roman" w:eastAsia="Times New Roman" w:hAnsi="Times New Roman" w:cs="Times New Roman"/>
          <w:color w:val="000000"/>
          <w:sz w:val="28"/>
          <w:szCs w:val="28"/>
          <w:lang w:eastAsia="en-GB"/>
        </w:rPr>
        <w:t xml:space="preserve"> </w:t>
      </w:r>
      <w:r w:rsidRPr="00716117">
        <w:rPr>
          <w:rFonts w:ascii="Times New Roman" w:eastAsia="Times New Roman" w:hAnsi="Times New Roman" w:cs="Times New Roman"/>
          <w:color w:val="000000"/>
          <w:sz w:val="28"/>
          <w:szCs w:val="28"/>
          <w:lang w:eastAsia="en-GB"/>
        </w:rPr>
        <w:t>412), Guvernul</w:t>
      </w:r>
    </w:p>
    <w:p w14:paraId="5E9841AB" w14:textId="77777777" w:rsidR="0070662B" w:rsidRPr="00716117" w:rsidRDefault="0070662B" w:rsidP="0070662B">
      <w:pPr>
        <w:spacing w:after="0"/>
        <w:ind w:left="0" w:firstLine="0"/>
        <w:jc w:val="center"/>
        <w:rPr>
          <w:rFonts w:ascii="Times New Roman" w:eastAsia="Times New Roman" w:hAnsi="Times New Roman" w:cs="Times New Roman"/>
          <w:b/>
          <w:bCs/>
          <w:color w:val="000000"/>
          <w:sz w:val="28"/>
          <w:szCs w:val="28"/>
          <w:lang w:eastAsia="en-GB"/>
        </w:rPr>
      </w:pPr>
      <w:r w:rsidRPr="00716117">
        <w:rPr>
          <w:rFonts w:ascii="Times New Roman" w:eastAsia="Times New Roman" w:hAnsi="Times New Roman" w:cs="Times New Roman"/>
          <w:b/>
          <w:bCs/>
          <w:color w:val="000000"/>
          <w:sz w:val="28"/>
          <w:szCs w:val="28"/>
          <w:lang w:eastAsia="en-GB"/>
        </w:rPr>
        <w:t>HOTĂRĂŞTE:</w:t>
      </w:r>
    </w:p>
    <w:p w14:paraId="121C3708" w14:textId="77777777" w:rsidR="0070662B" w:rsidRPr="00716117" w:rsidRDefault="0070662B" w:rsidP="00521F93">
      <w:pPr>
        <w:spacing w:after="0"/>
        <w:ind w:left="0" w:firstLine="0"/>
        <w:jc w:val="center"/>
        <w:rPr>
          <w:rFonts w:ascii="Times New Roman" w:eastAsia="Times New Roman" w:hAnsi="Times New Roman" w:cs="Times New Roman"/>
          <w:b/>
          <w:bCs/>
          <w:color w:val="000000"/>
          <w:sz w:val="28"/>
          <w:szCs w:val="28"/>
          <w:lang w:eastAsia="en-GB"/>
        </w:rPr>
      </w:pPr>
    </w:p>
    <w:p w14:paraId="5F77F5B0" w14:textId="7F33FE73" w:rsidR="0070662B" w:rsidRPr="00716117" w:rsidRDefault="0070662B" w:rsidP="00716117">
      <w:pPr>
        <w:pStyle w:val="ListParagraph"/>
        <w:numPr>
          <w:ilvl w:val="0"/>
          <w:numId w:val="23"/>
        </w:num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 xml:space="preserve">Se aprobă Regulamentul privind modul de compensare a dobânzilor la creditele bancare și/sau nebancare contractate de întreprinderile mici și mijlocii, </w:t>
      </w:r>
      <w:r w:rsidR="00716117">
        <w:rPr>
          <w:rFonts w:ascii="Times New Roman" w:eastAsia="Times New Roman" w:hAnsi="Times New Roman" w:cs="Times New Roman"/>
          <w:color w:val="000000"/>
          <w:sz w:val="28"/>
          <w:szCs w:val="28"/>
          <w:lang w:eastAsia="en-GB"/>
        </w:rPr>
        <w:t>conform anexei</w:t>
      </w:r>
      <w:r w:rsidRPr="00716117">
        <w:rPr>
          <w:rFonts w:ascii="Times New Roman" w:eastAsia="Times New Roman" w:hAnsi="Times New Roman" w:cs="Times New Roman"/>
          <w:color w:val="000000"/>
          <w:sz w:val="28"/>
          <w:szCs w:val="28"/>
          <w:lang w:eastAsia="en-GB"/>
        </w:rPr>
        <w:t>.</w:t>
      </w:r>
    </w:p>
    <w:p w14:paraId="4283318C" w14:textId="241272B9" w:rsidR="00C065D3" w:rsidRPr="00716117" w:rsidRDefault="00C065D3" w:rsidP="000F6896">
      <w:pPr>
        <w:pStyle w:val="ListParagraph"/>
        <w:numPr>
          <w:ilvl w:val="0"/>
          <w:numId w:val="23"/>
        </w:numPr>
        <w:spacing w:after="0"/>
        <w:ind w:left="0" w:firstLine="567"/>
        <w:rPr>
          <w:rFonts w:ascii="Times New Roman" w:eastAsia="Times New Roman" w:hAnsi="Times New Roman" w:cs="Times New Roman"/>
          <w:i/>
          <w:iCs/>
          <w:color w:val="000000"/>
          <w:sz w:val="28"/>
          <w:szCs w:val="28"/>
          <w:lang w:eastAsia="en-GB"/>
        </w:rPr>
      </w:pPr>
      <w:r w:rsidRPr="00716117">
        <w:rPr>
          <w:rFonts w:ascii="Times New Roman" w:eastAsia="Times New Roman" w:hAnsi="Times New Roman" w:cs="Times New Roman"/>
          <w:color w:val="000000"/>
          <w:sz w:val="28"/>
          <w:szCs w:val="28"/>
          <w:lang w:eastAsia="en-GB"/>
        </w:rPr>
        <w:t xml:space="preserve">În scopul executării prezentei Hotărâri, </w:t>
      </w:r>
      <w:r w:rsidR="00B4712A" w:rsidRPr="00716117">
        <w:rPr>
          <w:rFonts w:ascii="Times New Roman" w:hAnsi="Times New Roman" w:cs="Times New Roman"/>
          <w:color w:val="000000"/>
          <w:sz w:val="28"/>
          <w:szCs w:val="28"/>
        </w:rPr>
        <w:t xml:space="preserve">Instituția Publică </w:t>
      </w:r>
      <w:r w:rsidR="00B4712A">
        <w:rPr>
          <w:rFonts w:ascii="Times New Roman" w:hAnsi="Times New Roman" w:cs="Times New Roman"/>
          <w:color w:val="000000"/>
          <w:sz w:val="28"/>
          <w:szCs w:val="28"/>
        </w:rPr>
        <w:t>”</w:t>
      </w:r>
      <w:r w:rsidR="00B4712A" w:rsidRPr="00716117">
        <w:rPr>
          <w:rFonts w:ascii="Times New Roman" w:hAnsi="Times New Roman" w:cs="Times New Roman"/>
          <w:color w:val="000000"/>
          <w:sz w:val="28"/>
          <w:szCs w:val="28"/>
          <w:lang w:val="ro-MD"/>
        </w:rPr>
        <w:t>Organizația pentru Dezvoltarea Antreprenoriatului</w:t>
      </w:r>
      <w:r w:rsidR="00B4712A">
        <w:rPr>
          <w:rFonts w:ascii="Times New Roman" w:hAnsi="Times New Roman" w:cs="Times New Roman"/>
          <w:color w:val="000000"/>
          <w:sz w:val="28"/>
          <w:szCs w:val="28"/>
          <w:lang w:val="ro-MD"/>
        </w:rPr>
        <w:t>” (</w:t>
      </w:r>
      <w:r w:rsidR="00B4712A" w:rsidRPr="00716117">
        <w:rPr>
          <w:rFonts w:ascii="Times New Roman" w:hAnsi="Times New Roman" w:cs="Times New Roman"/>
          <w:color w:val="000000"/>
          <w:sz w:val="28"/>
          <w:szCs w:val="28"/>
          <w:lang w:val="ro-MD"/>
        </w:rPr>
        <w:t xml:space="preserve"> </w:t>
      </w:r>
      <w:r w:rsidRPr="00716117">
        <w:rPr>
          <w:rFonts w:ascii="Times New Roman" w:eastAsia="Times New Roman" w:hAnsi="Times New Roman" w:cs="Times New Roman"/>
          <w:color w:val="000000"/>
          <w:sz w:val="28"/>
          <w:szCs w:val="28"/>
          <w:lang w:eastAsia="en-GB"/>
        </w:rPr>
        <w:t>I.P. ODA</w:t>
      </w:r>
      <w:r w:rsidR="00B4712A">
        <w:rPr>
          <w:rFonts w:ascii="Times New Roman" w:eastAsia="Times New Roman" w:hAnsi="Times New Roman" w:cs="Times New Roman"/>
          <w:color w:val="000000"/>
          <w:sz w:val="28"/>
          <w:szCs w:val="28"/>
          <w:lang w:eastAsia="en-GB"/>
        </w:rPr>
        <w:t>)</w:t>
      </w:r>
      <w:r w:rsidRPr="00716117">
        <w:rPr>
          <w:rFonts w:ascii="Times New Roman" w:eastAsia="Times New Roman" w:hAnsi="Times New Roman" w:cs="Times New Roman"/>
          <w:color w:val="000000"/>
          <w:sz w:val="28"/>
          <w:szCs w:val="28"/>
          <w:lang w:eastAsia="en-GB"/>
        </w:rPr>
        <w:t xml:space="preserve"> va utiliza mijloacele financiare în valoare de 200 milioane lei cu destinația „susținerea întreprinderilor mici și mijlocii”, alocate în urma rectificării bugetului de stat pentru anul 2022 prin </w:t>
      </w:r>
      <w:r w:rsidRPr="00716117">
        <w:rPr>
          <w:rFonts w:ascii="Times New Roman" w:eastAsia="Times New Roman" w:hAnsi="Times New Roman" w:cs="Times New Roman"/>
          <w:i/>
          <w:iCs/>
          <w:color w:val="000000"/>
          <w:sz w:val="28"/>
          <w:szCs w:val="28"/>
          <w:lang w:eastAsia="en-GB"/>
        </w:rPr>
        <w:t>Legea nr.260/2022 privind modificarea Legii bugetului de stat pentru anul 2022 nr. 205/2021.</w:t>
      </w:r>
    </w:p>
    <w:p w14:paraId="3B0F07DE" w14:textId="3478CA83" w:rsidR="00C065D3" w:rsidRPr="00716117" w:rsidRDefault="00C065D3" w:rsidP="000F6896">
      <w:pPr>
        <w:pStyle w:val="ListParagraph"/>
        <w:numPr>
          <w:ilvl w:val="0"/>
          <w:numId w:val="23"/>
        </w:num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 xml:space="preserve">Prin derogare de la prevederile </w:t>
      </w:r>
      <w:r w:rsidRPr="00716117">
        <w:rPr>
          <w:rFonts w:ascii="Times New Roman" w:eastAsia="Times New Roman" w:hAnsi="Times New Roman" w:cs="Times New Roman"/>
          <w:i/>
          <w:iCs/>
          <w:color w:val="000000"/>
          <w:sz w:val="28"/>
          <w:szCs w:val="28"/>
          <w:lang w:eastAsia="en-GB"/>
        </w:rPr>
        <w:t>Hotărârii Guvernului nr.712/2020 cu privire la serviciul guvernamental de plăți electronice (MPay)</w:t>
      </w:r>
      <w:r w:rsidRPr="00716117">
        <w:rPr>
          <w:rFonts w:ascii="Times New Roman" w:eastAsia="Times New Roman" w:hAnsi="Times New Roman" w:cs="Times New Roman"/>
          <w:color w:val="000000"/>
          <w:sz w:val="28"/>
          <w:szCs w:val="28"/>
          <w:lang w:eastAsia="en-GB"/>
        </w:rPr>
        <w:t>, I.P. ODA va utiliza posibilitățile tehnice a</w:t>
      </w:r>
      <w:r w:rsidR="000F6896">
        <w:rPr>
          <w:rFonts w:ascii="Times New Roman" w:eastAsia="Times New Roman" w:hAnsi="Times New Roman" w:cs="Times New Roman"/>
          <w:color w:val="000000"/>
          <w:sz w:val="28"/>
          <w:szCs w:val="28"/>
          <w:lang w:eastAsia="en-GB"/>
        </w:rPr>
        <w:t>le</w:t>
      </w:r>
      <w:r w:rsidRPr="00716117">
        <w:rPr>
          <w:rFonts w:ascii="Times New Roman" w:eastAsia="Times New Roman" w:hAnsi="Times New Roman" w:cs="Times New Roman"/>
          <w:color w:val="000000"/>
          <w:sz w:val="28"/>
          <w:szCs w:val="28"/>
          <w:lang w:eastAsia="en-GB"/>
        </w:rPr>
        <w:t xml:space="preserve"> serviciului MPay pentru crearea automatizată a ordinelor de plată în scopul transferului compensațiilor către </w:t>
      </w:r>
      <w:r w:rsidR="00B4712A">
        <w:rPr>
          <w:rFonts w:ascii="Times New Roman" w:eastAsia="Times New Roman" w:hAnsi="Times New Roman" w:cs="Times New Roman"/>
          <w:color w:val="000000"/>
          <w:sz w:val="28"/>
          <w:szCs w:val="28"/>
          <w:lang w:eastAsia="en-GB"/>
        </w:rPr>
        <w:t>întreprinderile</w:t>
      </w:r>
      <w:r w:rsidRPr="00716117">
        <w:rPr>
          <w:rFonts w:ascii="Times New Roman" w:eastAsia="Times New Roman" w:hAnsi="Times New Roman" w:cs="Times New Roman"/>
          <w:color w:val="000000"/>
          <w:sz w:val="28"/>
          <w:szCs w:val="28"/>
          <w:lang w:eastAsia="en-GB"/>
        </w:rPr>
        <w:t xml:space="preserve"> beneficiare, iar Agenția de Guvernare Electronică va acorda suport tehnic și metodologic pentru I.P. ODA.</w:t>
      </w:r>
    </w:p>
    <w:p w14:paraId="6F839BE7" w14:textId="5E751303" w:rsidR="000F6896" w:rsidRDefault="000F6896" w:rsidP="000F6896">
      <w:pPr>
        <w:pStyle w:val="ListParagraph"/>
        <w:numPr>
          <w:ilvl w:val="0"/>
          <w:numId w:val="23"/>
        </w:numPr>
        <w:spacing w:after="0"/>
        <w:ind w:left="0" w:firstLine="567"/>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Responsabili pentru implementarea prezentei </w:t>
      </w:r>
      <w:r w:rsidR="00B4712A">
        <w:rPr>
          <w:rFonts w:ascii="Times New Roman" w:eastAsia="Times New Roman" w:hAnsi="Times New Roman" w:cs="Times New Roman"/>
          <w:color w:val="000000"/>
          <w:sz w:val="28"/>
          <w:szCs w:val="28"/>
          <w:lang w:eastAsia="en-GB"/>
        </w:rPr>
        <w:t>h</w:t>
      </w:r>
      <w:r>
        <w:rPr>
          <w:rFonts w:ascii="Times New Roman" w:eastAsia="Times New Roman" w:hAnsi="Times New Roman" w:cs="Times New Roman"/>
          <w:color w:val="000000"/>
          <w:sz w:val="28"/>
          <w:szCs w:val="28"/>
          <w:lang w:eastAsia="en-GB"/>
        </w:rPr>
        <w:t>otărâri sunt Ministerul Economiei și Agenția de Guvernare Electronică.</w:t>
      </w:r>
    </w:p>
    <w:p w14:paraId="5E65BAB4" w14:textId="77777777" w:rsidR="0070662B" w:rsidRPr="00716117" w:rsidRDefault="0070662B" w:rsidP="000F6896">
      <w:pPr>
        <w:pStyle w:val="ListParagraph"/>
        <w:numPr>
          <w:ilvl w:val="0"/>
          <w:numId w:val="23"/>
        </w:num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Controlul asupra executării prezentei hotărâri se pune în sarcina Ministerului Economiei.</w:t>
      </w:r>
    </w:p>
    <w:p w14:paraId="5FFD8E32" w14:textId="169FFD1C" w:rsidR="00521F93" w:rsidRPr="00716117" w:rsidRDefault="0070662B" w:rsidP="000F6896">
      <w:pPr>
        <w:pStyle w:val="ListParagraph"/>
        <w:numPr>
          <w:ilvl w:val="0"/>
          <w:numId w:val="23"/>
        </w:numPr>
        <w:spacing w:after="0"/>
        <w:ind w:left="0" w:firstLine="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Prezenta hotărâre intră în vigoare la data publicării în Monitorul Oficial al Republicii Moldova.</w:t>
      </w:r>
    </w:p>
    <w:p w14:paraId="12BDDC70" w14:textId="77777777" w:rsidR="00573090" w:rsidRPr="00716117" w:rsidRDefault="00573090" w:rsidP="00573090">
      <w:pPr>
        <w:pStyle w:val="ListParagraph"/>
        <w:spacing w:after="0"/>
        <w:ind w:left="0" w:firstLine="0"/>
        <w:rPr>
          <w:rFonts w:ascii="Times New Roman" w:eastAsia="Times New Roman" w:hAnsi="Times New Roman" w:cs="Times New Roman"/>
          <w:color w:val="000000"/>
          <w:sz w:val="28"/>
          <w:szCs w:val="28"/>
          <w:lang w:eastAsia="en-GB"/>
        </w:rPr>
      </w:pPr>
    </w:p>
    <w:tbl>
      <w:tblPr>
        <w:tblW w:w="0" w:type="auto"/>
        <w:tblLook w:val="04A0" w:firstRow="1" w:lastRow="0" w:firstColumn="1" w:lastColumn="0" w:noHBand="0" w:noVBand="1"/>
      </w:tblPr>
      <w:tblGrid>
        <w:gridCol w:w="5670"/>
        <w:gridCol w:w="3686"/>
      </w:tblGrid>
      <w:tr w:rsidR="0070662B" w:rsidRPr="00716117" w14:paraId="1C600F05" w14:textId="77777777" w:rsidTr="0070662B">
        <w:tc>
          <w:tcPr>
            <w:tcW w:w="5670" w:type="dxa"/>
            <w:shd w:val="clear" w:color="auto" w:fill="auto"/>
          </w:tcPr>
          <w:p w14:paraId="79DD065C" w14:textId="12AAEFBF" w:rsidR="0070662B" w:rsidRPr="00716117" w:rsidRDefault="0070662B" w:rsidP="00521F93">
            <w:pPr>
              <w:shd w:val="clear" w:color="auto" w:fill="FFFFFF" w:themeFill="background1"/>
              <w:spacing w:after="0"/>
              <w:ind w:firstLine="0"/>
              <w:rPr>
                <w:rFonts w:ascii="Times New Roman" w:eastAsia="Calibri" w:hAnsi="Times New Roman" w:cs="Times New Roman"/>
                <w:b/>
                <w:sz w:val="28"/>
                <w:szCs w:val="28"/>
              </w:rPr>
            </w:pPr>
            <w:r w:rsidRPr="00716117">
              <w:rPr>
                <w:rFonts w:ascii="Times New Roman" w:eastAsia="Calibri" w:hAnsi="Times New Roman" w:cs="Times New Roman"/>
                <w:b/>
                <w:sz w:val="28"/>
                <w:szCs w:val="28"/>
              </w:rPr>
              <w:t>Prim-ministr</w:t>
            </w:r>
            <w:r w:rsidR="00521F93" w:rsidRPr="00716117">
              <w:rPr>
                <w:rFonts w:ascii="Times New Roman" w:eastAsia="Calibri" w:hAnsi="Times New Roman" w:cs="Times New Roman"/>
                <w:b/>
                <w:sz w:val="28"/>
                <w:szCs w:val="28"/>
              </w:rPr>
              <w:t>u</w:t>
            </w:r>
          </w:p>
          <w:p w14:paraId="2F49FAB3"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b/>
                <w:sz w:val="28"/>
                <w:szCs w:val="28"/>
              </w:rPr>
            </w:pPr>
          </w:p>
        </w:tc>
        <w:tc>
          <w:tcPr>
            <w:tcW w:w="3686" w:type="dxa"/>
            <w:shd w:val="clear" w:color="auto" w:fill="auto"/>
          </w:tcPr>
          <w:p w14:paraId="4423617F"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b/>
                <w:sz w:val="28"/>
                <w:szCs w:val="28"/>
              </w:rPr>
            </w:pPr>
            <w:r w:rsidRPr="00716117">
              <w:rPr>
                <w:rFonts w:ascii="Times New Roman" w:eastAsia="Times New Roman" w:hAnsi="Times New Roman" w:cs="Times New Roman"/>
                <w:b/>
                <w:sz w:val="28"/>
                <w:szCs w:val="28"/>
                <w:lang w:eastAsia="ru-RU"/>
              </w:rPr>
              <w:t>Natalia GAVRILIȚĂ</w:t>
            </w:r>
          </w:p>
        </w:tc>
      </w:tr>
      <w:tr w:rsidR="0070662B" w:rsidRPr="00716117" w14:paraId="7DD06B4A" w14:textId="77777777" w:rsidTr="0070662B">
        <w:trPr>
          <w:trHeight w:val="489"/>
        </w:trPr>
        <w:tc>
          <w:tcPr>
            <w:tcW w:w="5670" w:type="dxa"/>
            <w:shd w:val="clear" w:color="auto" w:fill="auto"/>
          </w:tcPr>
          <w:p w14:paraId="2C2CEA0A"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sz w:val="28"/>
                <w:szCs w:val="28"/>
              </w:rPr>
            </w:pPr>
            <w:r w:rsidRPr="00716117">
              <w:rPr>
                <w:rFonts w:ascii="Times New Roman" w:eastAsia="Calibri" w:hAnsi="Times New Roman" w:cs="Times New Roman"/>
                <w:sz w:val="28"/>
                <w:szCs w:val="28"/>
              </w:rPr>
              <w:t>Contrasemnează:</w:t>
            </w:r>
          </w:p>
        </w:tc>
        <w:tc>
          <w:tcPr>
            <w:tcW w:w="3686" w:type="dxa"/>
            <w:shd w:val="clear" w:color="auto" w:fill="auto"/>
          </w:tcPr>
          <w:p w14:paraId="521B5673"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sz w:val="28"/>
                <w:szCs w:val="28"/>
              </w:rPr>
            </w:pPr>
          </w:p>
        </w:tc>
      </w:tr>
      <w:tr w:rsidR="0070662B" w:rsidRPr="00716117" w14:paraId="72050D80" w14:textId="77777777" w:rsidTr="0070662B">
        <w:trPr>
          <w:trHeight w:val="593"/>
        </w:trPr>
        <w:tc>
          <w:tcPr>
            <w:tcW w:w="5670" w:type="dxa"/>
            <w:shd w:val="clear" w:color="auto" w:fill="auto"/>
          </w:tcPr>
          <w:p w14:paraId="3FB0FD34"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b/>
                <w:bCs/>
                <w:sz w:val="28"/>
                <w:szCs w:val="28"/>
              </w:rPr>
            </w:pPr>
            <w:r w:rsidRPr="00716117">
              <w:rPr>
                <w:rFonts w:ascii="Times New Roman" w:eastAsia="Calibri" w:hAnsi="Times New Roman" w:cs="Times New Roman"/>
                <w:b/>
                <w:bCs/>
                <w:sz w:val="28"/>
                <w:szCs w:val="28"/>
              </w:rPr>
              <w:t>Ministrul Economiei</w:t>
            </w:r>
          </w:p>
        </w:tc>
        <w:tc>
          <w:tcPr>
            <w:tcW w:w="3686" w:type="dxa"/>
            <w:shd w:val="clear" w:color="auto" w:fill="auto"/>
          </w:tcPr>
          <w:p w14:paraId="03EE8F88" w14:textId="77777777" w:rsidR="0070662B" w:rsidRPr="00716117" w:rsidRDefault="0070662B" w:rsidP="0070662B">
            <w:pPr>
              <w:shd w:val="clear" w:color="auto" w:fill="FFFFFF" w:themeFill="background1"/>
              <w:spacing w:after="0"/>
              <w:ind w:firstLine="0"/>
              <w:rPr>
                <w:rFonts w:ascii="Times New Roman" w:eastAsia="Times New Roman" w:hAnsi="Times New Roman" w:cs="Times New Roman"/>
                <w:b/>
                <w:bCs/>
                <w:sz w:val="28"/>
                <w:szCs w:val="28"/>
                <w:lang w:eastAsia="ru-RU"/>
              </w:rPr>
            </w:pPr>
            <w:r w:rsidRPr="00716117">
              <w:rPr>
                <w:rFonts w:ascii="Times New Roman" w:eastAsia="Times New Roman" w:hAnsi="Times New Roman" w:cs="Times New Roman"/>
                <w:b/>
                <w:bCs/>
                <w:sz w:val="28"/>
                <w:szCs w:val="28"/>
                <w:lang w:eastAsia="ru-RU"/>
              </w:rPr>
              <w:t>Sergiu GAIBU</w:t>
            </w:r>
          </w:p>
        </w:tc>
      </w:tr>
      <w:tr w:rsidR="0070662B" w:rsidRPr="00716117" w14:paraId="0D135219" w14:textId="77777777" w:rsidTr="0070662B">
        <w:trPr>
          <w:trHeight w:val="533"/>
        </w:trPr>
        <w:tc>
          <w:tcPr>
            <w:tcW w:w="5670" w:type="dxa"/>
            <w:shd w:val="clear" w:color="auto" w:fill="auto"/>
          </w:tcPr>
          <w:p w14:paraId="46E3D113" w14:textId="77777777" w:rsidR="0070662B" w:rsidRPr="00716117" w:rsidRDefault="0070662B" w:rsidP="0070662B">
            <w:pPr>
              <w:shd w:val="clear" w:color="auto" w:fill="FFFFFF" w:themeFill="background1"/>
              <w:spacing w:after="0"/>
              <w:ind w:firstLine="0"/>
              <w:rPr>
                <w:rFonts w:ascii="Times New Roman" w:eastAsia="Calibri" w:hAnsi="Times New Roman" w:cs="Times New Roman"/>
                <w:b/>
                <w:bCs/>
                <w:sz w:val="28"/>
                <w:szCs w:val="28"/>
              </w:rPr>
            </w:pPr>
            <w:r w:rsidRPr="00716117">
              <w:rPr>
                <w:rFonts w:ascii="Times New Roman" w:eastAsia="Calibri" w:hAnsi="Times New Roman" w:cs="Times New Roman"/>
                <w:b/>
                <w:bCs/>
                <w:sz w:val="28"/>
                <w:szCs w:val="28"/>
              </w:rPr>
              <w:t>Ministrul Finanțelor</w:t>
            </w:r>
          </w:p>
        </w:tc>
        <w:tc>
          <w:tcPr>
            <w:tcW w:w="3686" w:type="dxa"/>
            <w:shd w:val="clear" w:color="auto" w:fill="auto"/>
          </w:tcPr>
          <w:p w14:paraId="2CD89D32" w14:textId="77777777" w:rsidR="0070662B" w:rsidRPr="00716117" w:rsidRDefault="0070662B" w:rsidP="0070662B">
            <w:pPr>
              <w:shd w:val="clear" w:color="auto" w:fill="FFFFFF" w:themeFill="background1"/>
              <w:spacing w:after="0"/>
              <w:ind w:firstLine="0"/>
              <w:rPr>
                <w:rFonts w:ascii="Times New Roman" w:eastAsia="Times New Roman" w:hAnsi="Times New Roman" w:cs="Times New Roman"/>
                <w:b/>
                <w:bCs/>
                <w:sz w:val="28"/>
                <w:szCs w:val="28"/>
                <w:lang w:eastAsia="ru-RU"/>
              </w:rPr>
            </w:pPr>
            <w:r w:rsidRPr="00716117">
              <w:rPr>
                <w:rFonts w:ascii="Times New Roman" w:eastAsia="Times New Roman" w:hAnsi="Times New Roman" w:cs="Times New Roman"/>
                <w:b/>
                <w:bCs/>
                <w:sz w:val="28"/>
                <w:szCs w:val="28"/>
                <w:lang w:eastAsia="ru-RU"/>
              </w:rPr>
              <w:t>Dumitru BUDIANSCHI</w:t>
            </w:r>
          </w:p>
        </w:tc>
      </w:tr>
      <w:bookmarkEnd w:id="0"/>
    </w:tbl>
    <w:p w14:paraId="34E9A273" w14:textId="77777777" w:rsidR="003F712B" w:rsidRPr="00716117" w:rsidRDefault="003F712B" w:rsidP="007C3E05">
      <w:pPr>
        <w:pStyle w:val="NormalWeb"/>
        <w:spacing w:before="0" w:beforeAutospacing="0" w:after="0" w:afterAutospacing="0"/>
        <w:rPr>
          <w:b/>
          <w:bCs/>
          <w:color w:val="000000"/>
          <w:sz w:val="28"/>
          <w:szCs w:val="28"/>
        </w:rPr>
      </w:pPr>
    </w:p>
    <w:p w14:paraId="521BD5C4" w14:textId="0534CD1B" w:rsidR="0070662B" w:rsidRPr="00716117" w:rsidRDefault="0070662B" w:rsidP="0070662B">
      <w:pPr>
        <w:ind w:left="0" w:firstLine="0"/>
        <w:jc w:val="right"/>
        <w:rPr>
          <w:rFonts w:ascii="Times New Roman" w:eastAsia="Times New Roman" w:hAnsi="Times New Roman" w:cs="Times New Roman"/>
          <w:sz w:val="28"/>
          <w:szCs w:val="28"/>
        </w:rPr>
      </w:pPr>
      <w:r w:rsidRPr="00716117">
        <w:rPr>
          <w:rFonts w:ascii="Times New Roman" w:eastAsia="Times New Roman" w:hAnsi="Times New Roman" w:cs="Times New Roman"/>
          <w:sz w:val="28"/>
          <w:szCs w:val="28"/>
        </w:rPr>
        <w:t xml:space="preserve">Anexa nr. 1 </w:t>
      </w:r>
    </w:p>
    <w:p w14:paraId="10E49DCB" w14:textId="02BDB522" w:rsidR="0070662B" w:rsidRPr="00716117" w:rsidRDefault="00521F93" w:rsidP="0070662B">
      <w:pPr>
        <w:pStyle w:val="NormalWeb"/>
        <w:spacing w:before="0" w:beforeAutospacing="0" w:after="0" w:afterAutospacing="0"/>
        <w:jc w:val="right"/>
        <w:rPr>
          <w:sz w:val="28"/>
          <w:szCs w:val="28"/>
          <w:lang w:eastAsia="en-US"/>
        </w:rPr>
      </w:pPr>
      <w:r w:rsidRPr="00716117">
        <w:rPr>
          <w:sz w:val="28"/>
          <w:szCs w:val="28"/>
          <w:lang w:eastAsia="en-US"/>
        </w:rPr>
        <w:lastRenderedPageBreak/>
        <w:t>l</w:t>
      </w:r>
      <w:r w:rsidR="0070662B" w:rsidRPr="00716117">
        <w:rPr>
          <w:sz w:val="28"/>
          <w:szCs w:val="28"/>
          <w:lang w:eastAsia="en-US"/>
        </w:rPr>
        <w:t xml:space="preserve">a </w:t>
      </w:r>
      <w:r w:rsidRPr="00716117">
        <w:rPr>
          <w:sz w:val="28"/>
          <w:szCs w:val="28"/>
          <w:lang w:eastAsia="en-US"/>
        </w:rPr>
        <w:t xml:space="preserve">Hotărârea Guvernului </w:t>
      </w:r>
      <w:r w:rsidR="0070662B" w:rsidRPr="00716117">
        <w:rPr>
          <w:sz w:val="28"/>
          <w:szCs w:val="28"/>
          <w:lang w:eastAsia="en-US"/>
        </w:rPr>
        <w:t>nr.____ din ___ octombrie 2022</w:t>
      </w:r>
    </w:p>
    <w:p w14:paraId="2D862334" w14:textId="77777777" w:rsidR="0070662B" w:rsidRPr="00716117" w:rsidRDefault="0070662B" w:rsidP="0070662B">
      <w:pPr>
        <w:pStyle w:val="NormalWeb"/>
        <w:spacing w:before="0" w:beforeAutospacing="0" w:after="0" w:afterAutospacing="0"/>
        <w:jc w:val="right"/>
        <w:rPr>
          <w:b/>
          <w:bCs/>
          <w:color w:val="000000"/>
          <w:sz w:val="28"/>
          <w:szCs w:val="28"/>
        </w:rPr>
      </w:pPr>
    </w:p>
    <w:p w14:paraId="0E014D0C" w14:textId="77777777" w:rsidR="0070662B" w:rsidRPr="000F6896" w:rsidRDefault="0070662B" w:rsidP="0070662B">
      <w:pPr>
        <w:pStyle w:val="NormalWeb"/>
        <w:spacing w:before="0" w:beforeAutospacing="0" w:after="0" w:afterAutospacing="0"/>
        <w:jc w:val="center"/>
        <w:rPr>
          <w:b/>
          <w:bCs/>
          <w:color w:val="000000"/>
          <w:sz w:val="28"/>
          <w:szCs w:val="28"/>
        </w:rPr>
      </w:pPr>
      <w:r w:rsidRPr="000F6896">
        <w:rPr>
          <w:b/>
          <w:bCs/>
          <w:color w:val="000000"/>
          <w:sz w:val="28"/>
          <w:szCs w:val="28"/>
        </w:rPr>
        <w:t>REGULAMENT</w:t>
      </w:r>
    </w:p>
    <w:p w14:paraId="62F57FF4" w14:textId="77777777" w:rsidR="0070662B" w:rsidRPr="000F6896" w:rsidRDefault="0070662B" w:rsidP="0070662B">
      <w:pPr>
        <w:pStyle w:val="NormalWeb"/>
        <w:spacing w:before="0" w:beforeAutospacing="0" w:after="0" w:afterAutospacing="0"/>
        <w:jc w:val="center"/>
        <w:rPr>
          <w:b/>
          <w:bCs/>
          <w:color w:val="000000"/>
          <w:sz w:val="28"/>
          <w:szCs w:val="28"/>
        </w:rPr>
      </w:pPr>
    </w:p>
    <w:p w14:paraId="7F3A8F20" w14:textId="77777777" w:rsidR="0070662B" w:rsidRPr="000F6896" w:rsidRDefault="0070662B" w:rsidP="0070662B">
      <w:pPr>
        <w:pStyle w:val="NormalWeb"/>
        <w:spacing w:before="0" w:beforeAutospacing="0" w:after="0" w:afterAutospacing="0"/>
        <w:jc w:val="center"/>
        <w:rPr>
          <w:rStyle w:val="MSGENFONTSTYLENAMETEMPLATEROLELEVELMSGENFONTSTYLENAMEBYROLEHEADING3"/>
          <w:bCs w:val="0"/>
          <w:sz w:val="28"/>
          <w:szCs w:val="28"/>
        </w:rPr>
      </w:pPr>
      <w:r w:rsidRPr="000F6896">
        <w:rPr>
          <w:rStyle w:val="MSGENFONTSTYLENAMETEMPLATEROLELEVELMSGENFONTSTYLENAMEBYROLEHEADING3"/>
          <w:bCs w:val="0"/>
          <w:sz w:val="28"/>
          <w:szCs w:val="28"/>
        </w:rPr>
        <w:t>privind modul de compensare a dobânzilor la creditele bancare</w:t>
      </w:r>
    </w:p>
    <w:p w14:paraId="0491B684" w14:textId="77777777" w:rsidR="0070662B" w:rsidRPr="000F6896" w:rsidRDefault="0070662B" w:rsidP="0070662B">
      <w:pPr>
        <w:pStyle w:val="NormalWeb"/>
        <w:spacing w:before="0" w:beforeAutospacing="0" w:after="0" w:afterAutospacing="0"/>
        <w:jc w:val="center"/>
        <w:rPr>
          <w:rStyle w:val="MSGENFONTSTYLENAMETEMPLATEROLELEVELMSGENFONTSTYLENAMEBYROLEHEADING3"/>
          <w:bCs w:val="0"/>
          <w:sz w:val="28"/>
          <w:szCs w:val="28"/>
        </w:rPr>
      </w:pPr>
      <w:r w:rsidRPr="000F6896">
        <w:rPr>
          <w:rStyle w:val="MSGENFONTSTYLENAMETEMPLATEROLELEVELMSGENFONTSTYLENAMEBYROLEHEADING3"/>
          <w:bCs w:val="0"/>
          <w:sz w:val="28"/>
          <w:szCs w:val="28"/>
        </w:rPr>
        <w:t>și/sau nebancare contractate de</w:t>
      </w:r>
      <w:r w:rsidRPr="000F6896">
        <w:rPr>
          <w:b/>
          <w:bCs/>
          <w:color w:val="000000"/>
          <w:sz w:val="28"/>
          <w:szCs w:val="28"/>
        </w:rPr>
        <w:t xml:space="preserve"> </w:t>
      </w:r>
      <w:r w:rsidRPr="000F6896">
        <w:rPr>
          <w:b/>
          <w:color w:val="000000"/>
          <w:sz w:val="28"/>
          <w:szCs w:val="28"/>
        </w:rPr>
        <w:t>întreprinderile mici și mijlocii</w:t>
      </w:r>
    </w:p>
    <w:p w14:paraId="65138B0A" w14:textId="77777777" w:rsidR="0070662B" w:rsidRPr="000F6896" w:rsidRDefault="0070662B" w:rsidP="0070662B">
      <w:pPr>
        <w:pStyle w:val="NormalWeb"/>
        <w:spacing w:before="0" w:beforeAutospacing="0" w:after="0" w:afterAutospacing="0"/>
        <w:jc w:val="both"/>
        <w:rPr>
          <w:b/>
          <w:color w:val="000000"/>
          <w:sz w:val="28"/>
          <w:szCs w:val="28"/>
          <w:lang w:val="en-US"/>
        </w:rPr>
      </w:pPr>
    </w:p>
    <w:p w14:paraId="39C9FB77" w14:textId="77777777" w:rsidR="0070662B" w:rsidRPr="00716117" w:rsidRDefault="0070662B" w:rsidP="0070662B">
      <w:pPr>
        <w:pStyle w:val="NormalWeb"/>
        <w:numPr>
          <w:ilvl w:val="0"/>
          <w:numId w:val="4"/>
        </w:numPr>
        <w:spacing w:before="0" w:beforeAutospacing="0" w:after="180" w:afterAutospacing="0"/>
        <w:jc w:val="center"/>
        <w:rPr>
          <w:b/>
          <w:bCs/>
          <w:color w:val="000000"/>
          <w:sz w:val="28"/>
          <w:szCs w:val="28"/>
        </w:rPr>
      </w:pPr>
      <w:r w:rsidRPr="00716117">
        <w:rPr>
          <w:b/>
          <w:bCs/>
          <w:color w:val="000000"/>
          <w:sz w:val="28"/>
          <w:szCs w:val="28"/>
        </w:rPr>
        <w:t>DISPOZIȚII GENERALE</w:t>
      </w:r>
    </w:p>
    <w:p w14:paraId="14C0CF3D" w14:textId="7F83CFA1"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 xml:space="preserve">Regulamentul privind modul de compensare a dobânzilor la creditele bancare și/sau nebancare contractate de întreprinderile mici și mijlocii (în continuare – </w:t>
      </w:r>
      <w:r w:rsidRPr="00716117">
        <w:rPr>
          <w:i/>
          <w:iCs/>
          <w:color w:val="000000"/>
          <w:sz w:val="28"/>
          <w:szCs w:val="28"/>
          <w:lang w:val="ro-MD"/>
        </w:rPr>
        <w:t>Regulament</w:t>
      </w:r>
      <w:r w:rsidRPr="00716117">
        <w:rPr>
          <w:color w:val="000000"/>
          <w:sz w:val="28"/>
          <w:szCs w:val="28"/>
          <w:lang w:val="ro-MD"/>
        </w:rPr>
        <w:t xml:space="preserve">) stabilește modul de acordare a compensației pentru dobânzile </w:t>
      </w:r>
      <w:r w:rsidR="00521F93" w:rsidRPr="00716117">
        <w:rPr>
          <w:color w:val="000000"/>
          <w:sz w:val="28"/>
          <w:szCs w:val="28"/>
          <w:lang w:val="ro-MD"/>
        </w:rPr>
        <w:t xml:space="preserve">achitate </w:t>
      </w:r>
      <w:r w:rsidRPr="00716117">
        <w:rPr>
          <w:color w:val="000000"/>
          <w:sz w:val="28"/>
          <w:szCs w:val="28"/>
          <w:lang w:val="ro-MD"/>
        </w:rPr>
        <w:t>aferente creditelor active la situația din 01 august 2022.</w:t>
      </w:r>
    </w:p>
    <w:p w14:paraId="43DB03D1"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În sensul Regulamentului se utilizează următoarele noțiuni:</w:t>
      </w:r>
    </w:p>
    <w:p w14:paraId="442E4CA8" w14:textId="77777777" w:rsidR="0070662B" w:rsidRPr="00716117" w:rsidRDefault="0070662B" w:rsidP="0070662B">
      <w:pPr>
        <w:pStyle w:val="NormalWeb"/>
        <w:spacing w:before="0" w:beforeAutospacing="0" w:after="180" w:afterAutospacing="0"/>
        <w:ind w:left="567"/>
        <w:jc w:val="both"/>
        <w:rPr>
          <w:color w:val="000000"/>
          <w:sz w:val="28"/>
          <w:szCs w:val="28"/>
          <w:lang w:val="ro-MD"/>
        </w:rPr>
      </w:pPr>
      <w:r w:rsidRPr="00716117">
        <w:rPr>
          <w:i/>
          <w:iCs/>
          <w:color w:val="000000"/>
          <w:sz w:val="28"/>
          <w:szCs w:val="28"/>
          <w:lang w:val="ro-MD"/>
        </w:rPr>
        <w:t>Solicitant</w:t>
      </w:r>
      <w:r w:rsidRPr="00716117">
        <w:rPr>
          <w:color w:val="000000"/>
          <w:sz w:val="28"/>
          <w:szCs w:val="28"/>
          <w:lang w:val="ro-MD"/>
        </w:rPr>
        <w:t xml:space="preserve"> – întreprindere din sectorul întreprinderilor mici și mijlocii (în continuare – ÎMM), clasificate conform Legii nr.179/2016 și care solicită compensație în corespundere cu Regulamentul;</w:t>
      </w:r>
    </w:p>
    <w:p w14:paraId="3F3F99CE" w14:textId="77777777" w:rsidR="0070662B" w:rsidRPr="00716117" w:rsidRDefault="0070662B" w:rsidP="0070662B">
      <w:pPr>
        <w:pStyle w:val="NormalWeb"/>
        <w:spacing w:before="0" w:beforeAutospacing="0" w:after="180" w:afterAutospacing="0"/>
        <w:ind w:left="567"/>
        <w:jc w:val="both"/>
        <w:rPr>
          <w:color w:val="000000"/>
          <w:sz w:val="28"/>
          <w:szCs w:val="28"/>
          <w:lang w:val="ro-MD"/>
        </w:rPr>
      </w:pPr>
      <w:r w:rsidRPr="00716117">
        <w:rPr>
          <w:i/>
          <w:iCs/>
          <w:color w:val="000000"/>
          <w:sz w:val="28"/>
          <w:szCs w:val="28"/>
          <w:lang w:val="ro-MD"/>
        </w:rPr>
        <w:t>Beneficiar</w:t>
      </w:r>
      <w:r w:rsidRPr="00716117">
        <w:rPr>
          <w:color w:val="000000"/>
          <w:sz w:val="28"/>
          <w:szCs w:val="28"/>
          <w:lang w:val="ro-MD"/>
        </w:rPr>
        <w:t xml:space="preserve"> – întreprindere din sectorul ÎMM clasificate conform Legii nr.179/2016 care a fost acceptată de către </w:t>
      </w:r>
      <w:r w:rsidRPr="00716117">
        <w:rPr>
          <w:color w:val="000000"/>
          <w:sz w:val="28"/>
          <w:szCs w:val="28"/>
        </w:rPr>
        <w:t xml:space="preserve">Instituția Publică </w:t>
      </w:r>
      <w:r w:rsidRPr="00716117">
        <w:rPr>
          <w:color w:val="000000"/>
          <w:sz w:val="28"/>
          <w:szCs w:val="28"/>
          <w:lang w:val="ro-MD"/>
        </w:rPr>
        <w:t>Organizația pentru Dezvoltarea Antreprenoriatului (ODA)   pentru plata compensației.</w:t>
      </w:r>
    </w:p>
    <w:p w14:paraId="05FC4656" w14:textId="77777777" w:rsidR="0070662B" w:rsidRPr="00716117" w:rsidRDefault="0070662B" w:rsidP="0070662B">
      <w:pPr>
        <w:pStyle w:val="NormalWeb"/>
        <w:spacing w:before="0" w:beforeAutospacing="0" w:after="180" w:afterAutospacing="0"/>
        <w:ind w:left="567"/>
        <w:jc w:val="both"/>
        <w:rPr>
          <w:color w:val="000000"/>
          <w:sz w:val="28"/>
          <w:szCs w:val="28"/>
          <w:lang w:val="ro-MD"/>
        </w:rPr>
      </w:pPr>
      <w:r w:rsidRPr="00716117">
        <w:rPr>
          <w:i/>
          <w:iCs/>
          <w:color w:val="000000"/>
          <w:sz w:val="28"/>
          <w:szCs w:val="28"/>
          <w:lang w:val="ro-MD"/>
        </w:rPr>
        <w:t>Creditor</w:t>
      </w:r>
      <w:r w:rsidRPr="00716117">
        <w:rPr>
          <w:color w:val="000000"/>
          <w:sz w:val="28"/>
          <w:szCs w:val="28"/>
          <w:lang w:val="ro-MD"/>
        </w:rPr>
        <w:t xml:space="preserve"> – bancă licențiată de Banca Națională a Moldovei sau organizație de creditare nebancară (OCN) înregistrată de Comisia Națională a Pieței Financiare în Registrul organizațiilor de creditare nebancară autorizate.</w:t>
      </w:r>
    </w:p>
    <w:p w14:paraId="3A230432" w14:textId="77777777" w:rsidR="0070662B" w:rsidRPr="00716117" w:rsidRDefault="0070662B" w:rsidP="0070662B">
      <w:pPr>
        <w:pStyle w:val="NormalWeb"/>
        <w:spacing w:before="0" w:beforeAutospacing="0" w:after="180" w:afterAutospacing="0"/>
        <w:ind w:left="567"/>
        <w:jc w:val="both"/>
        <w:rPr>
          <w:color w:val="000000"/>
          <w:sz w:val="28"/>
          <w:szCs w:val="28"/>
          <w:lang w:val="ro-MD"/>
        </w:rPr>
      </w:pPr>
      <w:r w:rsidRPr="00716117">
        <w:rPr>
          <w:i/>
          <w:iCs/>
          <w:color w:val="000000"/>
          <w:sz w:val="28"/>
          <w:szCs w:val="28"/>
          <w:lang w:val="ro-MD"/>
        </w:rPr>
        <w:t xml:space="preserve">Credit investițional </w:t>
      </w:r>
      <w:r w:rsidRPr="00716117">
        <w:rPr>
          <w:color w:val="000000"/>
          <w:sz w:val="28"/>
          <w:szCs w:val="28"/>
          <w:lang w:val="ro-MD"/>
        </w:rPr>
        <w:t>– credit contractat de către Solicitant în moneda națională cu destinația procurării/construcției imobilizărilor corporale.</w:t>
      </w:r>
    </w:p>
    <w:p w14:paraId="6C64B96B"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Beneficiari ai compensației sunt ÎMM care întrunesc cumulativ, următoarele condiții:</w:t>
      </w:r>
    </w:p>
    <w:p w14:paraId="6F2A341B" w14:textId="41E14D46" w:rsidR="0070662B" w:rsidRPr="00716117" w:rsidRDefault="000F6896" w:rsidP="0070662B">
      <w:pPr>
        <w:pStyle w:val="NormalWeb"/>
        <w:numPr>
          <w:ilvl w:val="0"/>
          <w:numId w:val="13"/>
        </w:numPr>
        <w:spacing w:before="0" w:beforeAutospacing="0" w:after="180" w:afterAutospacing="0"/>
        <w:jc w:val="both"/>
        <w:rPr>
          <w:color w:val="000000"/>
          <w:sz w:val="28"/>
          <w:szCs w:val="28"/>
          <w:lang w:val="ro-MD"/>
        </w:rPr>
      </w:pPr>
      <w:r>
        <w:rPr>
          <w:color w:val="000000"/>
          <w:sz w:val="28"/>
          <w:szCs w:val="28"/>
          <w:lang w:val="ro-MD"/>
        </w:rPr>
        <w:t>sunt</w:t>
      </w:r>
      <w:r w:rsidR="0070662B" w:rsidRPr="00716117">
        <w:rPr>
          <w:color w:val="000000"/>
          <w:sz w:val="28"/>
          <w:szCs w:val="28"/>
          <w:lang w:val="ro-MD"/>
        </w:rPr>
        <w:t xml:space="preserve"> </w:t>
      </w:r>
      <w:r>
        <w:rPr>
          <w:color w:val="000000"/>
          <w:sz w:val="28"/>
          <w:szCs w:val="28"/>
          <w:lang w:val="ro-MD"/>
        </w:rPr>
        <w:t xml:space="preserve">clasificate </w:t>
      </w:r>
      <w:r w:rsidR="0070662B" w:rsidRPr="00716117">
        <w:rPr>
          <w:color w:val="000000"/>
          <w:sz w:val="28"/>
          <w:szCs w:val="28"/>
          <w:lang w:val="ro-MD"/>
        </w:rPr>
        <w:t>în condițiile Legii nr.179/2016;</w:t>
      </w:r>
    </w:p>
    <w:p w14:paraId="411DE1ED" w14:textId="4494F71C" w:rsidR="0070662B" w:rsidRPr="00716117" w:rsidRDefault="0070662B" w:rsidP="0070662B">
      <w:pPr>
        <w:pStyle w:val="NormalWeb"/>
        <w:numPr>
          <w:ilvl w:val="0"/>
          <w:numId w:val="13"/>
        </w:numPr>
        <w:spacing w:before="0" w:beforeAutospacing="0" w:after="180" w:afterAutospacing="0"/>
        <w:jc w:val="both"/>
        <w:rPr>
          <w:color w:val="000000"/>
          <w:sz w:val="28"/>
          <w:szCs w:val="28"/>
          <w:lang w:val="ro-MD"/>
        </w:rPr>
      </w:pPr>
      <w:r w:rsidRPr="00716117">
        <w:rPr>
          <w:color w:val="000000"/>
          <w:sz w:val="28"/>
          <w:szCs w:val="28"/>
          <w:lang w:val="ro-MD"/>
        </w:rPr>
        <w:t xml:space="preserve">domeniul de activitate al </w:t>
      </w:r>
      <w:r w:rsidR="000F6896">
        <w:rPr>
          <w:color w:val="000000"/>
          <w:sz w:val="28"/>
          <w:szCs w:val="28"/>
          <w:lang w:val="ro-MD"/>
        </w:rPr>
        <w:t>întreprinderii nu se regăsește în L</w:t>
      </w:r>
      <w:r w:rsidRPr="00716117">
        <w:rPr>
          <w:color w:val="000000"/>
          <w:sz w:val="28"/>
          <w:szCs w:val="28"/>
          <w:lang w:val="ro-MD"/>
        </w:rPr>
        <w:t xml:space="preserve">ista </w:t>
      </w:r>
      <w:r w:rsidR="000F6896" w:rsidRPr="00716117">
        <w:rPr>
          <w:color w:val="000000" w:themeColor="text1"/>
          <w:sz w:val="28"/>
          <w:szCs w:val="28"/>
        </w:rPr>
        <w:t xml:space="preserve">domeniilor de activitate neeligibile, </w:t>
      </w:r>
      <w:r w:rsidR="000F6896">
        <w:rPr>
          <w:color w:val="000000" w:themeColor="text1"/>
          <w:sz w:val="28"/>
          <w:szCs w:val="28"/>
        </w:rPr>
        <w:t>care se conține în</w:t>
      </w:r>
      <w:r w:rsidRPr="00716117">
        <w:rPr>
          <w:color w:val="000000"/>
          <w:sz w:val="28"/>
          <w:szCs w:val="28"/>
          <w:lang w:val="ro-MD"/>
        </w:rPr>
        <w:t xml:space="preserve"> anexa nr.1</w:t>
      </w:r>
      <w:r w:rsidR="000F6896">
        <w:rPr>
          <w:color w:val="000000"/>
          <w:sz w:val="28"/>
          <w:szCs w:val="28"/>
          <w:lang w:val="ro-MD"/>
        </w:rPr>
        <w:t xml:space="preserve"> la prezentul Regulament</w:t>
      </w:r>
      <w:r w:rsidRPr="00716117">
        <w:rPr>
          <w:color w:val="000000"/>
          <w:sz w:val="28"/>
          <w:szCs w:val="28"/>
          <w:lang w:val="ro-MD"/>
        </w:rPr>
        <w:t>;</w:t>
      </w:r>
    </w:p>
    <w:p w14:paraId="32710D27" w14:textId="77777777" w:rsidR="0070662B" w:rsidRPr="00716117" w:rsidRDefault="0070662B" w:rsidP="0070662B">
      <w:pPr>
        <w:pStyle w:val="NormalWeb"/>
        <w:numPr>
          <w:ilvl w:val="0"/>
          <w:numId w:val="13"/>
        </w:numPr>
        <w:spacing w:before="0" w:beforeAutospacing="0" w:after="180" w:afterAutospacing="0"/>
        <w:jc w:val="both"/>
        <w:rPr>
          <w:color w:val="000000"/>
          <w:sz w:val="28"/>
          <w:szCs w:val="28"/>
          <w:lang w:val="ro-MD"/>
        </w:rPr>
      </w:pPr>
      <w:r w:rsidRPr="00716117">
        <w:rPr>
          <w:color w:val="000000"/>
          <w:sz w:val="28"/>
          <w:szCs w:val="28"/>
          <w:lang w:val="ro-MD"/>
        </w:rPr>
        <w:t>dețin un credit investițional cu sold activ la situația din 1 august 2022, care a fost contractat pentru o perioadă de cel puțin 24 luni. Se consideră eligibile pentru compensare inclusiv creditele investiționale refinanțate, cu condiția că termenul scadent al contractului de credit inițial, cumulativ cu termenul contractului refinanțat depășește 24 luni;</w:t>
      </w:r>
    </w:p>
    <w:p w14:paraId="361252A8" w14:textId="77777777" w:rsidR="0070662B" w:rsidRPr="00716117" w:rsidRDefault="0070662B" w:rsidP="0070662B">
      <w:pPr>
        <w:pStyle w:val="NormalWeb"/>
        <w:numPr>
          <w:ilvl w:val="0"/>
          <w:numId w:val="13"/>
        </w:numPr>
        <w:spacing w:before="0" w:beforeAutospacing="0" w:after="180" w:afterAutospacing="0"/>
        <w:jc w:val="both"/>
        <w:rPr>
          <w:color w:val="000000"/>
          <w:sz w:val="28"/>
          <w:szCs w:val="28"/>
          <w:lang w:val="ro-MD"/>
        </w:rPr>
      </w:pPr>
      <w:r w:rsidRPr="00716117">
        <w:rPr>
          <w:color w:val="000000"/>
          <w:sz w:val="28"/>
          <w:szCs w:val="28"/>
          <w:lang w:val="ro-MD"/>
        </w:rPr>
        <w:t xml:space="preserve">creditul investițional pentru care se solicită compensarea este clasificat în categoria de risc „Standard”, „Supravegheat” sau care sunt reclasificate </w:t>
      </w:r>
      <w:r w:rsidRPr="00716117">
        <w:rPr>
          <w:color w:val="000000"/>
          <w:sz w:val="28"/>
          <w:szCs w:val="28"/>
        </w:rPr>
        <w:t>î</w:t>
      </w:r>
      <w:r w:rsidRPr="00716117">
        <w:rPr>
          <w:color w:val="000000"/>
          <w:sz w:val="28"/>
          <w:szCs w:val="28"/>
          <w:lang w:val="ro-MD"/>
        </w:rPr>
        <w:t xml:space="preserve">n categoria „Substandard” ca efect al prelungirii și/sau renegocierii, conform </w:t>
      </w:r>
      <w:bookmarkStart w:id="2" w:name="_Hlk116391963"/>
      <w:r w:rsidRPr="00716117">
        <w:rPr>
          <w:color w:val="000000"/>
          <w:sz w:val="28"/>
          <w:szCs w:val="28"/>
          <w:lang w:val="ro-MD"/>
        </w:rPr>
        <w:t>Regulamentului cu privire la clasificarea activelor şi angajamentelor condiționale, aprobat prin Hotărârea Consiliului de Administrație al Băncii Naționale a Moldovei, nr.231/2011</w:t>
      </w:r>
      <w:bookmarkEnd w:id="2"/>
      <w:r w:rsidRPr="00716117">
        <w:rPr>
          <w:color w:val="000000"/>
          <w:sz w:val="28"/>
          <w:szCs w:val="28"/>
          <w:lang w:val="ro-MD"/>
        </w:rPr>
        <w:t>;</w:t>
      </w:r>
    </w:p>
    <w:p w14:paraId="77F9C76D" w14:textId="77777777" w:rsidR="0070662B" w:rsidRPr="00716117" w:rsidRDefault="0070662B" w:rsidP="0070662B">
      <w:pPr>
        <w:pStyle w:val="NormalWeb"/>
        <w:numPr>
          <w:ilvl w:val="0"/>
          <w:numId w:val="13"/>
        </w:numPr>
        <w:spacing w:before="0" w:beforeAutospacing="0" w:after="180" w:afterAutospacing="0"/>
        <w:jc w:val="both"/>
        <w:rPr>
          <w:color w:val="000000"/>
          <w:sz w:val="28"/>
          <w:szCs w:val="28"/>
          <w:lang w:val="ro-MD"/>
        </w:rPr>
      </w:pPr>
      <w:r w:rsidRPr="00716117">
        <w:rPr>
          <w:color w:val="000000"/>
          <w:sz w:val="28"/>
          <w:szCs w:val="28"/>
          <w:lang w:val="ro-MD"/>
        </w:rPr>
        <w:t>au achitat dobânda către Creditor, care se solicită a fi compensată.</w:t>
      </w:r>
    </w:p>
    <w:p w14:paraId="299832A9" w14:textId="77777777" w:rsidR="004764D5" w:rsidRDefault="0070662B" w:rsidP="004764D5">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lastRenderedPageBreak/>
        <w:t xml:space="preserve">Dreptul la compensare se realizează doar în raport cu dobânzile aferente </w:t>
      </w:r>
      <w:r w:rsidRPr="004764D5">
        <w:rPr>
          <w:color w:val="000000"/>
          <w:sz w:val="28"/>
          <w:szCs w:val="28"/>
          <w:lang w:val="ro-MD"/>
        </w:rPr>
        <w:t>creditelor investiționale acordate de Creditori</w:t>
      </w:r>
      <w:r w:rsidR="00521F93" w:rsidRPr="004764D5">
        <w:rPr>
          <w:color w:val="000000"/>
          <w:sz w:val="28"/>
          <w:szCs w:val="28"/>
          <w:lang w:val="ro-MD"/>
        </w:rPr>
        <w:t>.</w:t>
      </w:r>
    </w:p>
    <w:p w14:paraId="54732327" w14:textId="028356B4" w:rsidR="004764D5" w:rsidRPr="004764D5" w:rsidRDefault="004764D5" w:rsidP="004764D5">
      <w:pPr>
        <w:pStyle w:val="NormalWeb"/>
        <w:numPr>
          <w:ilvl w:val="0"/>
          <w:numId w:val="2"/>
        </w:numPr>
        <w:spacing w:before="0" w:beforeAutospacing="0" w:after="180" w:afterAutospacing="0"/>
        <w:ind w:left="567" w:hanging="567"/>
        <w:jc w:val="both"/>
        <w:rPr>
          <w:color w:val="000000"/>
          <w:sz w:val="28"/>
          <w:szCs w:val="28"/>
          <w:lang w:val="ro-MD"/>
        </w:rPr>
      </w:pPr>
      <w:r w:rsidRPr="004764D5">
        <w:rPr>
          <w:color w:val="000000"/>
          <w:sz w:val="28"/>
          <w:szCs w:val="28"/>
        </w:rPr>
        <w:t>Compensațiile se acordă ÎMM-lor pentru dobânzile achitate aferente perioadei 1 august 2022 – 31 decembrie 2022.</w:t>
      </w:r>
    </w:p>
    <w:p w14:paraId="62E710BD" w14:textId="480F5371"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Nu constituie obiect al compensării comisioanele și plățile percepute de Creditor pentru examinarea dosarului, de acordare, de deservire a creditului, pentru achitare anticipată, penalități</w:t>
      </w:r>
      <w:r w:rsidRPr="00716117">
        <w:rPr>
          <w:color w:val="000000"/>
          <w:sz w:val="28"/>
          <w:szCs w:val="28"/>
        </w:rPr>
        <w:t xml:space="preserve">, dobânzi de întârziere, </w:t>
      </w:r>
      <w:r w:rsidRPr="00716117">
        <w:rPr>
          <w:color w:val="000000"/>
          <w:sz w:val="28"/>
          <w:szCs w:val="28"/>
          <w:lang w:val="ro-MD"/>
        </w:rPr>
        <w:t xml:space="preserve">precum și </w:t>
      </w:r>
      <w:r w:rsidR="004764D5">
        <w:rPr>
          <w:color w:val="000000"/>
          <w:sz w:val="28"/>
          <w:szCs w:val="28"/>
          <w:lang w:val="ro-MD"/>
        </w:rPr>
        <w:t>alte plăți altele decât dobânda.</w:t>
      </w:r>
    </w:p>
    <w:p w14:paraId="557A0E68"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Sunt eligibile spre compensare creditele investiționale, cu excepția creditelor contractate pentru procurarea autoturismelor sau imobilelor cu destinație locativă.</w:t>
      </w:r>
    </w:p>
    <w:p w14:paraId="46878D43" w14:textId="26A32676" w:rsidR="0070662B" w:rsidRPr="00716117" w:rsidRDefault="0070662B" w:rsidP="0070662B">
      <w:pPr>
        <w:pStyle w:val="NormalWeb"/>
        <w:numPr>
          <w:ilvl w:val="0"/>
          <w:numId w:val="4"/>
        </w:numPr>
        <w:spacing w:before="0" w:beforeAutospacing="0" w:after="180" w:afterAutospacing="0"/>
        <w:jc w:val="center"/>
        <w:rPr>
          <w:b/>
          <w:bCs/>
          <w:color w:val="333333"/>
          <w:sz w:val="28"/>
          <w:szCs w:val="28"/>
        </w:rPr>
      </w:pPr>
      <w:r w:rsidRPr="00716117">
        <w:rPr>
          <w:rStyle w:val="Strong"/>
          <w:color w:val="333333"/>
          <w:sz w:val="28"/>
          <w:szCs w:val="28"/>
        </w:rPr>
        <w:t xml:space="preserve"> </w:t>
      </w:r>
      <w:r w:rsidRPr="00716117">
        <w:rPr>
          <w:b/>
          <w:bCs/>
          <w:color w:val="000000"/>
          <w:sz w:val="28"/>
          <w:szCs w:val="28"/>
        </w:rPr>
        <w:t>MODUL DE SOLICITARE A COMPENSAȚIEI</w:t>
      </w:r>
    </w:p>
    <w:p w14:paraId="5943293E"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Solicitarea compensației se efectuează prin depunerea online a unei cereri de compensare cu aplicarea semnăturii electronice avansate calificate, conform modelului aprobat de către ODA (în continuare </w:t>
      </w:r>
      <w:r w:rsidRPr="00716117">
        <w:rPr>
          <w:i/>
          <w:iCs/>
          <w:color w:val="000000"/>
          <w:sz w:val="28"/>
          <w:szCs w:val="28"/>
          <w:lang w:val="ro-MD"/>
        </w:rPr>
        <w:t>Cerere</w:t>
      </w:r>
      <w:r w:rsidRPr="00716117">
        <w:rPr>
          <w:color w:val="000000"/>
          <w:sz w:val="28"/>
          <w:szCs w:val="28"/>
          <w:lang w:val="ro-MD"/>
        </w:rPr>
        <w:t>).</w:t>
      </w:r>
    </w:p>
    <w:p w14:paraId="00920A91"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Cererea de compensare poate fi depusă lunar sau cumulativ pentru mai multe luni consecutive. În cerere se indică cel puțin: denumirea Solicitantului, IDNO, perioada (luna/lunile) pentru care se solicită compensarea, suma creditului acordat, soldul creditului la data solicitării compensației, suma dobânzii achitate pentru perioada/perioadele solicitate de a fi compensate, rata dobânzii aferentă creditului valabilă la data calculării dobânzii achitate, destinația creditului, codul IBAN al contului bancar la care se solicită efectuarea plății compensației și datele de contact ale Solicitantului.</w:t>
      </w:r>
    </w:p>
    <w:p w14:paraId="7DAC0462"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Cererile se depun până la data de 28 februarie 2023, inclusiv. Cererile depuse după aceasta dată nu se examinează și compensația în temeiul acestora nu se efectuează.</w:t>
      </w:r>
    </w:p>
    <w:p w14:paraId="4B312E25"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La cerere se anexează documentele specificate la pct. 12 din Regulament. În cazul în care, documentele nu sunt anexate sau cererea conține date eronate aceasta este returnată Solicitantului pentru completare sau corectare.</w:t>
      </w:r>
    </w:p>
    <w:p w14:paraId="38C42147"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În termen de 5 zile lucrătoare din momentul depunerii cererii, cu anexarea setului complet de documente, specificate la pct. 14, ODA va comunica solicitantului despre acceptarea acestuia în calitate de beneficiar sau respingerea cererii cu argumentarea motivului refuzului.</w:t>
      </w:r>
    </w:p>
    <w:p w14:paraId="68AB37A8"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sz w:val="28"/>
          <w:szCs w:val="28"/>
          <w:lang w:val="ro-MD"/>
        </w:rPr>
      </w:pPr>
      <w:r w:rsidRPr="00716117">
        <w:rPr>
          <w:color w:val="000000"/>
          <w:sz w:val="28"/>
          <w:szCs w:val="28"/>
          <w:lang w:val="ro-MD"/>
        </w:rPr>
        <w:t>Pentru solicitarea compensării se prezintă următoarele documente în format electronic cu aplicarea semnăturii electronice avansate calificate:</w:t>
      </w:r>
    </w:p>
    <w:p w14:paraId="0B83143B" w14:textId="77777777" w:rsidR="0070662B" w:rsidRPr="00716117" w:rsidRDefault="0070662B" w:rsidP="0070662B">
      <w:pPr>
        <w:pStyle w:val="NormalWeb"/>
        <w:numPr>
          <w:ilvl w:val="0"/>
          <w:numId w:val="19"/>
        </w:numPr>
        <w:spacing w:before="0" w:beforeAutospacing="0" w:after="180" w:afterAutospacing="0"/>
        <w:jc w:val="both"/>
        <w:rPr>
          <w:color w:val="000000"/>
          <w:sz w:val="28"/>
          <w:szCs w:val="28"/>
          <w:lang w:val="ro-MD"/>
        </w:rPr>
      </w:pPr>
      <w:r w:rsidRPr="00716117">
        <w:rPr>
          <w:color w:val="000000"/>
          <w:sz w:val="28"/>
          <w:szCs w:val="28"/>
          <w:lang w:val="ro-MD"/>
        </w:rPr>
        <w:t>Cererea de solicitare a compensării;</w:t>
      </w:r>
    </w:p>
    <w:p w14:paraId="3EABDA00" w14:textId="77777777" w:rsidR="0070662B" w:rsidRPr="00716117" w:rsidRDefault="0070662B" w:rsidP="0070662B">
      <w:pPr>
        <w:pStyle w:val="NormalWeb"/>
        <w:numPr>
          <w:ilvl w:val="0"/>
          <w:numId w:val="19"/>
        </w:numPr>
        <w:spacing w:before="0" w:beforeAutospacing="0" w:after="180" w:afterAutospacing="0"/>
        <w:jc w:val="both"/>
        <w:rPr>
          <w:color w:val="000000"/>
          <w:sz w:val="28"/>
          <w:szCs w:val="28"/>
          <w:lang w:val="ro-MD"/>
        </w:rPr>
      </w:pPr>
      <w:r w:rsidRPr="00716117">
        <w:rPr>
          <w:color w:val="333333"/>
          <w:sz w:val="28"/>
          <w:szCs w:val="28"/>
          <w:shd w:val="clear" w:color="auto" w:fill="FFFFFF"/>
        </w:rPr>
        <w:t>Contractul de acordare a creditului cu anexarea graficului de rambursare;</w:t>
      </w:r>
    </w:p>
    <w:p w14:paraId="61D6FF2D" w14:textId="77777777" w:rsidR="0070662B" w:rsidRPr="00716117" w:rsidRDefault="0070662B" w:rsidP="0070662B">
      <w:pPr>
        <w:pStyle w:val="NormalWeb"/>
        <w:numPr>
          <w:ilvl w:val="0"/>
          <w:numId w:val="19"/>
        </w:numPr>
        <w:spacing w:before="0" w:beforeAutospacing="0" w:after="180" w:afterAutospacing="0"/>
        <w:jc w:val="both"/>
        <w:rPr>
          <w:bCs/>
          <w:color w:val="333333"/>
          <w:sz w:val="28"/>
          <w:szCs w:val="28"/>
          <w:shd w:val="clear" w:color="auto" w:fill="FFFFFF"/>
          <w:lang w:val="ro-MD"/>
        </w:rPr>
      </w:pPr>
      <w:r w:rsidRPr="00716117">
        <w:rPr>
          <w:bCs/>
          <w:color w:val="333333"/>
          <w:sz w:val="28"/>
          <w:szCs w:val="28"/>
          <w:shd w:val="clear" w:color="auto" w:fill="FFFFFF"/>
          <w:lang w:val="ro-MD"/>
        </w:rPr>
        <w:t>Pentru creditele refinanțate se prezintă inclusiv contractul de credit inițial.</w:t>
      </w:r>
    </w:p>
    <w:p w14:paraId="10083EA3" w14:textId="77777777" w:rsidR="0070662B" w:rsidRPr="00716117" w:rsidRDefault="0070662B" w:rsidP="0070662B">
      <w:pPr>
        <w:pStyle w:val="NormalWeb"/>
        <w:numPr>
          <w:ilvl w:val="0"/>
          <w:numId w:val="19"/>
        </w:numPr>
        <w:spacing w:before="0" w:beforeAutospacing="0" w:after="180" w:afterAutospacing="0"/>
        <w:jc w:val="both"/>
        <w:rPr>
          <w:color w:val="333333"/>
          <w:sz w:val="28"/>
          <w:szCs w:val="28"/>
          <w:shd w:val="clear" w:color="auto" w:fill="FFFFFF"/>
        </w:rPr>
      </w:pPr>
      <w:r w:rsidRPr="00716117">
        <w:rPr>
          <w:bCs/>
          <w:color w:val="333333"/>
          <w:sz w:val="28"/>
          <w:szCs w:val="28"/>
          <w:shd w:val="clear" w:color="auto" w:fill="FFFFFF"/>
          <w:lang w:val="ro-MD"/>
        </w:rPr>
        <w:t xml:space="preserve">Documentul, eliberat de Creditor, în conformitate cu </w:t>
      </w:r>
      <w:r w:rsidRPr="00716117">
        <w:rPr>
          <w:color w:val="000000"/>
          <w:sz w:val="28"/>
          <w:szCs w:val="28"/>
          <w:lang w:val="ro-MD"/>
        </w:rPr>
        <w:t>modelul aprobat de către ODA</w:t>
      </w:r>
      <w:r w:rsidRPr="00716117">
        <w:rPr>
          <w:color w:val="333333"/>
          <w:sz w:val="28"/>
          <w:szCs w:val="28"/>
          <w:shd w:val="clear" w:color="auto" w:fill="FFFFFF"/>
        </w:rPr>
        <w:t>.</w:t>
      </w:r>
    </w:p>
    <w:p w14:paraId="2757AC2A" w14:textId="77777777" w:rsidR="0070662B" w:rsidRPr="00716117" w:rsidRDefault="0070662B" w:rsidP="0070662B">
      <w:pPr>
        <w:pStyle w:val="NormalWeb"/>
        <w:numPr>
          <w:ilvl w:val="0"/>
          <w:numId w:val="4"/>
        </w:numPr>
        <w:spacing w:before="0" w:beforeAutospacing="0" w:after="180" w:afterAutospacing="0"/>
        <w:jc w:val="center"/>
        <w:rPr>
          <w:b/>
          <w:bCs/>
          <w:color w:val="000000"/>
          <w:sz w:val="28"/>
          <w:szCs w:val="28"/>
        </w:rPr>
      </w:pPr>
      <w:r w:rsidRPr="00716117">
        <w:rPr>
          <w:b/>
          <w:bCs/>
          <w:color w:val="000000"/>
          <w:sz w:val="28"/>
          <w:szCs w:val="28"/>
        </w:rPr>
        <w:lastRenderedPageBreak/>
        <w:t xml:space="preserve">MODUL DE DETERMINARE ȘI ACORDARE A COMPENSAȚIEI </w:t>
      </w:r>
    </w:p>
    <w:p w14:paraId="69747C88" w14:textId="77777777" w:rsidR="0070662B" w:rsidRPr="00716117" w:rsidRDefault="0070662B" w:rsidP="0070662B">
      <w:pPr>
        <w:pStyle w:val="NormalWeb"/>
        <w:numPr>
          <w:ilvl w:val="0"/>
          <w:numId w:val="2"/>
        </w:numPr>
        <w:spacing w:before="0" w:beforeAutospacing="0" w:after="180" w:afterAutospacing="0"/>
        <w:ind w:left="567" w:hanging="567"/>
        <w:jc w:val="both"/>
        <w:rPr>
          <w:color w:val="333333"/>
          <w:sz w:val="28"/>
          <w:szCs w:val="28"/>
        </w:rPr>
      </w:pPr>
      <w:r w:rsidRPr="00716117">
        <w:rPr>
          <w:color w:val="333333"/>
          <w:sz w:val="28"/>
          <w:szCs w:val="28"/>
        </w:rPr>
        <w:t>Suma pasibilă compensării este determinată reieșind din valoarea dobânzii achitate pentru perioada aferentă căreia se solicită compensarea, prin aplicarea următoarei formule:</w:t>
      </w:r>
    </w:p>
    <w:p w14:paraId="34DA4CDE" w14:textId="77777777" w:rsidR="0070662B" w:rsidRPr="00716117" w:rsidRDefault="0070662B" w:rsidP="0070662B">
      <w:pPr>
        <w:pStyle w:val="NormalWeb"/>
        <w:spacing w:after="180"/>
        <w:ind w:left="927"/>
        <w:rPr>
          <w:i/>
          <w:iCs/>
          <w:color w:val="333333"/>
          <w:sz w:val="28"/>
          <w:szCs w:val="28"/>
        </w:rPr>
      </w:pPr>
      <m:oMathPara>
        <m:oMath>
          <m:r>
            <w:rPr>
              <w:rFonts w:ascii="Cambria Math" w:hAnsi="Cambria Math"/>
              <w:color w:val="333333"/>
              <w:sz w:val="28"/>
              <w:szCs w:val="28"/>
            </w:rPr>
            <m:t>C=</m:t>
          </m:r>
          <m:f>
            <m:fPr>
              <m:ctrlPr>
                <w:rPr>
                  <w:rFonts w:ascii="Cambria Math" w:hAnsi="Cambria Math"/>
                  <w:i/>
                  <w:color w:val="333333"/>
                  <w:sz w:val="28"/>
                  <w:szCs w:val="28"/>
                </w:rPr>
              </m:ctrlPr>
            </m:fPr>
            <m:num>
              <m:r>
                <w:rPr>
                  <w:rFonts w:ascii="Cambria Math" w:hAnsi="Cambria Math"/>
                  <w:color w:val="333333"/>
                  <w:sz w:val="28"/>
                  <w:szCs w:val="28"/>
                </w:rPr>
                <m:t>D*2%</m:t>
              </m:r>
            </m:num>
            <m:den>
              <m:r>
                <w:rPr>
                  <w:rFonts w:ascii="Cambria Math" w:hAnsi="Cambria Math"/>
                  <w:color w:val="333333"/>
                  <w:sz w:val="28"/>
                  <w:szCs w:val="28"/>
                </w:rPr>
                <m:t>Rd%</m:t>
              </m:r>
            </m:den>
          </m:f>
        </m:oMath>
      </m:oMathPara>
    </w:p>
    <w:p w14:paraId="35C3A3DC" w14:textId="77777777" w:rsidR="0070662B" w:rsidRPr="00716117" w:rsidRDefault="0070662B" w:rsidP="0070662B">
      <w:pPr>
        <w:pStyle w:val="NormalWeb"/>
        <w:spacing w:before="0" w:beforeAutospacing="0" w:after="0" w:afterAutospacing="0"/>
        <w:ind w:left="567"/>
        <w:rPr>
          <w:i/>
          <w:iCs/>
          <w:color w:val="333333"/>
          <w:sz w:val="28"/>
          <w:szCs w:val="28"/>
        </w:rPr>
      </w:pPr>
      <w:r w:rsidRPr="00716117">
        <w:rPr>
          <w:i/>
          <w:iCs/>
          <w:color w:val="333333"/>
          <w:sz w:val="28"/>
          <w:szCs w:val="28"/>
        </w:rPr>
        <w:t>unde:</w:t>
      </w:r>
    </w:p>
    <w:p w14:paraId="2D720624" w14:textId="77777777" w:rsidR="0070662B" w:rsidRPr="00716117" w:rsidRDefault="0070662B" w:rsidP="0070662B">
      <w:pPr>
        <w:pStyle w:val="NormalWeb"/>
        <w:spacing w:before="0" w:beforeAutospacing="0" w:after="0" w:afterAutospacing="0"/>
        <w:ind w:left="567"/>
        <w:rPr>
          <w:i/>
          <w:iCs/>
          <w:color w:val="333333"/>
          <w:sz w:val="28"/>
          <w:szCs w:val="28"/>
        </w:rPr>
      </w:pPr>
      <w:r w:rsidRPr="00716117">
        <w:rPr>
          <w:b/>
          <w:bCs/>
          <w:i/>
          <w:iCs/>
          <w:color w:val="333333"/>
          <w:sz w:val="28"/>
          <w:szCs w:val="28"/>
        </w:rPr>
        <w:t>C</w:t>
      </w:r>
      <w:r w:rsidRPr="00716117">
        <w:rPr>
          <w:i/>
          <w:iCs/>
          <w:color w:val="333333"/>
          <w:sz w:val="28"/>
          <w:szCs w:val="28"/>
        </w:rPr>
        <w:t xml:space="preserve"> - valoarea compensării lunare, exprimată în lei;</w:t>
      </w:r>
    </w:p>
    <w:p w14:paraId="0A62570B" w14:textId="77777777" w:rsidR="0070662B" w:rsidRPr="00716117" w:rsidRDefault="0070662B" w:rsidP="0070662B">
      <w:pPr>
        <w:pStyle w:val="NormalWeb"/>
        <w:spacing w:before="0" w:beforeAutospacing="0" w:after="0" w:afterAutospacing="0"/>
        <w:ind w:left="567"/>
        <w:rPr>
          <w:i/>
          <w:iCs/>
          <w:color w:val="333333"/>
          <w:sz w:val="28"/>
          <w:szCs w:val="28"/>
        </w:rPr>
      </w:pPr>
      <w:r w:rsidRPr="00716117">
        <w:rPr>
          <w:b/>
          <w:bCs/>
          <w:i/>
          <w:iCs/>
          <w:color w:val="333333"/>
          <w:sz w:val="28"/>
          <w:szCs w:val="28"/>
        </w:rPr>
        <w:t>D</w:t>
      </w:r>
      <w:r w:rsidRPr="00716117">
        <w:rPr>
          <w:i/>
          <w:iCs/>
          <w:color w:val="333333"/>
          <w:sz w:val="28"/>
          <w:szCs w:val="28"/>
        </w:rPr>
        <w:t xml:space="preserve"> – valoarea dobânzii achitate pentru perioada care se solicită a fi compensată exprimată în lei;</w:t>
      </w:r>
    </w:p>
    <w:p w14:paraId="79B1EACE" w14:textId="77777777" w:rsidR="0070662B" w:rsidRPr="00716117" w:rsidRDefault="0070662B" w:rsidP="0070662B">
      <w:pPr>
        <w:pStyle w:val="NormalWeb"/>
        <w:spacing w:before="0" w:beforeAutospacing="0" w:after="0" w:afterAutospacing="0"/>
        <w:ind w:left="567"/>
        <w:rPr>
          <w:i/>
          <w:iCs/>
          <w:color w:val="333333"/>
          <w:sz w:val="28"/>
          <w:szCs w:val="28"/>
        </w:rPr>
      </w:pPr>
      <w:r w:rsidRPr="00716117">
        <w:rPr>
          <w:b/>
          <w:bCs/>
          <w:i/>
          <w:iCs/>
          <w:color w:val="333333"/>
          <w:sz w:val="28"/>
          <w:szCs w:val="28"/>
        </w:rPr>
        <w:t>Rd%</w:t>
      </w:r>
      <w:r w:rsidRPr="00716117">
        <w:rPr>
          <w:i/>
          <w:iCs/>
          <w:color w:val="333333"/>
          <w:sz w:val="28"/>
          <w:szCs w:val="28"/>
        </w:rPr>
        <w:t xml:space="preserve"> – rata dobânzii aplicată de Creditor în perioada ce se solicită a fi compensată, exprimat în %. În cazul când pe parcursul perioadei au fost aplicate rate a dobânzii diferite, se va utiliza rata medie ponderată a dobânzii pentru perioada respectivă.</w:t>
      </w:r>
    </w:p>
    <w:p w14:paraId="3989C850" w14:textId="77777777" w:rsidR="0070662B" w:rsidRPr="00716117" w:rsidRDefault="0070662B" w:rsidP="0070662B">
      <w:pPr>
        <w:pStyle w:val="NormalWeb"/>
        <w:spacing w:before="0" w:beforeAutospacing="0" w:after="0" w:afterAutospacing="0"/>
        <w:ind w:left="927"/>
        <w:rPr>
          <w:i/>
          <w:iCs/>
          <w:color w:val="333333"/>
          <w:sz w:val="28"/>
          <w:szCs w:val="28"/>
        </w:rPr>
      </w:pPr>
    </w:p>
    <w:p w14:paraId="75D6790E" w14:textId="77777777" w:rsidR="0070662B" w:rsidRPr="00716117" w:rsidRDefault="0070662B" w:rsidP="0070662B">
      <w:pPr>
        <w:pStyle w:val="NormalWeb"/>
        <w:numPr>
          <w:ilvl w:val="0"/>
          <w:numId w:val="2"/>
        </w:numPr>
        <w:spacing w:before="0" w:beforeAutospacing="0" w:after="180" w:afterAutospacing="0"/>
        <w:ind w:left="567" w:hanging="567"/>
        <w:jc w:val="both"/>
        <w:rPr>
          <w:color w:val="333333"/>
          <w:sz w:val="28"/>
          <w:szCs w:val="28"/>
        </w:rPr>
      </w:pPr>
      <w:r w:rsidRPr="00716117">
        <w:rPr>
          <w:color w:val="000000"/>
          <w:sz w:val="28"/>
          <w:szCs w:val="28"/>
          <w:lang w:val="ro-MD"/>
        </w:rPr>
        <w:t>Plata compensației se efectuează lunar, în luna următoare acceptării cereri și aprobării statutului de Beneficiar.</w:t>
      </w:r>
    </w:p>
    <w:p w14:paraId="3FEEFFAD" w14:textId="77777777" w:rsidR="0070662B" w:rsidRPr="00716117" w:rsidRDefault="0070662B" w:rsidP="0070662B">
      <w:pPr>
        <w:pStyle w:val="ListParagraph"/>
        <w:numPr>
          <w:ilvl w:val="0"/>
          <w:numId w:val="2"/>
        </w:numPr>
        <w:spacing w:after="0"/>
        <w:ind w:left="567" w:hanging="567"/>
        <w:rPr>
          <w:rFonts w:ascii="Times New Roman" w:eastAsia="Times New Roman" w:hAnsi="Times New Roman" w:cs="Times New Roman"/>
          <w:color w:val="000000"/>
          <w:sz w:val="28"/>
          <w:szCs w:val="28"/>
          <w:lang w:eastAsia="en-GB"/>
        </w:rPr>
      </w:pPr>
      <w:r w:rsidRPr="00716117">
        <w:rPr>
          <w:rFonts w:ascii="Times New Roman" w:eastAsia="Times New Roman" w:hAnsi="Times New Roman" w:cs="Times New Roman"/>
          <w:color w:val="000000"/>
          <w:sz w:val="28"/>
          <w:szCs w:val="28"/>
          <w:lang w:eastAsia="en-GB"/>
        </w:rPr>
        <w:t>Plata compensației se efectuează pentru dobânda achitată de beneficiar către Creditor în perioada 1 august 2022 – 31 decembrie 2022, calculată pentru creditele active la 01 august 2022.</w:t>
      </w:r>
    </w:p>
    <w:p w14:paraId="4ED377C6" w14:textId="77777777" w:rsidR="0070662B" w:rsidRPr="00716117" w:rsidRDefault="0070662B" w:rsidP="0070662B">
      <w:pPr>
        <w:pStyle w:val="ListParagraph"/>
        <w:spacing w:after="0"/>
        <w:ind w:firstLine="0"/>
        <w:rPr>
          <w:rFonts w:ascii="Times New Roman" w:eastAsia="Times New Roman" w:hAnsi="Times New Roman" w:cs="Times New Roman"/>
          <w:color w:val="000000"/>
          <w:sz w:val="28"/>
          <w:szCs w:val="28"/>
          <w:lang w:eastAsia="en-GB"/>
        </w:rPr>
      </w:pPr>
    </w:p>
    <w:p w14:paraId="21A6BE4C" w14:textId="77777777" w:rsidR="0070662B" w:rsidRPr="00716117" w:rsidRDefault="0070662B" w:rsidP="0070662B">
      <w:pPr>
        <w:pStyle w:val="NormalWeb"/>
        <w:numPr>
          <w:ilvl w:val="0"/>
          <w:numId w:val="2"/>
        </w:numPr>
        <w:spacing w:before="0" w:beforeAutospacing="0" w:after="180" w:afterAutospacing="0"/>
        <w:ind w:left="567" w:hanging="567"/>
        <w:jc w:val="both"/>
        <w:rPr>
          <w:color w:val="333333"/>
          <w:sz w:val="28"/>
          <w:szCs w:val="28"/>
        </w:rPr>
      </w:pPr>
      <w:r w:rsidRPr="00716117">
        <w:rPr>
          <w:color w:val="333333"/>
          <w:sz w:val="28"/>
          <w:szCs w:val="28"/>
        </w:rPr>
        <w:t>Valoarea cumulativă a compensațiilor alocate pentru un Beneficiar nu va depăși 300 mii lei.</w:t>
      </w:r>
    </w:p>
    <w:p w14:paraId="14DF3B82" w14:textId="77777777" w:rsidR="0070662B" w:rsidRPr="00716117" w:rsidRDefault="0070662B" w:rsidP="0070662B">
      <w:pPr>
        <w:pStyle w:val="NormalWeb"/>
        <w:numPr>
          <w:ilvl w:val="0"/>
          <w:numId w:val="2"/>
        </w:numPr>
        <w:spacing w:before="0" w:beforeAutospacing="0" w:after="180" w:afterAutospacing="0"/>
        <w:ind w:left="567" w:hanging="567"/>
        <w:jc w:val="both"/>
        <w:rPr>
          <w:color w:val="333333"/>
          <w:sz w:val="28"/>
          <w:szCs w:val="28"/>
        </w:rPr>
      </w:pPr>
      <w:r w:rsidRPr="00716117">
        <w:rPr>
          <w:color w:val="333333"/>
          <w:sz w:val="28"/>
          <w:szCs w:val="28"/>
        </w:rPr>
        <w:t>Transferul compensației se efectuează lunar de către ODA, direct la contul utilizat de către beneficiar la Creditor pentru decontările aferente creditului, dobânda căruia este compensată în condițiile Regulamentului.</w:t>
      </w:r>
    </w:p>
    <w:p w14:paraId="52FAB228" w14:textId="77777777" w:rsidR="0070662B" w:rsidRPr="00716117" w:rsidRDefault="0070662B" w:rsidP="0070662B">
      <w:pPr>
        <w:pStyle w:val="NormalWeb"/>
        <w:numPr>
          <w:ilvl w:val="0"/>
          <w:numId w:val="4"/>
        </w:numPr>
        <w:spacing w:before="0" w:beforeAutospacing="0" w:after="180" w:afterAutospacing="0"/>
        <w:jc w:val="center"/>
        <w:rPr>
          <w:b/>
          <w:bCs/>
          <w:color w:val="000000"/>
          <w:sz w:val="28"/>
          <w:szCs w:val="28"/>
        </w:rPr>
      </w:pPr>
      <w:r w:rsidRPr="00716117">
        <w:rPr>
          <w:b/>
          <w:bCs/>
          <w:color w:val="000000"/>
          <w:sz w:val="28"/>
          <w:szCs w:val="28"/>
        </w:rPr>
        <w:t>DISPOZIȚII FINALE</w:t>
      </w:r>
    </w:p>
    <w:p w14:paraId="769190C1" w14:textId="77777777" w:rsidR="0070662B" w:rsidRPr="00716117" w:rsidRDefault="0070662B" w:rsidP="0070662B">
      <w:pPr>
        <w:pStyle w:val="NormalWeb"/>
        <w:numPr>
          <w:ilvl w:val="0"/>
          <w:numId w:val="2"/>
        </w:numPr>
        <w:spacing w:before="0" w:beforeAutospacing="0" w:after="180" w:afterAutospacing="0"/>
        <w:ind w:left="567" w:hanging="567"/>
        <w:jc w:val="both"/>
        <w:rPr>
          <w:color w:val="000000" w:themeColor="text1"/>
          <w:sz w:val="28"/>
          <w:szCs w:val="28"/>
        </w:rPr>
      </w:pPr>
      <w:r w:rsidRPr="00716117">
        <w:rPr>
          <w:color w:val="333333"/>
          <w:sz w:val="28"/>
          <w:szCs w:val="28"/>
        </w:rPr>
        <w:t>Decizia emisă de către ODA aferentă cererii de achitare a compensației sau notificarea emisă privind motivele de neexaminare a cererii, transmisă prin intermediul formularului electronic, pot fi contestate în termen de 30 zile de la data comunicării.</w:t>
      </w:r>
    </w:p>
    <w:p w14:paraId="496B2F5A" w14:textId="6FECB9AA" w:rsidR="0070662B" w:rsidRPr="00716117" w:rsidRDefault="0070662B" w:rsidP="0070662B">
      <w:pPr>
        <w:pStyle w:val="NormalWeb"/>
        <w:numPr>
          <w:ilvl w:val="0"/>
          <w:numId w:val="2"/>
        </w:numPr>
        <w:spacing w:before="0" w:beforeAutospacing="0" w:after="180" w:afterAutospacing="0"/>
        <w:ind w:left="567" w:hanging="567"/>
        <w:jc w:val="both"/>
        <w:rPr>
          <w:color w:val="000000" w:themeColor="text1"/>
          <w:sz w:val="28"/>
          <w:szCs w:val="28"/>
        </w:rPr>
      </w:pPr>
      <w:r w:rsidRPr="00716117">
        <w:rPr>
          <w:color w:val="000000" w:themeColor="text1"/>
          <w:sz w:val="28"/>
          <w:szCs w:val="28"/>
        </w:rPr>
        <w:t xml:space="preserve">Plafonul cheltuielilor administrative ale ODA, de lansare şi desfășurare a programului de compensare, constituie </w:t>
      </w:r>
      <w:r w:rsidR="00521F93" w:rsidRPr="00716117">
        <w:rPr>
          <w:color w:val="000000" w:themeColor="text1"/>
          <w:sz w:val="28"/>
          <w:szCs w:val="28"/>
        </w:rPr>
        <w:t>3</w:t>
      </w:r>
      <w:r w:rsidRPr="00716117">
        <w:rPr>
          <w:color w:val="000000" w:themeColor="text1"/>
          <w:sz w:val="28"/>
          <w:szCs w:val="28"/>
        </w:rPr>
        <w:t>% din valoarea cumulativă a compensațiilor alocate beneficiarilor.</w:t>
      </w:r>
    </w:p>
    <w:p w14:paraId="3004779F" w14:textId="4FEFCDE5" w:rsidR="007C3E05" w:rsidRPr="00716117" w:rsidRDefault="00F626F8" w:rsidP="007C3E05">
      <w:pPr>
        <w:pStyle w:val="NormalWeb"/>
        <w:numPr>
          <w:ilvl w:val="0"/>
          <w:numId w:val="2"/>
        </w:numPr>
        <w:spacing w:before="0" w:beforeAutospacing="0" w:after="180" w:afterAutospacing="0"/>
        <w:ind w:left="567" w:hanging="567"/>
        <w:jc w:val="both"/>
        <w:rPr>
          <w:color w:val="000000" w:themeColor="text1"/>
          <w:sz w:val="28"/>
          <w:szCs w:val="28"/>
        </w:rPr>
      </w:pPr>
      <w:r w:rsidRPr="00716117">
        <w:rPr>
          <w:color w:val="000000" w:themeColor="text1"/>
          <w:sz w:val="28"/>
          <w:szCs w:val="28"/>
        </w:rPr>
        <w:t>În cazul în care după implementarea mecanismului de compensare vor rămâne careva s</w:t>
      </w:r>
      <w:r w:rsidR="00521F93" w:rsidRPr="00716117">
        <w:rPr>
          <w:color w:val="000000" w:themeColor="text1"/>
          <w:sz w:val="28"/>
          <w:szCs w:val="28"/>
        </w:rPr>
        <w:t>old</w:t>
      </w:r>
      <w:r w:rsidRPr="00716117">
        <w:rPr>
          <w:color w:val="000000" w:themeColor="text1"/>
          <w:sz w:val="28"/>
          <w:szCs w:val="28"/>
        </w:rPr>
        <w:t>uri</w:t>
      </w:r>
      <w:r w:rsidR="00521F93" w:rsidRPr="00716117">
        <w:rPr>
          <w:color w:val="000000" w:themeColor="text1"/>
          <w:sz w:val="28"/>
          <w:szCs w:val="28"/>
        </w:rPr>
        <w:t xml:space="preserve">, </w:t>
      </w:r>
      <w:r w:rsidRPr="00716117">
        <w:rPr>
          <w:color w:val="000000" w:themeColor="text1"/>
          <w:sz w:val="28"/>
          <w:szCs w:val="28"/>
        </w:rPr>
        <w:t xml:space="preserve">acestea </w:t>
      </w:r>
      <w:r w:rsidR="00521F93" w:rsidRPr="00716117">
        <w:rPr>
          <w:color w:val="000000" w:themeColor="text1"/>
          <w:sz w:val="28"/>
          <w:szCs w:val="28"/>
        </w:rPr>
        <w:t>vor fi distribuite spre alte programe de suport pentru ÎMM-uri gestionate de I.P. ODA, în corespundere cu Deciziile Consiliului I.P. ODA.</w:t>
      </w:r>
    </w:p>
    <w:p w14:paraId="366DE621" w14:textId="772531AE" w:rsidR="0070662B" w:rsidRPr="007F5E4B" w:rsidRDefault="007C3E05" w:rsidP="007F5E4B">
      <w:pPr>
        <w:jc w:val="right"/>
        <w:rPr>
          <w:rFonts w:ascii="Times New Roman" w:hAnsi="Times New Roman" w:cs="Times New Roman"/>
          <w:color w:val="000000" w:themeColor="text1"/>
          <w:sz w:val="28"/>
          <w:szCs w:val="28"/>
        </w:rPr>
      </w:pPr>
      <w:r w:rsidRPr="00716117">
        <w:rPr>
          <w:rFonts w:ascii="Times New Roman" w:hAnsi="Times New Roman" w:cs="Times New Roman"/>
          <w:color w:val="000000" w:themeColor="text1"/>
          <w:sz w:val="28"/>
          <w:szCs w:val="28"/>
        </w:rPr>
        <w:br w:type="page"/>
      </w:r>
      <w:r w:rsidR="0070662B" w:rsidRPr="007F5E4B">
        <w:rPr>
          <w:rFonts w:ascii="Times New Roman" w:hAnsi="Times New Roman" w:cs="Times New Roman"/>
          <w:color w:val="000000" w:themeColor="text1"/>
          <w:sz w:val="28"/>
          <w:szCs w:val="28"/>
        </w:rPr>
        <w:lastRenderedPageBreak/>
        <w:t xml:space="preserve">Anexa nr. 1. </w:t>
      </w:r>
    </w:p>
    <w:p w14:paraId="312251E3" w14:textId="77777777" w:rsidR="0070662B" w:rsidRPr="007F5E4B" w:rsidRDefault="0070662B" w:rsidP="007F5E4B">
      <w:pPr>
        <w:pStyle w:val="NormalWeb"/>
        <w:spacing w:before="0" w:beforeAutospacing="0" w:after="0" w:afterAutospacing="0"/>
        <w:jc w:val="right"/>
        <w:rPr>
          <w:i/>
          <w:iCs/>
          <w:color w:val="000000" w:themeColor="text1"/>
          <w:sz w:val="28"/>
          <w:szCs w:val="28"/>
        </w:rPr>
      </w:pPr>
      <w:r w:rsidRPr="007F5E4B">
        <w:rPr>
          <w:i/>
          <w:iCs/>
          <w:color w:val="000000" w:themeColor="text1"/>
          <w:sz w:val="28"/>
          <w:szCs w:val="28"/>
        </w:rPr>
        <w:t>la Regulamentul privind modul de compensare a dobânzilor la creditele bancare</w:t>
      </w:r>
    </w:p>
    <w:p w14:paraId="5C5AD86C" w14:textId="77777777" w:rsidR="007F5E4B" w:rsidRDefault="0070662B" w:rsidP="007F5E4B">
      <w:pPr>
        <w:pStyle w:val="NormalWeb"/>
        <w:spacing w:before="0" w:beforeAutospacing="0" w:after="0" w:afterAutospacing="0"/>
        <w:ind w:left="567"/>
        <w:jc w:val="right"/>
        <w:rPr>
          <w:i/>
          <w:iCs/>
          <w:color w:val="000000" w:themeColor="text1"/>
          <w:sz w:val="28"/>
          <w:szCs w:val="28"/>
        </w:rPr>
      </w:pPr>
      <w:r w:rsidRPr="007F5E4B">
        <w:rPr>
          <w:i/>
          <w:iCs/>
          <w:color w:val="000000" w:themeColor="text1"/>
          <w:sz w:val="28"/>
          <w:szCs w:val="28"/>
        </w:rPr>
        <w:t xml:space="preserve">și/sau nebancare contractate de întreprinderile mici și mijlocii </w:t>
      </w:r>
    </w:p>
    <w:p w14:paraId="0CAC3966" w14:textId="607AA3A3" w:rsidR="0070662B" w:rsidRPr="007F5E4B" w:rsidRDefault="0070662B" w:rsidP="007F5E4B">
      <w:pPr>
        <w:pStyle w:val="NormalWeb"/>
        <w:spacing w:before="0" w:beforeAutospacing="0" w:after="0" w:afterAutospacing="0"/>
        <w:ind w:left="567"/>
        <w:jc w:val="right"/>
        <w:rPr>
          <w:color w:val="000000" w:themeColor="text1"/>
          <w:sz w:val="28"/>
          <w:szCs w:val="28"/>
        </w:rPr>
      </w:pPr>
      <w:r w:rsidRPr="007F5E4B">
        <w:rPr>
          <w:i/>
          <w:iCs/>
          <w:color w:val="000000" w:themeColor="text1"/>
          <w:sz w:val="28"/>
          <w:szCs w:val="28"/>
        </w:rPr>
        <w:t>aprobat prin</w:t>
      </w:r>
      <w:r w:rsidR="007F5E4B">
        <w:rPr>
          <w:i/>
          <w:iCs/>
          <w:color w:val="000000" w:themeColor="text1"/>
          <w:sz w:val="28"/>
          <w:szCs w:val="28"/>
        </w:rPr>
        <w:t xml:space="preserve"> </w:t>
      </w:r>
      <w:r w:rsidR="00521F93" w:rsidRPr="007F5E4B">
        <w:rPr>
          <w:i/>
          <w:iCs/>
          <w:color w:val="000000" w:themeColor="text1"/>
          <w:sz w:val="28"/>
          <w:szCs w:val="28"/>
        </w:rPr>
        <w:t xml:space="preserve">Hotărârea Guvernului </w:t>
      </w:r>
      <w:r w:rsidRPr="007F5E4B">
        <w:rPr>
          <w:i/>
          <w:iCs/>
          <w:color w:val="000000" w:themeColor="text1"/>
          <w:sz w:val="28"/>
          <w:szCs w:val="28"/>
        </w:rPr>
        <w:t xml:space="preserve"> nr.</w:t>
      </w:r>
      <w:r w:rsidRPr="007F5E4B">
        <w:rPr>
          <w:i/>
          <w:iCs/>
          <w:color w:val="000000" w:themeColor="text1"/>
          <w:sz w:val="28"/>
          <w:szCs w:val="28"/>
          <w:u w:val="single"/>
        </w:rPr>
        <w:t>____</w:t>
      </w:r>
      <w:r w:rsidRPr="007F5E4B">
        <w:rPr>
          <w:i/>
          <w:iCs/>
          <w:color w:val="000000" w:themeColor="text1"/>
          <w:sz w:val="28"/>
          <w:szCs w:val="28"/>
        </w:rPr>
        <w:t xml:space="preserve"> din</w:t>
      </w:r>
      <w:r w:rsidRPr="007F5E4B">
        <w:rPr>
          <w:i/>
          <w:iCs/>
          <w:color w:val="000000" w:themeColor="text1"/>
          <w:sz w:val="28"/>
          <w:szCs w:val="28"/>
          <w:u w:val="single"/>
        </w:rPr>
        <w:t xml:space="preserve"> ____</w:t>
      </w:r>
      <w:r w:rsidRPr="007F5E4B">
        <w:rPr>
          <w:i/>
          <w:iCs/>
          <w:color w:val="000000" w:themeColor="text1"/>
          <w:sz w:val="28"/>
          <w:szCs w:val="28"/>
        </w:rPr>
        <w:t xml:space="preserve"> octombrie 2022</w:t>
      </w:r>
    </w:p>
    <w:p w14:paraId="4622BFEB" w14:textId="77777777" w:rsidR="0070662B" w:rsidRPr="00716117" w:rsidRDefault="0070662B" w:rsidP="0070662B">
      <w:pPr>
        <w:pStyle w:val="NormalWeb"/>
        <w:spacing w:before="0" w:beforeAutospacing="0" w:after="180" w:afterAutospacing="0"/>
        <w:ind w:left="567"/>
        <w:jc w:val="both"/>
        <w:rPr>
          <w:i/>
          <w:iCs/>
          <w:color w:val="000000" w:themeColor="text1"/>
          <w:sz w:val="28"/>
          <w:szCs w:val="28"/>
        </w:rPr>
      </w:pPr>
    </w:p>
    <w:p w14:paraId="13B69702" w14:textId="77777777" w:rsidR="000F6896" w:rsidRDefault="0070662B" w:rsidP="0070662B">
      <w:pPr>
        <w:pStyle w:val="NormalWeb"/>
        <w:spacing w:before="0" w:beforeAutospacing="0" w:after="180" w:afterAutospacing="0"/>
        <w:ind w:left="567"/>
        <w:jc w:val="center"/>
        <w:rPr>
          <w:b/>
          <w:color w:val="000000" w:themeColor="text1"/>
          <w:sz w:val="28"/>
          <w:szCs w:val="28"/>
        </w:rPr>
      </w:pPr>
      <w:r w:rsidRPr="000F6896">
        <w:rPr>
          <w:b/>
          <w:color w:val="000000" w:themeColor="text1"/>
          <w:sz w:val="28"/>
          <w:szCs w:val="28"/>
        </w:rPr>
        <w:t xml:space="preserve">Lista domeniilor de activitate neeligibile, </w:t>
      </w:r>
    </w:p>
    <w:p w14:paraId="3E29673F" w14:textId="197F6DBE" w:rsidR="0070662B" w:rsidRPr="000F6896" w:rsidRDefault="0070662B" w:rsidP="0070662B">
      <w:pPr>
        <w:pStyle w:val="NormalWeb"/>
        <w:spacing w:before="0" w:beforeAutospacing="0" w:after="180" w:afterAutospacing="0"/>
        <w:ind w:left="567"/>
        <w:jc w:val="center"/>
        <w:rPr>
          <w:b/>
          <w:color w:val="000000" w:themeColor="text1"/>
          <w:sz w:val="28"/>
          <w:szCs w:val="28"/>
        </w:rPr>
      </w:pPr>
      <w:r w:rsidRPr="000F6896">
        <w:rPr>
          <w:b/>
          <w:color w:val="000000" w:themeColor="text1"/>
          <w:sz w:val="28"/>
          <w:szCs w:val="28"/>
        </w:rPr>
        <w:t xml:space="preserve">ce nu pot beneficia de compensații în conformitate cu </w:t>
      </w:r>
      <w:r w:rsidR="004764D5">
        <w:rPr>
          <w:b/>
          <w:color w:val="000000" w:themeColor="text1"/>
          <w:sz w:val="28"/>
          <w:szCs w:val="28"/>
        </w:rPr>
        <w:t>prezentul Regulament</w:t>
      </w:r>
    </w:p>
    <w:tbl>
      <w:tblPr>
        <w:tblStyle w:val="TableGrid"/>
        <w:tblW w:w="0" w:type="auto"/>
        <w:jc w:val="center"/>
        <w:tblLook w:val="04A0" w:firstRow="1" w:lastRow="0" w:firstColumn="1" w:lastColumn="0" w:noHBand="0" w:noVBand="1"/>
      </w:tblPr>
      <w:tblGrid>
        <w:gridCol w:w="831"/>
        <w:gridCol w:w="1843"/>
        <w:gridCol w:w="6677"/>
      </w:tblGrid>
      <w:tr w:rsidR="0070662B" w:rsidRPr="00716117" w14:paraId="44FC5E06" w14:textId="77777777" w:rsidTr="009B0230">
        <w:trPr>
          <w:jc w:val="center"/>
        </w:trPr>
        <w:tc>
          <w:tcPr>
            <w:tcW w:w="831" w:type="dxa"/>
          </w:tcPr>
          <w:p w14:paraId="556AC3A9" w14:textId="77777777" w:rsidR="0070662B" w:rsidRPr="00716117" w:rsidRDefault="0070662B" w:rsidP="009B0230">
            <w:pPr>
              <w:pStyle w:val="NormalWeb"/>
              <w:spacing w:before="0" w:beforeAutospacing="0" w:after="180" w:afterAutospacing="0"/>
              <w:jc w:val="both"/>
              <w:rPr>
                <w:b/>
                <w:bCs/>
                <w:color w:val="000000" w:themeColor="text1"/>
                <w:sz w:val="28"/>
                <w:szCs w:val="28"/>
              </w:rPr>
            </w:pPr>
            <w:r w:rsidRPr="00716117">
              <w:rPr>
                <w:b/>
                <w:bCs/>
                <w:color w:val="000000" w:themeColor="text1"/>
                <w:sz w:val="28"/>
                <w:szCs w:val="28"/>
              </w:rPr>
              <w:t>Nr./o</w:t>
            </w:r>
          </w:p>
        </w:tc>
        <w:tc>
          <w:tcPr>
            <w:tcW w:w="1843" w:type="dxa"/>
            <w:vAlign w:val="center"/>
          </w:tcPr>
          <w:p w14:paraId="7BE11A2F" w14:textId="77777777" w:rsidR="0070662B" w:rsidRPr="00716117" w:rsidRDefault="0070662B" w:rsidP="009B0230">
            <w:pPr>
              <w:pStyle w:val="NormalWeb"/>
              <w:spacing w:before="0" w:beforeAutospacing="0" w:after="180" w:afterAutospacing="0"/>
              <w:jc w:val="center"/>
              <w:rPr>
                <w:b/>
                <w:bCs/>
                <w:color w:val="000000" w:themeColor="text1"/>
                <w:sz w:val="28"/>
                <w:szCs w:val="28"/>
              </w:rPr>
            </w:pPr>
            <w:r w:rsidRPr="00716117">
              <w:rPr>
                <w:b/>
                <w:bCs/>
                <w:color w:val="000000" w:themeColor="text1"/>
                <w:sz w:val="28"/>
                <w:szCs w:val="28"/>
              </w:rPr>
              <w:t>Cod/Grup CAEM</w:t>
            </w:r>
          </w:p>
        </w:tc>
        <w:tc>
          <w:tcPr>
            <w:tcW w:w="6677" w:type="dxa"/>
            <w:vAlign w:val="center"/>
          </w:tcPr>
          <w:p w14:paraId="05B67D95" w14:textId="77777777" w:rsidR="0070662B" w:rsidRPr="00716117" w:rsidRDefault="0070662B" w:rsidP="009B0230">
            <w:pPr>
              <w:pStyle w:val="NormalWeb"/>
              <w:spacing w:before="0" w:beforeAutospacing="0" w:after="180" w:afterAutospacing="0"/>
              <w:jc w:val="center"/>
              <w:rPr>
                <w:b/>
                <w:bCs/>
                <w:color w:val="000000" w:themeColor="text1"/>
                <w:sz w:val="28"/>
                <w:szCs w:val="28"/>
              </w:rPr>
            </w:pPr>
            <w:r w:rsidRPr="00716117">
              <w:rPr>
                <w:b/>
                <w:bCs/>
                <w:color w:val="000000" w:themeColor="text1"/>
                <w:sz w:val="28"/>
                <w:szCs w:val="28"/>
              </w:rPr>
              <w:t>Domeniul de activitate</w:t>
            </w:r>
          </w:p>
        </w:tc>
      </w:tr>
      <w:tr w:rsidR="0070662B" w:rsidRPr="00716117" w14:paraId="00C9F6BC" w14:textId="77777777" w:rsidTr="009B0230">
        <w:trPr>
          <w:jc w:val="center"/>
        </w:trPr>
        <w:tc>
          <w:tcPr>
            <w:tcW w:w="831" w:type="dxa"/>
          </w:tcPr>
          <w:p w14:paraId="20AFDC0E" w14:textId="77777777" w:rsidR="0070662B" w:rsidRPr="00716117" w:rsidRDefault="0070662B" w:rsidP="009B0230">
            <w:pPr>
              <w:pStyle w:val="NormalWeb"/>
              <w:numPr>
                <w:ilvl w:val="0"/>
                <w:numId w:val="25"/>
              </w:numPr>
              <w:spacing w:before="0" w:beforeAutospacing="0" w:after="180" w:afterAutospacing="0"/>
              <w:jc w:val="both"/>
              <w:rPr>
                <w:b/>
                <w:bCs/>
                <w:color w:val="000000" w:themeColor="text1"/>
                <w:sz w:val="28"/>
                <w:szCs w:val="28"/>
              </w:rPr>
            </w:pPr>
          </w:p>
        </w:tc>
        <w:tc>
          <w:tcPr>
            <w:tcW w:w="1843" w:type="dxa"/>
            <w:vAlign w:val="center"/>
          </w:tcPr>
          <w:p w14:paraId="1599D0B1" w14:textId="77777777" w:rsidR="0070662B" w:rsidRPr="00716117" w:rsidRDefault="0070662B" w:rsidP="009B0230">
            <w:pPr>
              <w:pStyle w:val="NormalWeb"/>
              <w:spacing w:before="0" w:beforeAutospacing="0" w:after="180" w:afterAutospacing="0"/>
              <w:jc w:val="center"/>
              <w:rPr>
                <w:color w:val="000000" w:themeColor="text1"/>
                <w:sz w:val="28"/>
                <w:szCs w:val="28"/>
              </w:rPr>
            </w:pPr>
            <w:r w:rsidRPr="00716117">
              <w:rPr>
                <w:color w:val="000000" w:themeColor="text1"/>
                <w:sz w:val="28"/>
                <w:szCs w:val="28"/>
              </w:rPr>
              <w:t>...</w:t>
            </w:r>
          </w:p>
        </w:tc>
        <w:tc>
          <w:tcPr>
            <w:tcW w:w="6677" w:type="dxa"/>
            <w:vAlign w:val="center"/>
          </w:tcPr>
          <w:p w14:paraId="48E7D457" w14:textId="77777777" w:rsidR="0070662B" w:rsidRPr="00716117" w:rsidRDefault="0070662B" w:rsidP="009B0230">
            <w:pPr>
              <w:pStyle w:val="NormalWeb"/>
              <w:spacing w:before="0" w:beforeAutospacing="0" w:after="180" w:afterAutospacing="0"/>
              <w:jc w:val="both"/>
              <w:rPr>
                <w:color w:val="000000" w:themeColor="text1"/>
                <w:sz w:val="28"/>
                <w:szCs w:val="28"/>
              </w:rPr>
            </w:pPr>
          </w:p>
        </w:tc>
      </w:tr>
      <w:tr w:rsidR="0070662B" w:rsidRPr="00716117" w14:paraId="226C8C42" w14:textId="77777777" w:rsidTr="009B0230">
        <w:trPr>
          <w:jc w:val="center"/>
        </w:trPr>
        <w:tc>
          <w:tcPr>
            <w:tcW w:w="831" w:type="dxa"/>
          </w:tcPr>
          <w:p w14:paraId="5F0B37B4" w14:textId="77777777" w:rsidR="0070662B" w:rsidRPr="00716117" w:rsidRDefault="0070662B" w:rsidP="009B0230">
            <w:pPr>
              <w:pStyle w:val="NormalWeb"/>
              <w:numPr>
                <w:ilvl w:val="0"/>
                <w:numId w:val="25"/>
              </w:numPr>
              <w:spacing w:before="0" w:beforeAutospacing="0" w:after="180" w:afterAutospacing="0"/>
              <w:jc w:val="both"/>
              <w:rPr>
                <w:b/>
                <w:bCs/>
                <w:color w:val="000000" w:themeColor="text1"/>
                <w:sz w:val="28"/>
                <w:szCs w:val="28"/>
              </w:rPr>
            </w:pPr>
          </w:p>
        </w:tc>
        <w:tc>
          <w:tcPr>
            <w:tcW w:w="1843" w:type="dxa"/>
            <w:vAlign w:val="center"/>
          </w:tcPr>
          <w:p w14:paraId="4C64D114" w14:textId="77777777" w:rsidR="0070662B" w:rsidRPr="00716117" w:rsidRDefault="0070662B" w:rsidP="009B0230">
            <w:pPr>
              <w:pStyle w:val="NormalWeb"/>
              <w:spacing w:before="0" w:beforeAutospacing="0" w:after="180" w:afterAutospacing="0"/>
              <w:jc w:val="center"/>
              <w:rPr>
                <w:color w:val="000000" w:themeColor="text1"/>
                <w:sz w:val="28"/>
                <w:szCs w:val="28"/>
              </w:rPr>
            </w:pPr>
          </w:p>
        </w:tc>
        <w:tc>
          <w:tcPr>
            <w:tcW w:w="6677" w:type="dxa"/>
            <w:vAlign w:val="center"/>
          </w:tcPr>
          <w:p w14:paraId="52B5C5A7" w14:textId="77777777" w:rsidR="0070662B" w:rsidRPr="00716117" w:rsidRDefault="0070662B" w:rsidP="009B0230">
            <w:pPr>
              <w:pStyle w:val="NormalWeb"/>
              <w:spacing w:before="0" w:beforeAutospacing="0" w:after="180" w:afterAutospacing="0"/>
              <w:jc w:val="both"/>
              <w:rPr>
                <w:color w:val="000000" w:themeColor="text1"/>
                <w:sz w:val="28"/>
                <w:szCs w:val="28"/>
              </w:rPr>
            </w:pPr>
          </w:p>
        </w:tc>
      </w:tr>
      <w:tr w:rsidR="0070662B" w:rsidRPr="00716117" w14:paraId="3C149EA3" w14:textId="77777777" w:rsidTr="009B0230">
        <w:trPr>
          <w:jc w:val="center"/>
        </w:trPr>
        <w:tc>
          <w:tcPr>
            <w:tcW w:w="831" w:type="dxa"/>
          </w:tcPr>
          <w:p w14:paraId="394D8BBB" w14:textId="77777777" w:rsidR="0070662B" w:rsidRPr="00716117" w:rsidRDefault="0070662B" w:rsidP="009B0230">
            <w:pPr>
              <w:pStyle w:val="NormalWeb"/>
              <w:numPr>
                <w:ilvl w:val="0"/>
                <w:numId w:val="25"/>
              </w:numPr>
              <w:spacing w:before="0" w:beforeAutospacing="0" w:after="180" w:afterAutospacing="0"/>
              <w:jc w:val="both"/>
              <w:rPr>
                <w:b/>
                <w:bCs/>
                <w:color w:val="000000" w:themeColor="text1"/>
                <w:sz w:val="28"/>
                <w:szCs w:val="28"/>
              </w:rPr>
            </w:pPr>
          </w:p>
        </w:tc>
        <w:tc>
          <w:tcPr>
            <w:tcW w:w="1843" w:type="dxa"/>
            <w:vAlign w:val="center"/>
          </w:tcPr>
          <w:p w14:paraId="6EF650E9" w14:textId="77777777" w:rsidR="0070662B" w:rsidRPr="00716117" w:rsidRDefault="0070662B" w:rsidP="009B0230">
            <w:pPr>
              <w:pStyle w:val="NormalWeb"/>
              <w:spacing w:before="0" w:beforeAutospacing="0" w:after="180" w:afterAutospacing="0"/>
              <w:jc w:val="center"/>
              <w:rPr>
                <w:color w:val="000000" w:themeColor="text1"/>
                <w:sz w:val="28"/>
                <w:szCs w:val="28"/>
              </w:rPr>
            </w:pPr>
          </w:p>
        </w:tc>
        <w:tc>
          <w:tcPr>
            <w:tcW w:w="6677" w:type="dxa"/>
            <w:vAlign w:val="center"/>
          </w:tcPr>
          <w:p w14:paraId="7A8ADB86" w14:textId="77777777" w:rsidR="0070662B" w:rsidRPr="00716117" w:rsidRDefault="0070662B" w:rsidP="009B0230">
            <w:pPr>
              <w:pStyle w:val="NormalWeb"/>
              <w:spacing w:before="0" w:beforeAutospacing="0" w:after="180" w:afterAutospacing="0"/>
              <w:jc w:val="both"/>
              <w:rPr>
                <w:color w:val="000000" w:themeColor="text1"/>
                <w:sz w:val="28"/>
                <w:szCs w:val="28"/>
              </w:rPr>
            </w:pPr>
          </w:p>
        </w:tc>
      </w:tr>
      <w:tr w:rsidR="0070662B" w:rsidRPr="00716117" w14:paraId="4BAF7494" w14:textId="77777777" w:rsidTr="009B0230">
        <w:trPr>
          <w:jc w:val="center"/>
        </w:trPr>
        <w:tc>
          <w:tcPr>
            <w:tcW w:w="831" w:type="dxa"/>
          </w:tcPr>
          <w:p w14:paraId="7E16AFE6" w14:textId="77777777" w:rsidR="0070662B" w:rsidRPr="00716117" w:rsidRDefault="0070662B" w:rsidP="009B0230">
            <w:pPr>
              <w:pStyle w:val="NormalWeb"/>
              <w:numPr>
                <w:ilvl w:val="0"/>
                <w:numId w:val="25"/>
              </w:numPr>
              <w:spacing w:before="0" w:beforeAutospacing="0" w:after="180" w:afterAutospacing="0"/>
              <w:jc w:val="both"/>
              <w:rPr>
                <w:b/>
                <w:bCs/>
                <w:color w:val="000000" w:themeColor="text1"/>
                <w:sz w:val="28"/>
                <w:szCs w:val="28"/>
              </w:rPr>
            </w:pPr>
          </w:p>
        </w:tc>
        <w:tc>
          <w:tcPr>
            <w:tcW w:w="1843" w:type="dxa"/>
            <w:vAlign w:val="center"/>
          </w:tcPr>
          <w:p w14:paraId="4766FED8" w14:textId="77777777" w:rsidR="0070662B" w:rsidRPr="00716117" w:rsidRDefault="0070662B" w:rsidP="009B0230">
            <w:pPr>
              <w:pStyle w:val="NormalWeb"/>
              <w:spacing w:before="0" w:beforeAutospacing="0" w:after="180" w:afterAutospacing="0"/>
              <w:jc w:val="center"/>
              <w:rPr>
                <w:color w:val="000000" w:themeColor="text1"/>
                <w:sz w:val="28"/>
                <w:szCs w:val="28"/>
              </w:rPr>
            </w:pPr>
          </w:p>
        </w:tc>
        <w:tc>
          <w:tcPr>
            <w:tcW w:w="6677" w:type="dxa"/>
            <w:vAlign w:val="center"/>
          </w:tcPr>
          <w:p w14:paraId="554B7AB6" w14:textId="77777777" w:rsidR="0070662B" w:rsidRPr="00716117" w:rsidRDefault="0070662B" w:rsidP="009B0230">
            <w:pPr>
              <w:pStyle w:val="NormalWeb"/>
              <w:spacing w:before="0" w:beforeAutospacing="0" w:after="180" w:afterAutospacing="0"/>
              <w:jc w:val="both"/>
              <w:rPr>
                <w:color w:val="000000" w:themeColor="text1"/>
                <w:sz w:val="28"/>
                <w:szCs w:val="28"/>
              </w:rPr>
            </w:pPr>
          </w:p>
        </w:tc>
      </w:tr>
      <w:tr w:rsidR="0070662B" w:rsidRPr="00716117" w14:paraId="1A875CA3" w14:textId="77777777" w:rsidTr="009B0230">
        <w:trPr>
          <w:jc w:val="center"/>
        </w:trPr>
        <w:tc>
          <w:tcPr>
            <w:tcW w:w="831" w:type="dxa"/>
          </w:tcPr>
          <w:p w14:paraId="25183127" w14:textId="77777777" w:rsidR="0070662B" w:rsidRPr="00716117" w:rsidRDefault="0070662B" w:rsidP="009B0230">
            <w:pPr>
              <w:pStyle w:val="NormalWeb"/>
              <w:numPr>
                <w:ilvl w:val="0"/>
                <w:numId w:val="25"/>
              </w:numPr>
              <w:spacing w:before="0" w:beforeAutospacing="0" w:after="180" w:afterAutospacing="0"/>
              <w:jc w:val="both"/>
              <w:rPr>
                <w:b/>
                <w:bCs/>
                <w:color w:val="000000" w:themeColor="text1"/>
                <w:sz w:val="28"/>
                <w:szCs w:val="28"/>
              </w:rPr>
            </w:pPr>
          </w:p>
        </w:tc>
        <w:tc>
          <w:tcPr>
            <w:tcW w:w="1843" w:type="dxa"/>
            <w:vAlign w:val="center"/>
          </w:tcPr>
          <w:p w14:paraId="2C226169" w14:textId="77777777" w:rsidR="0070662B" w:rsidRPr="00716117" w:rsidRDefault="0070662B" w:rsidP="009B0230">
            <w:pPr>
              <w:pStyle w:val="NormalWeb"/>
              <w:spacing w:before="0" w:beforeAutospacing="0" w:after="180" w:afterAutospacing="0"/>
              <w:jc w:val="center"/>
              <w:rPr>
                <w:color w:val="000000" w:themeColor="text1"/>
                <w:sz w:val="28"/>
                <w:szCs w:val="28"/>
              </w:rPr>
            </w:pPr>
          </w:p>
        </w:tc>
        <w:tc>
          <w:tcPr>
            <w:tcW w:w="6677" w:type="dxa"/>
            <w:vAlign w:val="center"/>
          </w:tcPr>
          <w:p w14:paraId="3DFFD47C" w14:textId="77777777" w:rsidR="0070662B" w:rsidRPr="00716117" w:rsidRDefault="0070662B" w:rsidP="009B0230">
            <w:pPr>
              <w:pStyle w:val="NormalWeb"/>
              <w:spacing w:before="0" w:beforeAutospacing="0" w:after="180" w:afterAutospacing="0"/>
              <w:jc w:val="both"/>
              <w:rPr>
                <w:color w:val="000000" w:themeColor="text1"/>
                <w:sz w:val="28"/>
                <w:szCs w:val="28"/>
              </w:rPr>
            </w:pPr>
          </w:p>
        </w:tc>
      </w:tr>
      <w:bookmarkEnd w:id="1"/>
    </w:tbl>
    <w:p w14:paraId="58AB4C01" w14:textId="60E6B283" w:rsidR="00CB6B2C" w:rsidRPr="00716117" w:rsidRDefault="00CB6B2C" w:rsidP="00D12754">
      <w:pPr>
        <w:ind w:left="0" w:firstLine="0"/>
        <w:rPr>
          <w:rFonts w:ascii="Times New Roman" w:hAnsi="Times New Roman" w:cs="Times New Roman"/>
          <w:sz w:val="28"/>
          <w:szCs w:val="28"/>
        </w:rPr>
      </w:pPr>
    </w:p>
    <w:sectPr w:rsidR="00CB6B2C" w:rsidRPr="00716117" w:rsidSect="00521F93">
      <w:footerReference w:type="even" r:id="rId8"/>
      <w:footerReference w:type="default" r:id="rId9"/>
      <w:pgSz w:w="11906" w:h="16838"/>
      <w:pgMar w:top="426" w:right="851" w:bottom="28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CDEDF" w14:textId="77777777" w:rsidR="00C40A59" w:rsidRDefault="00C40A59" w:rsidP="005F095C">
      <w:pPr>
        <w:spacing w:after="0"/>
      </w:pPr>
      <w:r>
        <w:separator/>
      </w:r>
    </w:p>
  </w:endnote>
  <w:endnote w:type="continuationSeparator" w:id="0">
    <w:p w14:paraId="2F36E25C" w14:textId="77777777" w:rsidR="00C40A59" w:rsidRDefault="00C40A59" w:rsidP="005F0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altName w:val="Times New Roman"/>
    <w:charset w:val="00"/>
    <w:family w:val="roman"/>
    <w:pitch w:val="variable"/>
    <w:sig w:usb0="00000001"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49330404"/>
      <w:docPartObj>
        <w:docPartGallery w:val="Page Numbers (Bottom of Page)"/>
        <w:docPartUnique/>
      </w:docPartObj>
    </w:sdtPr>
    <w:sdtEndPr>
      <w:rPr>
        <w:rStyle w:val="PageNumber"/>
      </w:rPr>
    </w:sdtEndPr>
    <w:sdtContent>
      <w:p w14:paraId="67A1B157" w14:textId="2A0DBBA5" w:rsidR="005F095C" w:rsidRDefault="005F095C" w:rsidP="002661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BE9E923" w14:textId="77777777" w:rsidR="005F095C" w:rsidRDefault="005F095C" w:rsidP="005F09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New Roman" w:hAnsi="Times New Roman" w:cs="Times New Roman"/>
      </w:rPr>
      <w:id w:val="-42983110"/>
      <w:docPartObj>
        <w:docPartGallery w:val="Page Numbers (Bottom of Page)"/>
        <w:docPartUnique/>
      </w:docPartObj>
    </w:sdtPr>
    <w:sdtEndPr>
      <w:rPr>
        <w:rStyle w:val="PageNumber"/>
        <w:sz w:val="16"/>
        <w:szCs w:val="16"/>
      </w:rPr>
    </w:sdtEndPr>
    <w:sdtContent>
      <w:p w14:paraId="07E8116C" w14:textId="64E11674" w:rsidR="005F095C" w:rsidRPr="00695E0E" w:rsidRDefault="005F095C" w:rsidP="00695E0E">
        <w:pPr>
          <w:pStyle w:val="Footer"/>
          <w:framePr w:wrap="none" w:vAnchor="text" w:hAnchor="page" w:x="10908" w:y="5"/>
          <w:rPr>
            <w:rStyle w:val="PageNumber"/>
            <w:rFonts w:ascii="Times New Roman" w:hAnsi="Times New Roman" w:cs="Times New Roman"/>
          </w:rPr>
        </w:pPr>
        <w:r w:rsidRPr="00695E0E">
          <w:rPr>
            <w:rStyle w:val="PageNumber"/>
            <w:rFonts w:ascii="Times New Roman" w:hAnsi="Times New Roman" w:cs="Times New Roman"/>
            <w:sz w:val="16"/>
            <w:szCs w:val="16"/>
          </w:rPr>
          <w:fldChar w:fldCharType="begin"/>
        </w:r>
        <w:r w:rsidRPr="00695E0E">
          <w:rPr>
            <w:rStyle w:val="PageNumber"/>
            <w:rFonts w:ascii="Times New Roman" w:hAnsi="Times New Roman" w:cs="Times New Roman"/>
            <w:sz w:val="16"/>
            <w:szCs w:val="16"/>
          </w:rPr>
          <w:instrText xml:space="preserve"> PAGE </w:instrText>
        </w:r>
        <w:r w:rsidRPr="00695E0E">
          <w:rPr>
            <w:rStyle w:val="PageNumber"/>
            <w:rFonts w:ascii="Times New Roman" w:hAnsi="Times New Roman" w:cs="Times New Roman"/>
            <w:sz w:val="16"/>
            <w:szCs w:val="16"/>
          </w:rPr>
          <w:fldChar w:fldCharType="separate"/>
        </w:r>
        <w:r w:rsidR="00AF1282">
          <w:rPr>
            <w:rStyle w:val="PageNumber"/>
            <w:rFonts w:ascii="Times New Roman" w:hAnsi="Times New Roman" w:cs="Times New Roman"/>
            <w:noProof/>
            <w:sz w:val="16"/>
            <w:szCs w:val="16"/>
          </w:rPr>
          <w:t>4</w:t>
        </w:r>
        <w:r w:rsidRPr="00695E0E">
          <w:rPr>
            <w:rStyle w:val="PageNumber"/>
            <w:rFonts w:ascii="Times New Roman" w:hAnsi="Times New Roman" w:cs="Times New Roman"/>
            <w:sz w:val="16"/>
            <w:szCs w:val="16"/>
          </w:rPr>
          <w:fldChar w:fldCharType="end"/>
        </w:r>
      </w:p>
    </w:sdtContent>
  </w:sdt>
  <w:p w14:paraId="527C5C26" w14:textId="77777777" w:rsidR="005F095C" w:rsidRDefault="005F095C" w:rsidP="005F09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58A7B" w14:textId="77777777" w:rsidR="00C40A59" w:rsidRDefault="00C40A59" w:rsidP="005F095C">
      <w:pPr>
        <w:spacing w:after="0"/>
      </w:pPr>
      <w:r>
        <w:separator/>
      </w:r>
    </w:p>
  </w:footnote>
  <w:footnote w:type="continuationSeparator" w:id="0">
    <w:p w14:paraId="2E5290A5" w14:textId="77777777" w:rsidR="00C40A59" w:rsidRDefault="00C40A59" w:rsidP="005F09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73F"/>
    <w:multiLevelType w:val="hybridMultilevel"/>
    <w:tmpl w:val="CD4ED68C"/>
    <w:lvl w:ilvl="0" w:tplc="3904A4F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E3CAC"/>
    <w:multiLevelType w:val="hybridMultilevel"/>
    <w:tmpl w:val="D194BD2A"/>
    <w:lvl w:ilvl="0" w:tplc="FFFFFFFF">
      <w:start w:val="1"/>
      <w:numFmt w:val="decimal"/>
      <w:lvlText w:val="%1."/>
      <w:lvlJc w:val="left"/>
      <w:pPr>
        <w:ind w:left="720" w:hanging="360"/>
      </w:pPr>
      <w:rPr>
        <w:rFonts w:ascii="Times New Roman" w:hAnsi="Times New Roman" w:cs="Times New Roman" w:hint="default"/>
        <w:i w:val="0"/>
        <w:i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607F3"/>
    <w:multiLevelType w:val="hybridMultilevel"/>
    <w:tmpl w:val="6B946A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7C46432"/>
    <w:multiLevelType w:val="hybridMultilevel"/>
    <w:tmpl w:val="F28C6B8A"/>
    <w:lvl w:ilvl="0" w:tplc="0B3ECE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D2D98"/>
    <w:multiLevelType w:val="hybridMultilevel"/>
    <w:tmpl w:val="55762BD4"/>
    <w:lvl w:ilvl="0" w:tplc="BCD6DB2C">
      <w:start w:val="1"/>
      <w:numFmt w:val="decimal"/>
      <w:lvlText w:val="%1."/>
      <w:lvlJc w:val="left"/>
      <w:pPr>
        <w:ind w:left="720" w:hanging="360"/>
      </w:pPr>
      <w:rPr>
        <w:b/>
        <w:bC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5" w15:restartNumberingAfterBreak="0">
    <w:nsid w:val="361B5B95"/>
    <w:multiLevelType w:val="hybridMultilevel"/>
    <w:tmpl w:val="BF8E6092"/>
    <w:lvl w:ilvl="0" w:tplc="79787A1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79F12E4"/>
    <w:multiLevelType w:val="hybridMultilevel"/>
    <w:tmpl w:val="B9069C48"/>
    <w:lvl w:ilvl="0" w:tplc="0409000F">
      <w:start w:val="1"/>
      <w:numFmt w:val="decimal"/>
      <w:lvlText w:val="%1."/>
      <w:lvlJc w:val="left"/>
      <w:pPr>
        <w:ind w:left="501" w:hanging="360"/>
      </w:pPr>
    </w:lvl>
    <w:lvl w:ilvl="1" w:tplc="08180019" w:tentative="1">
      <w:start w:val="1"/>
      <w:numFmt w:val="lowerLetter"/>
      <w:lvlText w:val="%2."/>
      <w:lvlJc w:val="left"/>
      <w:pPr>
        <w:ind w:left="1221" w:hanging="360"/>
      </w:pPr>
    </w:lvl>
    <w:lvl w:ilvl="2" w:tplc="0818001B" w:tentative="1">
      <w:start w:val="1"/>
      <w:numFmt w:val="lowerRoman"/>
      <w:lvlText w:val="%3."/>
      <w:lvlJc w:val="right"/>
      <w:pPr>
        <w:ind w:left="1941" w:hanging="180"/>
      </w:pPr>
    </w:lvl>
    <w:lvl w:ilvl="3" w:tplc="0818000F" w:tentative="1">
      <w:start w:val="1"/>
      <w:numFmt w:val="decimal"/>
      <w:lvlText w:val="%4."/>
      <w:lvlJc w:val="left"/>
      <w:pPr>
        <w:ind w:left="2661" w:hanging="360"/>
      </w:pPr>
    </w:lvl>
    <w:lvl w:ilvl="4" w:tplc="08180019" w:tentative="1">
      <w:start w:val="1"/>
      <w:numFmt w:val="lowerLetter"/>
      <w:lvlText w:val="%5."/>
      <w:lvlJc w:val="left"/>
      <w:pPr>
        <w:ind w:left="3381" w:hanging="360"/>
      </w:pPr>
    </w:lvl>
    <w:lvl w:ilvl="5" w:tplc="0818001B" w:tentative="1">
      <w:start w:val="1"/>
      <w:numFmt w:val="lowerRoman"/>
      <w:lvlText w:val="%6."/>
      <w:lvlJc w:val="right"/>
      <w:pPr>
        <w:ind w:left="4101" w:hanging="180"/>
      </w:pPr>
    </w:lvl>
    <w:lvl w:ilvl="6" w:tplc="0818000F" w:tentative="1">
      <w:start w:val="1"/>
      <w:numFmt w:val="decimal"/>
      <w:lvlText w:val="%7."/>
      <w:lvlJc w:val="left"/>
      <w:pPr>
        <w:ind w:left="4821" w:hanging="360"/>
      </w:pPr>
    </w:lvl>
    <w:lvl w:ilvl="7" w:tplc="08180019" w:tentative="1">
      <w:start w:val="1"/>
      <w:numFmt w:val="lowerLetter"/>
      <w:lvlText w:val="%8."/>
      <w:lvlJc w:val="left"/>
      <w:pPr>
        <w:ind w:left="5541" w:hanging="360"/>
      </w:pPr>
    </w:lvl>
    <w:lvl w:ilvl="8" w:tplc="0818001B" w:tentative="1">
      <w:start w:val="1"/>
      <w:numFmt w:val="lowerRoman"/>
      <w:lvlText w:val="%9."/>
      <w:lvlJc w:val="right"/>
      <w:pPr>
        <w:ind w:left="6261" w:hanging="180"/>
      </w:pPr>
    </w:lvl>
  </w:abstractNum>
  <w:abstractNum w:abstractNumId="7" w15:restartNumberingAfterBreak="0">
    <w:nsid w:val="38542DAE"/>
    <w:multiLevelType w:val="hybridMultilevel"/>
    <w:tmpl w:val="734EEEB2"/>
    <w:lvl w:ilvl="0" w:tplc="5DAC138E">
      <w:start w:val="1"/>
      <w:numFmt w:val="lowerLetter"/>
      <w:lvlText w:val="%1)"/>
      <w:lvlJc w:val="left"/>
      <w:pPr>
        <w:ind w:left="1080" w:hanging="360"/>
      </w:pPr>
      <w:rPr>
        <w:rFonts w:ascii="Times New Roman" w:hAnsi="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B41F5F"/>
    <w:multiLevelType w:val="hybridMultilevel"/>
    <w:tmpl w:val="07C8BCEE"/>
    <w:lvl w:ilvl="0" w:tplc="FB4EA212">
      <w:start w:val="1"/>
      <w:numFmt w:val="decimal"/>
      <w:lvlText w:val="%1)"/>
      <w:lvlJc w:val="left"/>
      <w:pPr>
        <w:ind w:left="927" w:hanging="360"/>
      </w:pPr>
      <w:rPr>
        <w:rFonts w:hint="default"/>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EC84F18"/>
    <w:multiLevelType w:val="hybridMultilevel"/>
    <w:tmpl w:val="0CA20080"/>
    <w:lvl w:ilvl="0" w:tplc="9B126972">
      <w:start w:val="1"/>
      <w:numFmt w:val="bullet"/>
      <w:lvlText w:val="-"/>
      <w:lvlJc w:val="left"/>
      <w:pPr>
        <w:ind w:left="720" w:hanging="360"/>
      </w:pPr>
      <w:rPr>
        <w:rFonts w:ascii="Calibri" w:hAnsi="Calibri" w:hint="default"/>
      </w:rPr>
    </w:lvl>
    <w:lvl w:ilvl="1" w:tplc="A85EAFBA">
      <w:start w:val="1"/>
      <w:numFmt w:val="bullet"/>
      <w:lvlText w:val="o"/>
      <w:lvlJc w:val="left"/>
      <w:pPr>
        <w:ind w:left="1440" w:hanging="360"/>
      </w:pPr>
      <w:rPr>
        <w:rFonts w:ascii="Courier New" w:hAnsi="Courier New" w:hint="default"/>
      </w:rPr>
    </w:lvl>
    <w:lvl w:ilvl="2" w:tplc="F86874DE">
      <w:start w:val="1"/>
      <w:numFmt w:val="bullet"/>
      <w:lvlText w:val=""/>
      <w:lvlJc w:val="left"/>
      <w:pPr>
        <w:ind w:left="2160" w:hanging="360"/>
      </w:pPr>
      <w:rPr>
        <w:rFonts w:ascii="Wingdings" w:hAnsi="Wingdings" w:hint="default"/>
      </w:rPr>
    </w:lvl>
    <w:lvl w:ilvl="3" w:tplc="FC328C34">
      <w:start w:val="1"/>
      <w:numFmt w:val="bullet"/>
      <w:lvlText w:val=""/>
      <w:lvlJc w:val="left"/>
      <w:pPr>
        <w:ind w:left="2880" w:hanging="360"/>
      </w:pPr>
      <w:rPr>
        <w:rFonts w:ascii="Symbol" w:hAnsi="Symbol" w:hint="default"/>
      </w:rPr>
    </w:lvl>
    <w:lvl w:ilvl="4" w:tplc="3EC683FA">
      <w:start w:val="1"/>
      <w:numFmt w:val="bullet"/>
      <w:lvlText w:val="o"/>
      <w:lvlJc w:val="left"/>
      <w:pPr>
        <w:ind w:left="3600" w:hanging="360"/>
      </w:pPr>
      <w:rPr>
        <w:rFonts w:ascii="Courier New" w:hAnsi="Courier New" w:hint="default"/>
      </w:rPr>
    </w:lvl>
    <w:lvl w:ilvl="5" w:tplc="8B04AEB2">
      <w:start w:val="1"/>
      <w:numFmt w:val="bullet"/>
      <w:lvlText w:val=""/>
      <w:lvlJc w:val="left"/>
      <w:pPr>
        <w:ind w:left="4320" w:hanging="360"/>
      </w:pPr>
      <w:rPr>
        <w:rFonts w:ascii="Wingdings" w:hAnsi="Wingdings" w:hint="default"/>
      </w:rPr>
    </w:lvl>
    <w:lvl w:ilvl="6" w:tplc="706C8214">
      <w:start w:val="1"/>
      <w:numFmt w:val="bullet"/>
      <w:lvlText w:val=""/>
      <w:lvlJc w:val="left"/>
      <w:pPr>
        <w:ind w:left="5040" w:hanging="360"/>
      </w:pPr>
      <w:rPr>
        <w:rFonts w:ascii="Symbol" w:hAnsi="Symbol" w:hint="default"/>
      </w:rPr>
    </w:lvl>
    <w:lvl w:ilvl="7" w:tplc="E25EDB02">
      <w:start w:val="1"/>
      <w:numFmt w:val="bullet"/>
      <w:lvlText w:val="o"/>
      <w:lvlJc w:val="left"/>
      <w:pPr>
        <w:ind w:left="5760" w:hanging="360"/>
      </w:pPr>
      <w:rPr>
        <w:rFonts w:ascii="Courier New" w:hAnsi="Courier New" w:hint="default"/>
      </w:rPr>
    </w:lvl>
    <w:lvl w:ilvl="8" w:tplc="65143BE8">
      <w:start w:val="1"/>
      <w:numFmt w:val="bullet"/>
      <w:lvlText w:val=""/>
      <w:lvlJc w:val="left"/>
      <w:pPr>
        <w:ind w:left="6480" w:hanging="360"/>
      </w:pPr>
      <w:rPr>
        <w:rFonts w:ascii="Wingdings" w:hAnsi="Wingdings" w:hint="default"/>
      </w:rPr>
    </w:lvl>
  </w:abstractNum>
  <w:abstractNum w:abstractNumId="10" w15:restartNumberingAfterBreak="0">
    <w:nsid w:val="3F5E3542"/>
    <w:multiLevelType w:val="hybridMultilevel"/>
    <w:tmpl w:val="CBFE5F32"/>
    <w:lvl w:ilvl="0" w:tplc="6DB41E6A">
      <w:start w:val="1"/>
      <w:numFmt w:val="lowerLetter"/>
      <w:lvlText w:val="%1)"/>
      <w:lvlJc w:val="left"/>
      <w:pPr>
        <w:ind w:left="720" w:hanging="360"/>
      </w:pPr>
      <w:rPr>
        <w:rFonts w:ascii="Times New Roman" w:hAnsi="Times New Roman" w:cs="Times New Roman" w:hint="default"/>
        <w:color w:val="333333"/>
        <w:sz w:val="28"/>
        <w:szCs w:val="28"/>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2856"/>
    <w:multiLevelType w:val="hybridMultilevel"/>
    <w:tmpl w:val="2C645818"/>
    <w:lvl w:ilvl="0" w:tplc="B9A0C0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46226D3"/>
    <w:multiLevelType w:val="hybridMultilevel"/>
    <w:tmpl w:val="31F629F6"/>
    <w:lvl w:ilvl="0" w:tplc="3A7878A4">
      <w:start w:val="1"/>
      <w:numFmt w:val="decimal"/>
      <w:lvlText w:val="%1)"/>
      <w:lvlJc w:val="left"/>
      <w:pPr>
        <w:ind w:left="927" w:hanging="360"/>
      </w:pPr>
      <w:rPr>
        <w:rFonts w:ascii="Times New Roman" w:hAnsi="Times New Roman" w:cs="Times New Roman" w:hint="default"/>
        <w:i w:val="0"/>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61D779A"/>
    <w:multiLevelType w:val="hybridMultilevel"/>
    <w:tmpl w:val="B380A364"/>
    <w:lvl w:ilvl="0" w:tplc="C986CBF2">
      <w:start w:val="1"/>
      <w:numFmt w:val="decimal"/>
      <w:lvlText w:val="%1."/>
      <w:lvlJc w:val="left"/>
      <w:pPr>
        <w:ind w:left="720" w:hanging="360"/>
      </w:pPr>
      <w:rPr>
        <w:rFonts w:ascii="Times New Roman" w:hAnsi="Times New Roman" w:cs="Times New Roman" w:hint="default"/>
        <w:b/>
        <w:bCs/>
        <w:i w:val="0"/>
        <w:i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C1704"/>
    <w:multiLevelType w:val="hybridMultilevel"/>
    <w:tmpl w:val="7158C23C"/>
    <w:lvl w:ilvl="0" w:tplc="30E04F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862532"/>
    <w:multiLevelType w:val="hybridMultilevel"/>
    <w:tmpl w:val="B352FBF8"/>
    <w:lvl w:ilvl="0" w:tplc="2D9AF1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913570"/>
    <w:multiLevelType w:val="hybridMultilevel"/>
    <w:tmpl w:val="32CAF022"/>
    <w:lvl w:ilvl="0" w:tplc="CF0CAB90">
      <w:start w:val="1"/>
      <w:numFmt w:val="decimal"/>
      <w:lvlText w:val="%1)"/>
      <w:lvlJc w:val="left"/>
      <w:pPr>
        <w:ind w:left="927" w:hanging="360"/>
      </w:pPr>
      <w:rPr>
        <w:rFonts w:hint="default"/>
        <w:i w:val="0"/>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4C70F7C"/>
    <w:multiLevelType w:val="hybridMultilevel"/>
    <w:tmpl w:val="AFCEFD32"/>
    <w:lvl w:ilvl="0" w:tplc="2E445B42">
      <w:start w:val="1"/>
      <w:numFmt w:val="decimal"/>
      <w:lvlText w:val="%1."/>
      <w:lvlJc w:val="left"/>
      <w:pPr>
        <w:ind w:left="675" w:hanging="360"/>
      </w:pPr>
      <w:rPr>
        <w:rFonts w:hint="default"/>
        <w:b/>
        <w:bCs w:val="0"/>
      </w:rPr>
    </w:lvl>
    <w:lvl w:ilvl="1" w:tplc="08180019" w:tentative="1">
      <w:start w:val="1"/>
      <w:numFmt w:val="lowerLetter"/>
      <w:lvlText w:val="%2."/>
      <w:lvlJc w:val="left"/>
      <w:pPr>
        <w:ind w:left="1395" w:hanging="360"/>
      </w:pPr>
    </w:lvl>
    <w:lvl w:ilvl="2" w:tplc="0818001B" w:tentative="1">
      <w:start w:val="1"/>
      <w:numFmt w:val="lowerRoman"/>
      <w:lvlText w:val="%3."/>
      <w:lvlJc w:val="right"/>
      <w:pPr>
        <w:ind w:left="2115" w:hanging="180"/>
      </w:pPr>
    </w:lvl>
    <w:lvl w:ilvl="3" w:tplc="0818000F" w:tentative="1">
      <w:start w:val="1"/>
      <w:numFmt w:val="decimal"/>
      <w:lvlText w:val="%4."/>
      <w:lvlJc w:val="left"/>
      <w:pPr>
        <w:ind w:left="2835" w:hanging="360"/>
      </w:pPr>
    </w:lvl>
    <w:lvl w:ilvl="4" w:tplc="08180019" w:tentative="1">
      <w:start w:val="1"/>
      <w:numFmt w:val="lowerLetter"/>
      <w:lvlText w:val="%5."/>
      <w:lvlJc w:val="left"/>
      <w:pPr>
        <w:ind w:left="3555" w:hanging="360"/>
      </w:pPr>
    </w:lvl>
    <w:lvl w:ilvl="5" w:tplc="0818001B" w:tentative="1">
      <w:start w:val="1"/>
      <w:numFmt w:val="lowerRoman"/>
      <w:lvlText w:val="%6."/>
      <w:lvlJc w:val="right"/>
      <w:pPr>
        <w:ind w:left="4275" w:hanging="180"/>
      </w:pPr>
    </w:lvl>
    <w:lvl w:ilvl="6" w:tplc="0818000F" w:tentative="1">
      <w:start w:val="1"/>
      <w:numFmt w:val="decimal"/>
      <w:lvlText w:val="%7."/>
      <w:lvlJc w:val="left"/>
      <w:pPr>
        <w:ind w:left="4995" w:hanging="360"/>
      </w:pPr>
    </w:lvl>
    <w:lvl w:ilvl="7" w:tplc="08180019" w:tentative="1">
      <w:start w:val="1"/>
      <w:numFmt w:val="lowerLetter"/>
      <w:lvlText w:val="%8."/>
      <w:lvlJc w:val="left"/>
      <w:pPr>
        <w:ind w:left="5715" w:hanging="360"/>
      </w:pPr>
    </w:lvl>
    <w:lvl w:ilvl="8" w:tplc="0818001B" w:tentative="1">
      <w:start w:val="1"/>
      <w:numFmt w:val="lowerRoman"/>
      <w:lvlText w:val="%9."/>
      <w:lvlJc w:val="right"/>
      <w:pPr>
        <w:ind w:left="6435" w:hanging="180"/>
      </w:pPr>
    </w:lvl>
  </w:abstractNum>
  <w:abstractNum w:abstractNumId="18" w15:restartNumberingAfterBreak="0">
    <w:nsid w:val="5B1A32DD"/>
    <w:multiLevelType w:val="hybridMultilevel"/>
    <w:tmpl w:val="4A982A5C"/>
    <w:lvl w:ilvl="0" w:tplc="1B6C59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2441415"/>
    <w:multiLevelType w:val="hybridMultilevel"/>
    <w:tmpl w:val="1B04D3E8"/>
    <w:lvl w:ilvl="0" w:tplc="A718CB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266A3"/>
    <w:multiLevelType w:val="hybridMultilevel"/>
    <w:tmpl w:val="3AE4B7D6"/>
    <w:lvl w:ilvl="0" w:tplc="97E49748">
      <w:start w:val="1"/>
      <w:numFmt w:val="decimal"/>
      <w:lvlText w:val="%1)"/>
      <w:lvlJc w:val="left"/>
      <w:pPr>
        <w:ind w:left="927" w:hanging="360"/>
      </w:pPr>
      <w:rPr>
        <w:rFonts w:hint="default"/>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91D5C6A"/>
    <w:multiLevelType w:val="hybridMultilevel"/>
    <w:tmpl w:val="1F161930"/>
    <w:lvl w:ilvl="0" w:tplc="FA4AB1C4">
      <w:start w:val="1"/>
      <w:numFmt w:val="lowerLetter"/>
      <w:lvlText w:val="%1)"/>
      <w:lvlJc w:val="left"/>
      <w:pPr>
        <w:ind w:left="1287" w:hanging="360"/>
      </w:pPr>
      <w:rPr>
        <w:rFonts w:ascii="Times New Roman" w:hAnsi="Times New Roman" w:cs="Times New Roman" w:hint="default"/>
        <w:color w:val="333333"/>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E197952"/>
    <w:multiLevelType w:val="hybridMultilevel"/>
    <w:tmpl w:val="89C49B68"/>
    <w:lvl w:ilvl="0" w:tplc="66CE4DF8">
      <w:start w:val="1"/>
      <w:numFmt w:val="decimal"/>
      <w:lvlText w:val="%1."/>
      <w:lvlJc w:val="left"/>
      <w:pPr>
        <w:ind w:left="720" w:hanging="360"/>
      </w:pPr>
      <w:rPr>
        <w:rFonts w:hint="default"/>
        <w:b/>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73A67F39"/>
    <w:multiLevelType w:val="hybridMultilevel"/>
    <w:tmpl w:val="F5E02A3C"/>
    <w:lvl w:ilvl="0" w:tplc="B3F40466">
      <w:start w:val="1"/>
      <w:numFmt w:val="decimal"/>
      <w:lvlText w:val="%1."/>
      <w:lvlJc w:val="left"/>
      <w:pPr>
        <w:ind w:left="927" w:hanging="360"/>
      </w:pPr>
      <w:rPr>
        <w:rFonts w:hint="default"/>
        <w:b/>
        <w:i w:val="0"/>
        <w:iCs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4" w15:restartNumberingAfterBreak="0">
    <w:nsid w:val="775D0592"/>
    <w:multiLevelType w:val="hybridMultilevel"/>
    <w:tmpl w:val="ED80DC64"/>
    <w:lvl w:ilvl="0" w:tplc="16B686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145888"/>
    <w:multiLevelType w:val="hybridMultilevel"/>
    <w:tmpl w:val="F8C2DA70"/>
    <w:lvl w:ilvl="0" w:tplc="1088AC06">
      <w:start w:val="1"/>
      <w:numFmt w:val="lowerLetter"/>
      <w:lvlText w:val="%1)"/>
      <w:lvlJc w:val="left"/>
      <w:pPr>
        <w:ind w:left="1080" w:hanging="360"/>
      </w:pPr>
      <w:rPr>
        <w:rFonts w:ascii="PT Serif" w:hAnsi="PT Serif" w:hint="default"/>
        <w:color w:val="333333"/>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9"/>
  </w:num>
  <w:num w:numId="4">
    <w:abstractNumId w:val="0"/>
  </w:num>
  <w:num w:numId="5">
    <w:abstractNumId w:val="5"/>
  </w:num>
  <w:num w:numId="6">
    <w:abstractNumId w:val="20"/>
  </w:num>
  <w:num w:numId="7">
    <w:abstractNumId w:val="8"/>
  </w:num>
  <w:num w:numId="8">
    <w:abstractNumId w:val="3"/>
  </w:num>
  <w:num w:numId="9">
    <w:abstractNumId w:val="12"/>
  </w:num>
  <w:num w:numId="10">
    <w:abstractNumId w:val="16"/>
  </w:num>
  <w:num w:numId="11">
    <w:abstractNumId w:val="14"/>
  </w:num>
  <w:num w:numId="12">
    <w:abstractNumId w:val="2"/>
  </w:num>
  <w:num w:numId="13">
    <w:abstractNumId w:val="10"/>
  </w:num>
  <w:num w:numId="14">
    <w:abstractNumId w:val="21"/>
  </w:num>
  <w:num w:numId="15">
    <w:abstractNumId w:val="25"/>
  </w:num>
  <w:num w:numId="16">
    <w:abstractNumId w:val="18"/>
  </w:num>
  <w:num w:numId="17">
    <w:abstractNumId w:val="11"/>
  </w:num>
  <w:num w:numId="18">
    <w:abstractNumId w:val="7"/>
  </w:num>
  <w:num w:numId="19">
    <w:abstractNumId w:val="15"/>
  </w:num>
  <w:num w:numId="20">
    <w:abstractNumId w:val="24"/>
  </w:num>
  <w:num w:numId="21">
    <w:abstractNumId w:val="22"/>
  </w:num>
  <w:num w:numId="22">
    <w:abstractNumId w:val="17"/>
  </w:num>
  <w:num w:numId="23">
    <w:abstractNumId w:val="23"/>
  </w:num>
  <w:num w:numId="24">
    <w:abstractNumId w:val="1"/>
  </w:num>
  <w:num w:numId="25">
    <w:abstractNumId w:val="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E5"/>
    <w:rsid w:val="000052F5"/>
    <w:rsid w:val="0001062F"/>
    <w:rsid w:val="00011ACF"/>
    <w:rsid w:val="00017412"/>
    <w:rsid w:val="00024883"/>
    <w:rsid w:val="00034D41"/>
    <w:rsid w:val="0003645F"/>
    <w:rsid w:val="00044E91"/>
    <w:rsid w:val="000465AE"/>
    <w:rsid w:val="0004787E"/>
    <w:rsid w:val="00047F8B"/>
    <w:rsid w:val="000575F1"/>
    <w:rsid w:val="00057DBE"/>
    <w:rsid w:val="00060FD4"/>
    <w:rsid w:val="00065265"/>
    <w:rsid w:val="00074BC1"/>
    <w:rsid w:val="00075612"/>
    <w:rsid w:val="00081F22"/>
    <w:rsid w:val="00084D8E"/>
    <w:rsid w:val="00084F91"/>
    <w:rsid w:val="0009654E"/>
    <w:rsid w:val="0009681E"/>
    <w:rsid w:val="000A4027"/>
    <w:rsid w:val="000A64F6"/>
    <w:rsid w:val="000A66AA"/>
    <w:rsid w:val="000B04D1"/>
    <w:rsid w:val="000C1623"/>
    <w:rsid w:val="000C5580"/>
    <w:rsid w:val="000C71B9"/>
    <w:rsid w:val="000E3706"/>
    <w:rsid w:val="000F3870"/>
    <w:rsid w:val="000F6896"/>
    <w:rsid w:val="00102FEA"/>
    <w:rsid w:val="00105A6A"/>
    <w:rsid w:val="001108FB"/>
    <w:rsid w:val="0011317B"/>
    <w:rsid w:val="0011583B"/>
    <w:rsid w:val="00117256"/>
    <w:rsid w:val="0012301D"/>
    <w:rsid w:val="00147C87"/>
    <w:rsid w:val="001506BB"/>
    <w:rsid w:val="00157695"/>
    <w:rsid w:val="0016479C"/>
    <w:rsid w:val="0016666D"/>
    <w:rsid w:val="0016775C"/>
    <w:rsid w:val="00197DE3"/>
    <w:rsid w:val="001A0F0E"/>
    <w:rsid w:val="001A3DB1"/>
    <w:rsid w:val="001A420D"/>
    <w:rsid w:val="001A629B"/>
    <w:rsid w:val="001B143A"/>
    <w:rsid w:val="001B67AD"/>
    <w:rsid w:val="001D629B"/>
    <w:rsid w:val="001E1A2A"/>
    <w:rsid w:val="001E395F"/>
    <w:rsid w:val="001E4215"/>
    <w:rsid w:val="001E58C6"/>
    <w:rsid w:val="001E70D9"/>
    <w:rsid w:val="001F5383"/>
    <w:rsid w:val="001F7D25"/>
    <w:rsid w:val="00200224"/>
    <w:rsid w:val="00212EB1"/>
    <w:rsid w:val="00214CC1"/>
    <w:rsid w:val="00224327"/>
    <w:rsid w:val="002267DF"/>
    <w:rsid w:val="002311AD"/>
    <w:rsid w:val="00232D24"/>
    <w:rsid w:val="00235BFD"/>
    <w:rsid w:val="00246E54"/>
    <w:rsid w:val="002511CD"/>
    <w:rsid w:val="00254BA3"/>
    <w:rsid w:val="00256366"/>
    <w:rsid w:val="00276BB0"/>
    <w:rsid w:val="00287C8B"/>
    <w:rsid w:val="002947DA"/>
    <w:rsid w:val="002A1F06"/>
    <w:rsid w:val="002A2C8D"/>
    <w:rsid w:val="002A5AAD"/>
    <w:rsid w:val="002A5CD1"/>
    <w:rsid w:val="002A72D6"/>
    <w:rsid w:val="002B2F5E"/>
    <w:rsid w:val="002B3307"/>
    <w:rsid w:val="002C0509"/>
    <w:rsid w:val="002C2DEB"/>
    <w:rsid w:val="002C6BF2"/>
    <w:rsid w:val="002C6E0A"/>
    <w:rsid w:val="002D6AC4"/>
    <w:rsid w:val="002E03CF"/>
    <w:rsid w:val="002E2DAC"/>
    <w:rsid w:val="002F60F9"/>
    <w:rsid w:val="00311740"/>
    <w:rsid w:val="00316E94"/>
    <w:rsid w:val="00316F21"/>
    <w:rsid w:val="00317FCF"/>
    <w:rsid w:val="0032338F"/>
    <w:rsid w:val="0032606C"/>
    <w:rsid w:val="003376CD"/>
    <w:rsid w:val="0034060A"/>
    <w:rsid w:val="003412C3"/>
    <w:rsid w:val="003513E6"/>
    <w:rsid w:val="003575FD"/>
    <w:rsid w:val="00357F9A"/>
    <w:rsid w:val="003666D6"/>
    <w:rsid w:val="003757B0"/>
    <w:rsid w:val="00381DE8"/>
    <w:rsid w:val="00384C7C"/>
    <w:rsid w:val="00387B53"/>
    <w:rsid w:val="00393C5D"/>
    <w:rsid w:val="003A03F8"/>
    <w:rsid w:val="003A6143"/>
    <w:rsid w:val="003B0660"/>
    <w:rsid w:val="003C735E"/>
    <w:rsid w:val="003C7C8B"/>
    <w:rsid w:val="003D7BA1"/>
    <w:rsid w:val="003E578D"/>
    <w:rsid w:val="003E59D5"/>
    <w:rsid w:val="003E7D14"/>
    <w:rsid w:val="003F1306"/>
    <w:rsid w:val="003F1D5F"/>
    <w:rsid w:val="003F317A"/>
    <w:rsid w:val="003F712B"/>
    <w:rsid w:val="004002AD"/>
    <w:rsid w:val="00400596"/>
    <w:rsid w:val="00400711"/>
    <w:rsid w:val="00401AF5"/>
    <w:rsid w:val="004020F5"/>
    <w:rsid w:val="004055C6"/>
    <w:rsid w:val="00416DB5"/>
    <w:rsid w:val="004219CC"/>
    <w:rsid w:val="00421C40"/>
    <w:rsid w:val="0042743A"/>
    <w:rsid w:val="00427791"/>
    <w:rsid w:val="00436545"/>
    <w:rsid w:val="00437C80"/>
    <w:rsid w:val="00443A49"/>
    <w:rsid w:val="00445FFD"/>
    <w:rsid w:val="00451A98"/>
    <w:rsid w:val="00455C16"/>
    <w:rsid w:val="00456D52"/>
    <w:rsid w:val="00470818"/>
    <w:rsid w:val="00470EF9"/>
    <w:rsid w:val="00471C94"/>
    <w:rsid w:val="00473FDD"/>
    <w:rsid w:val="004764D5"/>
    <w:rsid w:val="00477E19"/>
    <w:rsid w:val="00480318"/>
    <w:rsid w:val="00490D29"/>
    <w:rsid w:val="004915DB"/>
    <w:rsid w:val="00494723"/>
    <w:rsid w:val="00495BA2"/>
    <w:rsid w:val="004A16A5"/>
    <w:rsid w:val="004A3050"/>
    <w:rsid w:val="004B1085"/>
    <w:rsid w:val="004B34CD"/>
    <w:rsid w:val="004C3776"/>
    <w:rsid w:val="004D4953"/>
    <w:rsid w:val="004D79F2"/>
    <w:rsid w:val="004E1557"/>
    <w:rsid w:val="004E3219"/>
    <w:rsid w:val="004E4281"/>
    <w:rsid w:val="004E5ECA"/>
    <w:rsid w:val="004F3A51"/>
    <w:rsid w:val="004F4886"/>
    <w:rsid w:val="00504242"/>
    <w:rsid w:val="00505A5F"/>
    <w:rsid w:val="0051623A"/>
    <w:rsid w:val="00521F93"/>
    <w:rsid w:val="0052622A"/>
    <w:rsid w:val="00556D14"/>
    <w:rsid w:val="00556F7B"/>
    <w:rsid w:val="00561521"/>
    <w:rsid w:val="00565F16"/>
    <w:rsid w:val="00567358"/>
    <w:rsid w:val="005678FC"/>
    <w:rsid w:val="00571998"/>
    <w:rsid w:val="00573090"/>
    <w:rsid w:val="00575E76"/>
    <w:rsid w:val="00577E82"/>
    <w:rsid w:val="00591F33"/>
    <w:rsid w:val="005936E7"/>
    <w:rsid w:val="005A1BAB"/>
    <w:rsid w:val="005C1CCD"/>
    <w:rsid w:val="005D185C"/>
    <w:rsid w:val="005D665A"/>
    <w:rsid w:val="005E395A"/>
    <w:rsid w:val="005F095C"/>
    <w:rsid w:val="005F1DD9"/>
    <w:rsid w:val="00600482"/>
    <w:rsid w:val="006046B5"/>
    <w:rsid w:val="006161B3"/>
    <w:rsid w:val="00617E58"/>
    <w:rsid w:val="00631F2F"/>
    <w:rsid w:val="006430C9"/>
    <w:rsid w:val="00644BAA"/>
    <w:rsid w:val="00650C72"/>
    <w:rsid w:val="006519F3"/>
    <w:rsid w:val="00652070"/>
    <w:rsid w:val="006528FB"/>
    <w:rsid w:val="00652DDE"/>
    <w:rsid w:val="006613C3"/>
    <w:rsid w:val="00671932"/>
    <w:rsid w:val="00676F3E"/>
    <w:rsid w:val="00681F74"/>
    <w:rsid w:val="0068542F"/>
    <w:rsid w:val="00690025"/>
    <w:rsid w:val="00695E0E"/>
    <w:rsid w:val="006A15CC"/>
    <w:rsid w:val="006A185C"/>
    <w:rsid w:val="006A79E5"/>
    <w:rsid w:val="006B1584"/>
    <w:rsid w:val="006B5BFB"/>
    <w:rsid w:val="006C54E5"/>
    <w:rsid w:val="006D22B9"/>
    <w:rsid w:val="006D27EA"/>
    <w:rsid w:val="006D4961"/>
    <w:rsid w:val="006E0D50"/>
    <w:rsid w:val="006E2767"/>
    <w:rsid w:val="006E4EBF"/>
    <w:rsid w:val="006F2F7C"/>
    <w:rsid w:val="006F6991"/>
    <w:rsid w:val="0070662B"/>
    <w:rsid w:val="00710761"/>
    <w:rsid w:val="00713712"/>
    <w:rsid w:val="00716117"/>
    <w:rsid w:val="00717E46"/>
    <w:rsid w:val="00724712"/>
    <w:rsid w:val="00725FFA"/>
    <w:rsid w:val="00732010"/>
    <w:rsid w:val="00732D30"/>
    <w:rsid w:val="0073480C"/>
    <w:rsid w:val="0074772D"/>
    <w:rsid w:val="0075485C"/>
    <w:rsid w:val="00761218"/>
    <w:rsid w:val="00761397"/>
    <w:rsid w:val="00766DB3"/>
    <w:rsid w:val="00770096"/>
    <w:rsid w:val="007715DF"/>
    <w:rsid w:val="007758FB"/>
    <w:rsid w:val="007824F2"/>
    <w:rsid w:val="0079664B"/>
    <w:rsid w:val="007A1694"/>
    <w:rsid w:val="007A2536"/>
    <w:rsid w:val="007A2A44"/>
    <w:rsid w:val="007A5898"/>
    <w:rsid w:val="007C15B5"/>
    <w:rsid w:val="007C3E05"/>
    <w:rsid w:val="007C7713"/>
    <w:rsid w:val="007D3EEF"/>
    <w:rsid w:val="007D6969"/>
    <w:rsid w:val="007E7C00"/>
    <w:rsid w:val="007F10A2"/>
    <w:rsid w:val="007F5E4B"/>
    <w:rsid w:val="007F78A1"/>
    <w:rsid w:val="0082396E"/>
    <w:rsid w:val="008252E0"/>
    <w:rsid w:val="0083001F"/>
    <w:rsid w:val="00832A2F"/>
    <w:rsid w:val="008530FB"/>
    <w:rsid w:val="00853448"/>
    <w:rsid w:val="0086054C"/>
    <w:rsid w:val="00862B23"/>
    <w:rsid w:val="00862E26"/>
    <w:rsid w:val="008902C5"/>
    <w:rsid w:val="00894E84"/>
    <w:rsid w:val="0089529B"/>
    <w:rsid w:val="008A3FEE"/>
    <w:rsid w:val="008B6286"/>
    <w:rsid w:val="008D2B90"/>
    <w:rsid w:val="008E141D"/>
    <w:rsid w:val="008E40AE"/>
    <w:rsid w:val="008E5C8E"/>
    <w:rsid w:val="008E5D62"/>
    <w:rsid w:val="008E67D3"/>
    <w:rsid w:val="008E6ACF"/>
    <w:rsid w:val="008F22B9"/>
    <w:rsid w:val="009014ED"/>
    <w:rsid w:val="0091439E"/>
    <w:rsid w:val="00917AA4"/>
    <w:rsid w:val="00936868"/>
    <w:rsid w:val="0093706D"/>
    <w:rsid w:val="00940565"/>
    <w:rsid w:val="00942595"/>
    <w:rsid w:val="00944B2C"/>
    <w:rsid w:val="00947CC6"/>
    <w:rsid w:val="009513E7"/>
    <w:rsid w:val="00952641"/>
    <w:rsid w:val="009549DA"/>
    <w:rsid w:val="00957927"/>
    <w:rsid w:val="00960A0D"/>
    <w:rsid w:val="00961EBA"/>
    <w:rsid w:val="00977A39"/>
    <w:rsid w:val="009801C9"/>
    <w:rsid w:val="00986E5A"/>
    <w:rsid w:val="009A3B33"/>
    <w:rsid w:val="009B49F4"/>
    <w:rsid w:val="009C67D5"/>
    <w:rsid w:val="009D4A99"/>
    <w:rsid w:val="009E0FF4"/>
    <w:rsid w:val="009E660A"/>
    <w:rsid w:val="009F01DD"/>
    <w:rsid w:val="009F2B54"/>
    <w:rsid w:val="00A05D71"/>
    <w:rsid w:val="00A16567"/>
    <w:rsid w:val="00A23069"/>
    <w:rsid w:val="00A26CB9"/>
    <w:rsid w:val="00A27B5D"/>
    <w:rsid w:val="00A3145B"/>
    <w:rsid w:val="00A31F00"/>
    <w:rsid w:val="00A43C64"/>
    <w:rsid w:val="00A43D84"/>
    <w:rsid w:val="00A47881"/>
    <w:rsid w:val="00A53431"/>
    <w:rsid w:val="00A61F6D"/>
    <w:rsid w:val="00A738EC"/>
    <w:rsid w:val="00A7452A"/>
    <w:rsid w:val="00A85547"/>
    <w:rsid w:val="00A87A00"/>
    <w:rsid w:val="00A91EC3"/>
    <w:rsid w:val="00A92884"/>
    <w:rsid w:val="00A92BB8"/>
    <w:rsid w:val="00A92C27"/>
    <w:rsid w:val="00AA018C"/>
    <w:rsid w:val="00AA1CF3"/>
    <w:rsid w:val="00AA523F"/>
    <w:rsid w:val="00AC148D"/>
    <w:rsid w:val="00AC5008"/>
    <w:rsid w:val="00AD23C3"/>
    <w:rsid w:val="00AD3382"/>
    <w:rsid w:val="00AD6A29"/>
    <w:rsid w:val="00AE00B1"/>
    <w:rsid w:val="00AE54BB"/>
    <w:rsid w:val="00AE69BE"/>
    <w:rsid w:val="00AE73B5"/>
    <w:rsid w:val="00AF1282"/>
    <w:rsid w:val="00AF266A"/>
    <w:rsid w:val="00AF44F3"/>
    <w:rsid w:val="00B11592"/>
    <w:rsid w:val="00B338F4"/>
    <w:rsid w:val="00B37333"/>
    <w:rsid w:val="00B457E6"/>
    <w:rsid w:val="00B4712A"/>
    <w:rsid w:val="00B5012D"/>
    <w:rsid w:val="00B5191D"/>
    <w:rsid w:val="00B52DDD"/>
    <w:rsid w:val="00B55791"/>
    <w:rsid w:val="00B70862"/>
    <w:rsid w:val="00B8271E"/>
    <w:rsid w:val="00B8335B"/>
    <w:rsid w:val="00B84570"/>
    <w:rsid w:val="00B85EF1"/>
    <w:rsid w:val="00BA1F4D"/>
    <w:rsid w:val="00BA4633"/>
    <w:rsid w:val="00BC03D9"/>
    <w:rsid w:val="00BD19DB"/>
    <w:rsid w:val="00BD24BC"/>
    <w:rsid w:val="00BE46BA"/>
    <w:rsid w:val="00BE5AFD"/>
    <w:rsid w:val="00BF59A5"/>
    <w:rsid w:val="00C020A0"/>
    <w:rsid w:val="00C05148"/>
    <w:rsid w:val="00C06166"/>
    <w:rsid w:val="00C065D3"/>
    <w:rsid w:val="00C072AF"/>
    <w:rsid w:val="00C1605F"/>
    <w:rsid w:val="00C1666E"/>
    <w:rsid w:val="00C178A1"/>
    <w:rsid w:val="00C23AA1"/>
    <w:rsid w:val="00C40A59"/>
    <w:rsid w:val="00C44099"/>
    <w:rsid w:val="00C52B36"/>
    <w:rsid w:val="00C67100"/>
    <w:rsid w:val="00C855A4"/>
    <w:rsid w:val="00C869A6"/>
    <w:rsid w:val="00C904EA"/>
    <w:rsid w:val="00C93500"/>
    <w:rsid w:val="00CA62B3"/>
    <w:rsid w:val="00CB107B"/>
    <w:rsid w:val="00CB3DA0"/>
    <w:rsid w:val="00CB6170"/>
    <w:rsid w:val="00CB6B2C"/>
    <w:rsid w:val="00CB7056"/>
    <w:rsid w:val="00CB7D54"/>
    <w:rsid w:val="00CC131A"/>
    <w:rsid w:val="00CC1430"/>
    <w:rsid w:val="00CC14BD"/>
    <w:rsid w:val="00CC2E3E"/>
    <w:rsid w:val="00CC6A0F"/>
    <w:rsid w:val="00CD0CE4"/>
    <w:rsid w:val="00CD3498"/>
    <w:rsid w:val="00CD517C"/>
    <w:rsid w:val="00CD6DC2"/>
    <w:rsid w:val="00CE7754"/>
    <w:rsid w:val="00CF0A30"/>
    <w:rsid w:val="00CF4357"/>
    <w:rsid w:val="00D12754"/>
    <w:rsid w:val="00D12B9C"/>
    <w:rsid w:val="00D179F5"/>
    <w:rsid w:val="00D21E3C"/>
    <w:rsid w:val="00D23032"/>
    <w:rsid w:val="00D230D0"/>
    <w:rsid w:val="00D25422"/>
    <w:rsid w:val="00D31F4E"/>
    <w:rsid w:val="00D3256F"/>
    <w:rsid w:val="00D33F2C"/>
    <w:rsid w:val="00D41F7C"/>
    <w:rsid w:val="00D42758"/>
    <w:rsid w:val="00D43306"/>
    <w:rsid w:val="00D54223"/>
    <w:rsid w:val="00D60593"/>
    <w:rsid w:val="00D8070D"/>
    <w:rsid w:val="00D8281C"/>
    <w:rsid w:val="00D87B07"/>
    <w:rsid w:val="00D92029"/>
    <w:rsid w:val="00D929F1"/>
    <w:rsid w:val="00D95CFA"/>
    <w:rsid w:val="00DA3C68"/>
    <w:rsid w:val="00DA547E"/>
    <w:rsid w:val="00DC05CF"/>
    <w:rsid w:val="00DC19B4"/>
    <w:rsid w:val="00DC617B"/>
    <w:rsid w:val="00DD3D29"/>
    <w:rsid w:val="00DD4594"/>
    <w:rsid w:val="00DE0F3A"/>
    <w:rsid w:val="00DE1932"/>
    <w:rsid w:val="00DE1D40"/>
    <w:rsid w:val="00DE3DF0"/>
    <w:rsid w:val="00DE4872"/>
    <w:rsid w:val="00DF1BEC"/>
    <w:rsid w:val="00DF3178"/>
    <w:rsid w:val="00E04CF9"/>
    <w:rsid w:val="00E068DE"/>
    <w:rsid w:val="00E11748"/>
    <w:rsid w:val="00E20832"/>
    <w:rsid w:val="00E21B94"/>
    <w:rsid w:val="00E264E6"/>
    <w:rsid w:val="00E325C4"/>
    <w:rsid w:val="00E40311"/>
    <w:rsid w:val="00E42B33"/>
    <w:rsid w:val="00E51C08"/>
    <w:rsid w:val="00E6096C"/>
    <w:rsid w:val="00E62746"/>
    <w:rsid w:val="00E74F34"/>
    <w:rsid w:val="00E80599"/>
    <w:rsid w:val="00E808F4"/>
    <w:rsid w:val="00E863C9"/>
    <w:rsid w:val="00E95BE1"/>
    <w:rsid w:val="00EA24A7"/>
    <w:rsid w:val="00EA365E"/>
    <w:rsid w:val="00EA607F"/>
    <w:rsid w:val="00EA7EA4"/>
    <w:rsid w:val="00EB2CF1"/>
    <w:rsid w:val="00EB5AC9"/>
    <w:rsid w:val="00EB70D1"/>
    <w:rsid w:val="00EC66CA"/>
    <w:rsid w:val="00ED354A"/>
    <w:rsid w:val="00EE1FAE"/>
    <w:rsid w:val="00EE717B"/>
    <w:rsid w:val="00EF426C"/>
    <w:rsid w:val="00EF606F"/>
    <w:rsid w:val="00EF6814"/>
    <w:rsid w:val="00F029E7"/>
    <w:rsid w:val="00F0309D"/>
    <w:rsid w:val="00F05416"/>
    <w:rsid w:val="00F148CE"/>
    <w:rsid w:val="00F17137"/>
    <w:rsid w:val="00F316D1"/>
    <w:rsid w:val="00F33D8C"/>
    <w:rsid w:val="00F350CF"/>
    <w:rsid w:val="00F404DA"/>
    <w:rsid w:val="00F40B4B"/>
    <w:rsid w:val="00F424BD"/>
    <w:rsid w:val="00F47D9D"/>
    <w:rsid w:val="00F53D63"/>
    <w:rsid w:val="00F626F8"/>
    <w:rsid w:val="00F63CB9"/>
    <w:rsid w:val="00F63F62"/>
    <w:rsid w:val="00F64E6D"/>
    <w:rsid w:val="00F65BD3"/>
    <w:rsid w:val="00F82FCF"/>
    <w:rsid w:val="00F90C3D"/>
    <w:rsid w:val="00F91776"/>
    <w:rsid w:val="00F93334"/>
    <w:rsid w:val="00F9706C"/>
    <w:rsid w:val="00FA2441"/>
    <w:rsid w:val="00FA3300"/>
    <w:rsid w:val="00FA3F9D"/>
    <w:rsid w:val="00FA56F9"/>
    <w:rsid w:val="00FB1D90"/>
    <w:rsid w:val="00FB5CA4"/>
    <w:rsid w:val="00FC2F9C"/>
    <w:rsid w:val="00FC4493"/>
    <w:rsid w:val="00FC44C1"/>
    <w:rsid w:val="00FC4707"/>
    <w:rsid w:val="00FD6541"/>
    <w:rsid w:val="00FE1F4D"/>
    <w:rsid w:val="00FE25F7"/>
    <w:rsid w:val="00FF2EC3"/>
    <w:rsid w:val="00FF7774"/>
    <w:rsid w:val="02B70F17"/>
    <w:rsid w:val="0452DF78"/>
    <w:rsid w:val="05EEAFD9"/>
    <w:rsid w:val="078A803A"/>
    <w:rsid w:val="124E59B7"/>
    <w:rsid w:val="13EA2A18"/>
    <w:rsid w:val="1585FA79"/>
    <w:rsid w:val="19BBB331"/>
    <w:rsid w:val="1BBB645A"/>
    <w:rsid w:val="23496D1A"/>
    <w:rsid w:val="2812893A"/>
    <w:rsid w:val="331B643E"/>
    <w:rsid w:val="4D4F241C"/>
    <w:rsid w:val="4FDCB49A"/>
    <w:rsid w:val="54640B91"/>
    <w:rsid w:val="62C536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B26D"/>
  <w15:chartTrackingRefBased/>
  <w15:docId w15:val="{936C9FB0-C3F6-EC4B-B05A-98E50CC7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pPr>
        <w:spacing w:after="160"/>
        <w:ind w:left="567"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4E5"/>
    <w:pPr>
      <w:spacing w:before="100" w:beforeAutospacing="1" w:after="100" w:afterAutospacing="1"/>
      <w:ind w:left="0" w:firstLine="0"/>
      <w:jc w:val="left"/>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C54E5"/>
  </w:style>
  <w:style w:type="paragraph" w:customStyle="1" w:styleId="tt">
    <w:name w:val="tt"/>
    <w:basedOn w:val="Normal"/>
    <w:rsid w:val="008902C5"/>
    <w:pPr>
      <w:spacing w:before="100" w:beforeAutospacing="1" w:after="100" w:afterAutospacing="1"/>
      <w:ind w:left="0" w:firstLine="0"/>
      <w:jc w:val="left"/>
    </w:pPr>
    <w:rPr>
      <w:rFonts w:ascii="Times New Roman" w:eastAsia="Times New Roman" w:hAnsi="Times New Roman" w:cs="Times New Roman"/>
      <w:lang w:eastAsia="en-GB"/>
    </w:rPr>
  </w:style>
  <w:style w:type="paragraph" w:customStyle="1" w:styleId="cn">
    <w:name w:val="cn"/>
    <w:basedOn w:val="Normal"/>
    <w:rsid w:val="008902C5"/>
    <w:pPr>
      <w:spacing w:before="100" w:beforeAutospacing="1" w:after="100" w:afterAutospacing="1"/>
      <w:ind w:left="0" w:firstLine="0"/>
      <w:jc w:val="left"/>
    </w:pPr>
    <w:rPr>
      <w:rFonts w:ascii="Times New Roman" w:eastAsia="Times New Roman" w:hAnsi="Times New Roman" w:cs="Times New Roman"/>
      <w:lang w:eastAsia="en-GB"/>
    </w:rPr>
  </w:style>
  <w:style w:type="paragraph" w:customStyle="1" w:styleId="pb">
    <w:name w:val="pb"/>
    <w:basedOn w:val="Normal"/>
    <w:rsid w:val="008902C5"/>
    <w:pPr>
      <w:spacing w:before="100" w:beforeAutospacing="1" w:after="100" w:afterAutospacing="1"/>
      <w:ind w:left="0" w:firstLine="0"/>
      <w:jc w:val="left"/>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8902C5"/>
    <w:rPr>
      <w:color w:val="0000FF"/>
      <w:u w:val="single"/>
    </w:rPr>
  </w:style>
  <w:style w:type="paragraph" w:customStyle="1" w:styleId="cb">
    <w:name w:val="cb"/>
    <w:basedOn w:val="Normal"/>
    <w:rsid w:val="008902C5"/>
    <w:pPr>
      <w:spacing w:before="100" w:beforeAutospacing="1" w:after="100" w:afterAutospacing="1"/>
      <w:ind w:left="0" w:firstLine="0"/>
      <w:jc w:val="left"/>
    </w:pPr>
    <w:rPr>
      <w:rFonts w:ascii="Times New Roman" w:eastAsia="Times New Roman" w:hAnsi="Times New Roman" w:cs="Times New Roman"/>
      <w:lang w:eastAsia="en-GB"/>
    </w:rPr>
  </w:style>
  <w:style w:type="paragraph" w:customStyle="1" w:styleId="cp">
    <w:name w:val="cp"/>
    <w:basedOn w:val="Normal"/>
    <w:rsid w:val="00381DE8"/>
    <w:pPr>
      <w:spacing w:before="100" w:beforeAutospacing="1" w:after="100" w:afterAutospacing="1"/>
      <w:ind w:left="0" w:firstLine="0"/>
      <w:jc w:val="left"/>
    </w:pPr>
    <w:rPr>
      <w:rFonts w:ascii="Times New Roman" w:eastAsia="Times New Roman" w:hAnsi="Times New Roman" w:cs="Times New Roman"/>
      <w:lang w:eastAsia="en-GB"/>
    </w:rPr>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381DE8"/>
    <w:pPr>
      <w:ind w:left="720"/>
      <w:contextualSpacing/>
    </w:pPr>
  </w:style>
  <w:style w:type="paragraph" w:styleId="Footer">
    <w:name w:val="footer"/>
    <w:basedOn w:val="Normal"/>
    <w:link w:val="FooterChar"/>
    <w:uiPriority w:val="99"/>
    <w:unhideWhenUsed/>
    <w:rsid w:val="005F095C"/>
    <w:pPr>
      <w:tabs>
        <w:tab w:val="center" w:pos="4513"/>
        <w:tab w:val="right" w:pos="9026"/>
      </w:tabs>
      <w:spacing w:after="0"/>
    </w:pPr>
  </w:style>
  <w:style w:type="character" w:customStyle="1" w:styleId="FooterChar">
    <w:name w:val="Footer Char"/>
    <w:basedOn w:val="DefaultParagraphFont"/>
    <w:link w:val="Footer"/>
    <w:uiPriority w:val="99"/>
    <w:rsid w:val="005F095C"/>
  </w:style>
  <w:style w:type="character" w:styleId="PageNumber">
    <w:name w:val="page number"/>
    <w:basedOn w:val="DefaultParagraphFont"/>
    <w:uiPriority w:val="99"/>
    <w:semiHidden/>
    <w:unhideWhenUsed/>
    <w:rsid w:val="005F095C"/>
  </w:style>
  <w:style w:type="paragraph" w:styleId="Header">
    <w:name w:val="header"/>
    <w:basedOn w:val="Normal"/>
    <w:link w:val="HeaderChar"/>
    <w:uiPriority w:val="99"/>
    <w:unhideWhenUsed/>
    <w:rsid w:val="005F095C"/>
    <w:pPr>
      <w:tabs>
        <w:tab w:val="center" w:pos="4513"/>
        <w:tab w:val="right" w:pos="9026"/>
      </w:tabs>
      <w:spacing w:after="0"/>
    </w:pPr>
  </w:style>
  <w:style w:type="character" w:customStyle="1" w:styleId="HeaderChar">
    <w:name w:val="Header Char"/>
    <w:basedOn w:val="DefaultParagraphFont"/>
    <w:link w:val="Header"/>
    <w:uiPriority w:val="99"/>
    <w:rsid w:val="005F095C"/>
  </w:style>
  <w:style w:type="paragraph" w:customStyle="1" w:styleId="md">
    <w:name w:val="md"/>
    <w:basedOn w:val="Normal"/>
    <w:rsid w:val="00047F8B"/>
    <w:pPr>
      <w:spacing w:before="100" w:beforeAutospacing="1" w:after="100" w:afterAutospacing="1"/>
      <w:ind w:left="0" w:firstLine="0"/>
      <w:jc w:val="left"/>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63CB9"/>
    <w:rPr>
      <w:sz w:val="16"/>
      <w:szCs w:val="16"/>
    </w:rPr>
  </w:style>
  <w:style w:type="paragraph" w:styleId="CommentText">
    <w:name w:val="annotation text"/>
    <w:basedOn w:val="Normal"/>
    <w:link w:val="CommentTextChar"/>
    <w:uiPriority w:val="99"/>
    <w:semiHidden/>
    <w:unhideWhenUsed/>
    <w:rsid w:val="00F63CB9"/>
    <w:rPr>
      <w:sz w:val="20"/>
      <w:szCs w:val="20"/>
    </w:rPr>
  </w:style>
  <w:style w:type="character" w:customStyle="1" w:styleId="CommentTextChar">
    <w:name w:val="Comment Text Char"/>
    <w:basedOn w:val="DefaultParagraphFont"/>
    <w:link w:val="CommentText"/>
    <w:uiPriority w:val="99"/>
    <w:semiHidden/>
    <w:rsid w:val="00F63CB9"/>
    <w:rPr>
      <w:sz w:val="20"/>
      <w:szCs w:val="20"/>
    </w:rPr>
  </w:style>
  <w:style w:type="paragraph" w:styleId="CommentSubject">
    <w:name w:val="annotation subject"/>
    <w:basedOn w:val="CommentText"/>
    <w:next w:val="CommentText"/>
    <w:link w:val="CommentSubjectChar"/>
    <w:uiPriority w:val="99"/>
    <w:semiHidden/>
    <w:unhideWhenUsed/>
    <w:rsid w:val="00F63CB9"/>
    <w:rPr>
      <w:b/>
      <w:bCs/>
    </w:rPr>
  </w:style>
  <w:style w:type="character" w:customStyle="1" w:styleId="CommentSubjectChar">
    <w:name w:val="Comment Subject Char"/>
    <w:basedOn w:val="CommentTextChar"/>
    <w:link w:val="CommentSubject"/>
    <w:uiPriority w:val="99"/>
    <w:semiHidden/>
    <w:rsid w:val="00F63CB9"/>
    <w:rPr>
      <w:b/>
      <w:bCs/>
      <w:sz w:val="20"/>
      <w:szCs w:val="20"/>
    </w:rPr>
  </w:style>
  <w:style w:type="paragraph" w:styleId="Revision">
    <w:name w:val="Revision"/>
    <w:hidden/>
    <w:uiPriority w:val="99"/>
    <w:semiHidden/>
    <w:rsid w:val="00D33F2C"/>
    <w:pPr>
      <w:spacing w:after="0"/>
      <w:ind w:left="0" w:firstLine="0"/>
      <w:jc w:val="left"/>
    </w:pPr>
  </w:style>
  <w:style w:type="character" w:customStyle="1" w:styleId="MSGENFONTSTYLENAMETEMPLATEROLELEVELMSGENFONTSTYLENAMEBYROLEHEADING3">
    <w:name w:val="MSG_EN_FONT_STYLE_NAME_TEMPLATE_ROLE_LEVEL MSG_EN_FONT_STYLE_NAME_BY_ROLE_HEADING 3"/>
    <w:basedOn w:val="DefaultParagraphFont"/>
    <w:uiPriority w:val="99"/>
    <w:rsid w:val="00CB107B"/>
    <w:rPr>
      <w:b/>
      <w:bCs/>
      <w:color w:val="333333"/>
      <w:u w:val="none"/>
    </w:rPr>
  </w:style>
  <w:style w:type="character" w:styleId="Emphasis">
    <w:name w:val="Emphasis"/>
    <w:basedOn w:val="DefaultParagraphFont"/>
    <w:uiPriority w:val="20"/>
    <w:qFormat/>
    <w:rsid w:val="009C67D5"/>
    <w:rPr>
      <w:i/>
      <w:iCs/>
    </w:rPr>
  </w:style>
  <w:style w:type="character" w:styleId="Strong">
    <w:name w:val="Strong"/>
    <w:basedOn w:val="DefaultParagraphFont"/>
    <w:uiPriority w:val="22"/>
    <w:qFormat/>
    <w:rsid w:val="009C67D5"/>
    <w:rPr>
      <w:b/>
      <w:bCs/>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locked/>
    <w:rsid w:val="00770096"/>
  </w:style>
  <w:style w:type="character" w:customStyle="1" w:styleId="fontstyle01">
    <w:name w:val="fontstyle01"/>
    <w:basedOn w:val="DefaultParagraphFont"/>
    <w:rsid w:val="00770096"/>
    <w:rPr>
      <w:rFonts w:ascii="Times New Roman" w:hAnsi="Times New Roman" w:cs="Times New 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0A40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027"/>
    <w:rPr>
      <w:rFonts w:ascii="Segoe UI" w:hAnsi="Segoe UI" w:cs="Segoe UI"/>
      <w:sz w:val="18"/>
      <w:szCs w:val="18"/>
    </w:rPr>
  </w:style>
  <w:style w:type="table" w:styleId="TableGrid">
    <w:name w:val="Table Grid"/>
    <w:basedOn w:val="TableNormal"/>
    <w:uiPriority w:val="39"/>
    <w:rsid w:val="00102F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52452">
      <w:bodyDiv w:val="1"/>
      <w:marLeft w:val="0"/>
      <w:marRight w:val="0"/>
      <w:marTop w:val="0"/>
      <w:marBottom w:val="0"/>
      <w:divBdr>
        <w:top w:val="none" w:sz="0" w:space="0" w:color="auto"/>
        <w:left w:val="none" w:sz="0" w:space="0" w:color="auto"/>
        <w:bottom w:val="none" w:sz="0" w:space="0" w:color="auto"/>
        <w:right w:val="none" w:sz="0" w:space="0" w:color="auto"/>
      </w:divBdr>
    </w:div>
    <w:div w:id="227808175">
      <w:bodyDiv w:val="1"/>
      <w:marLeft w:val="0"/>
      <w:marRight w:val="0"/>
      <w:marTop w:val="0"/>
      <w:marBottom w:val="0"/>
      <w:divBdr>
        <w:top w:val="none" w:sz="0" w:space="0" w:color="auto"/>
        <w:left w:val="none" w:sz="0" w:space="0" w:color="auto"/>
        <w:bottom w:val="none" w:sz="0" w:space="0" w:color="auto"/>
        <w:right w:val="none" w:sz="0" w:space="0" w:color="auto"/>
      </w:divBdr>
    </w:div>
    <w:div w:id="264925767">
      <w:bodyDiv w:val="1"/>
      <w:marLeft w:val="0"/>
      <w:marRight w:val="0"/>
      <w:marTop w:val="0"/>
      <w:marBottom w:val="0"/>
      <w:divBdr>
        <w:top w:val="none" w:sz="0" w:space="0" w:color="auto"/>
        <w:left w:val="none" w:sz="0" w:space="0" w:color="auto"/>
        <w:bottom w:val="none" w:sz="0" w:space="0" w:color="auto"/>
        <w:right w:val="none" w:sz="0" w:space="0" w:color="auto"/>
      </w:divBdr>
    </w:div>
    <w:div w:id="286861466">
      <w:bodyDiv w:val="1"/>
      <w:marLeft w:val="0"/>
      <w:marRight w:val="0"/>
      <w:marTop w:val="0"/>
      <w:marBottom w:val="0"/>
      <w:divBdr>
        <w:top w:val="none" w:sz="0" w:space="0" w:color="auto"/>
        <w:left w:val="none" w:sz="0" w:space="0" w:color="auto"/>
        <w:bottom w:val="none" w:sz="0" w:space="0" w:color="auto"/>
        <w:right w:val="none" w:sz="0" w:space="0" w:color="auto"/>
      </w:divBdr>
    </w:div>
    <w:div w:id="294991011">
      <w:bodyDiv w:val="1"/>
      <w:marLeft w:val="0"/>
      <w:marRight w:val="0"/>
      <w:marTop w:val="0"/>
      <w:marBottom w:val="0"/>
      <w:divBdr>
        <w:top w:val="none" w:sz="0" w:space="0" w:color="auto"/>
        <w:left w:val="none" w:sz="0" w:space="0" w:color="auto"/>
        <w:bottom w:val="none" w:sz="0" w:space="0" w:color="auto"/>
        <w:right w:val="none" w:sz="0" w:space="0" w:color="auto"/>
      </w:divBdr>
    </w:div>
    <w:div w:id="338318430">
      <w:bodyDiv w:val="1"/>
      <w:marLeft w:val="0"/>
      <w:marRight w:val="0"/>
      <w:marTop w:val="0"/>
      <w:marBottom w:val="0"/>
      <w:divBdr>
        <w:top w:val="none" w:sz="0" w:space="0" w:color="auto"/>
        <w:left w:val="none" w:sz="0" w:space="0" w:color="auto"/>
        <w:bottom w:val="none" w:sz="0" w:space="0" w:color="auto"/>
        <w:right w:val="none" w:sz="0" w:space="0" w:color="auto"/>
      </w:divBdr>
    </w:div>
    <w:div w:id="457191037">
      <w:bodyDiv w:val="1"/>
      <w:marLeft w:val="0"/>
      <w:marRight w:val="0"/>
      <w:marTop w:val="0"/>
      <w:marBottom w:val="0"/>
      <w:divBdr>
        <w:top w:val="none" w:sz="0" w:space="0" w:color="auto"/>
        <w:left w:val="none" w:sz="0" w:space="0" w:color="auto"/>
        <w:bottom w:val="none" w:sz="0" w:space="0" w:color="auto"/>
        <w:right w:val="none" w:sz="0" w:space="0" w:color="auto"/>
      </w:divBdr>
    </w:div>
    <w:div w:id="552470186">
      <w:bodyDiv w:val="1"/>
      <w:marLeft w:val="0"/>
      <w:marRight w:val="0"/>
      <w:marTop w:val="0"/>
      <w:marBottom w:val="0"/>
      <w:divBdr>
        <w:top w:val="none" w:sz="0" w:space="0" w:color="auto"/>
        <w:left w:val="none" w:sz="0" w:space="0" w:color="auto"/>
        <w:bottom w:val="none" w:sz="0" w:space="0" w:color="auto"/>
        <w:right w:val="none" w:sz="0" w:space="0" w:color="auto"/>
      </w:divBdr>
    </w:div>
    <w:div w:id="666901415">
      <w:bodyDiv w:val="1"/>
      <w:marLeft w:val="0"/>
      <w:marRight w:val="0"/>
      <w:marTop w:val="0"/>
      <w:marBottom w:val="0"/>
      <w:divBdr>
        <w:top w:val="none" w:sz="0" w:space="0" w:color="auto"/>
        <w:left w:val="none" w:sz="0" w:space="0" w:color="auto"/>
        <w:bottom w:val="none" w:sz="0" w:space="0" w:color="auto"/>
        <w:right w:val="none" w:sz="0" w:space="0" w:color="auto"/>
      </w:divBdr>
    </w:div>
    <w:div w:id="668825881">
      <w:bodyDiv w:val="1"/>
      <w:marLeft w:val="0"/>
      <w:marRight w:val="0"/>
      <w:marTop w:val="0"/>
      <w:marBottom w:val="0"/>
      <w:divBdr>
        <w:top w:val="none" w:sz="0" w:space="0" w:color="auto"/>
        <w:left w:val="none" w:sz="0" w:space="0" w:color="auto"/>
        <w:bottom w:val="none" w:sz="0" w:space="0" w:color="auto"/>
        <w:right w:val="none" w:sz="0" w:space="0" w:color="auto"/>
      </w:divBdr>
    </w:div>
    <w:div w:id="986126893">
      <w:bodyDiv w:val="1"/>
      <w:marLeft w:val="0"/>
      <w:marRight w:val="0"/>
      <w:marTop w:val="0"/>
      <w:marBottom w:val="0"/>
      <w:divBdr>
        <w:top w:val="none" w:sz="0" w:space="0" w:color="auto"/>
        <w:left w:val="none" w:sz="0" w:space="0" w:color="auto"/>
        <w:bottom w:val="none" w:sz="0" w:space="0" w:color="auto"/>
        <w:right w:val="none" w:sz="0" w:space="0" w:color="auto"/>
      </w:divBdr>
    </w:div>
    <w:div w:id="988440747">
      <w:bodyDiv w:val="1"/>
      <w:marLeft w:val="0"/>
      <w:marRight w:val="0"/>
      <w:marTop w:val="0"/>
      <w:marBottom w:val="0"/>
      <w:divBdr>
        <w:top w:val="none" w:sz="0" w:space="0" w:color="auto"/>
        <w:left w:val="none" w:sz="0" w:space="0" w:color="auto"/>
        <w:bottom w:val="none" w:sz="0" w:space="0" w:color="auto"/>
        <w:right w:val="none" w:sz="0" w:space="0" w:color="auto"/>
      </w:divBdr>
    </w:div>
    <w:div w:id="997465631">
      <w:bodyDiv w:val="1"/>
      <w:marLeft w:val="0"/>
      <w:marRight w:val="0"/>
      <w:marTop w:val="0"/>
      <w:marBottom w:val="0"/>
      <w:divBdr>
        <w:top w:val="none" w:sz="0" w:space="0" w:color="auto"/>
        <w:left w:val="none" w:sz="0" w:space="0" w:color="auto"/>
        <w:bottom w:val="none" w:sz="0" w:space="0" w:color="auto"/>
        <w:right w:val="none" w:sz="0" w:space="0" w:color="auto"/>
      </w:divBdr>
    </w:div>
    <w:div w:id="1010375376">
      <w:bodyDiv w:val="1"/>
      <w:marLeft w:val="0"/>
      <w:marRight w:val="0"/>
      <w:marTop w:val="0"/>
      <w:marBottom w:val="0"/>
      <w:divBdr>
        <w:top w:val="none" w:sz="0" w:space="0" w:color="auto"/>
        <w:left w:val="none" w:sz="0" w:space="0" w:color="auto"/>
        <w:bottom w:val="none" w:sz="0" w:space="0" w:color="auto"/>
        <w:right w:val="none" w:sz="0" w:space="0" w:color="auto"/>
      </w:divBdr>
    </w:div>
    <w:div w:id="1180506261">
      <w:bodyDiv w:val="1"/>
      <w:marLeft w:val="0"/>
      <w:marRight w:val="0"/>
      <w:marTop w:val="0"/>
      <w:marBottom w:val="0"/>
      <w:divBdr>
        <w:top w:val="none" w:sz="0" w:space="0" w:color="auto"/>
        <w:left w:val="none" w:sz="0" w:space="0" w:color="auto"/>
        <w:bottom w:val="none" w:sz="0" w:space="0" w:color="auto"/>
        <w:right w:val="none" w:sz="0" w:space="0" w:color="auto"/>
      </w:divBdr>
    </w:div>
    <w:div w:id="1485928505">
      <w:bodyDiv w:val="1"/>
      <w:marLeft w:val="0"/>
      <w:marRight w:val="0"/>
      <w:marTop w:val="0"/>
      <w:marBottom w:val="0"/>
      <w:divBdr>
        <w:top w:val="none" w:sz="0" w:space="0" w:color="auto"/>
        <w:left w:val="none" w:sz="0" w:space="0" w:color="auto"/>
        <w:bottom w:val="none" w:sz="0" w:space="0" w:color="auto"/>
        <w:right w:val="none" w:sz="0" w:space="0" w:color="auto"/>
      </w:divBdr>
    </w:div>
    <w:div w:id="1658343877">
      <w:bodyDiv w:val="1"/>
      <w:marLeft w:val="0"/>
      <w:marRight w:val="0"/>
      <w:marTop w:val="0"/>
      <w:marBottom w:val="0"/>
      <w:divBdr>
        <w:top w:val="none" w:sz="0" w:space="0" w:color="auto"/>
        <w:left w:val="none" w:sz="0" w:space="0" w:color="auto"/>
        <w:bottom w:val="none" w:sz="0" w:space="0" w:color="auto"/>
        <w:right w:val="none" w:sz="0" w:space="0" w:color="auto"/>
      </w:divBdr>
    </w:div>
    <w:div w:id="1665280025">
      <w:bodyDiv w:val="1"/>
      <w:marLeft w:val="0"/>
      <w:marRight w:val="0"/>
      <w:marTop w:val="0"/>
      <w:marBottom w:val="0"/>
      <w:divBdr>
        <w:top w:val="none" w:sz="0" w:space="0" w:color="auto"/>
        <w:left w:val="none" w:sz="0" w:space="0" w:color="auto"/>
        <w:bottom w:val="none" w:sz="0" w:space="0" w:color="auto"/>
        <w:right w:val="none" w:sz="0" w:space="0" w:color="auto"/>
      </w:divBdr>
    </w:div>
    <w:div w:id="18475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1B22-939B-4717-BA4F-8D56068C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1426</Words>
  <Characters>8133</Characters>
  <Application>Microsoft Office Word</Application>
  <DocSecurity>0</DocSecurity>
  <Lines>67</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BSP</dc:creator>
  <cp:keywords/>
  <dc:description/>
  <cp:lastModifiedBy>Victor Ciobanu</cp:lastModifiedBy>
  <cp:revision>27</cp:revision>
  <cp:lastPrinted>2022-10-07T08:26:00Z</cp:lastPrinted>
  <dcterms:created xsi:type="dcterms:W3CDTF">2022-10-12T14:10:00Z</dcterms:created>
  <dcterms:modified xsi:type="dcterms:W3CDTF">2022-10-26T11:58:00Z</dcterms:modified>
</cp:coreProperties>
</file>