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6F34" w14:textId="399394D2" w:rsidR="003D636E" w:rsidRPr="005236CE" w:rsidRDefault="003D636E" w:rsidP="00426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236CE"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14:paraId="0E2CD05F" w14:textId="77777777" w:rsidR="0056437A" w:rsidRDefault="003D636E" w:rsidP="004F4D4C">
      <w:pPr>
        <w:spacing w:after="0"/>
        <w:ind w:left="1134" w:right="84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236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</w:t>
      </w:r>
      <w:proofErr w:type="spellStart"/>
      <w:r w:rsidRPr="005236CE">
        <w:rPr>
          <w:rFonts w:ascii="Times New Roman" w:hAnsi="Times New Roman" w:cs="Times New Roman"/>
          <w:b/>
          <w:sz w:val="24"/>
          <w:szCs w:val="24"/>
          <w:lang w:val="ro-RO"/>
        </w:rPr>
        <w:t>Hotărîrii</w:t>
      </w:r>
      <w:proofErr w:type="spellEnd"/>
      <w:r w:rsidRPr="005236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Guvernului </w:t>
      </w:r>
    </w:p>
    <w:p w14:paraId="73EC127A" w14:textId="0B58532E" w:rsidR="003D636E" w:rsidRDefault="00450651" w:rsidP="004F4D4C">
      <w:pPr>
        <w:spacing w:after="0"/>
        <w:ind w:left="1134" w:right="84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9A3535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Pr="0045065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 privire la </w:t>
      </w:r>
      <w:proofErr w:type="spellStart"/>
      <w:r w:rsidR="0056437A" w:rsidRPr="0056437A">
        <w:rPr>
          <w:rFonts w:ascii="Times New Roman" w:hAnsi="Times New Roman" w:cs="Times New Roman"/>
          <w:b/>
          <w:sz w:val="24"/>
          <w:szCs w:val="24"/>
          <w:lang w:val="en-US"/>
        </w:rPr>
        <w:t>modificarea</w:t>
      </w:r>
      <w:proofErr w:type="spellEnd"/>
      <w:r w:rsidR="0056437A" w:rsidRPr="0056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6437A" w:rsidRPr="0056437A">
        <w:rPr>
          <w:rFonts w:ascii="Times New Roman" w:hAnsi="Times New Roman" w:cs="Times New Roman"/>
          <w:b/>
          <w:sz w:val="24"/>
          <w:szCs w:val="24"/>
          <w:lang w:val="en-US"/>
        </w:rPr>
        <w:t>unor</w:t>
      </w:r>
      <w:proofErr w:type="spellEnd"/>
      <w:r w:rsidR="0056437A" w:rsidRPr="0056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6437A" w:rsidRPr="0056437A">
        <w:rPr>
          <w:rFonts w:ascii="Times New Roman" w:hAnsi="Times New Roman" w:cs="Times New Roman"/>
          <w:b/>
          <w:sz w:val="24"/>
          <w:szCs w:val="24"/>
          <w:lang w:val="en-US"/>
        </w:rPr>
        <w:t>hotărîri</w:t>
      </w:r>
      <w:r w:rsidR="001350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56437A" w:rsidRPr="0056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50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 w:rsidR="0056437A" w:rsidRPr="0056437A">
        <w:rPr>
          <w:rFonts w:ascii="Times New Roman" w:hAnsi="Times New Roman" w:cs="Times New Roman"/>
          <w:b/>
          <w:sz w:val="24"/>
          <w:szCs w:val="24"/>
          <w:lang w:val="en-US"/>
        </w:rPr>
        <w:t>Guvern</w:t>
      </w:r>
      <w:proofErr w:type="spellEnd"/>
      <w:r w:rsidR="001350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 802/2015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5ECE6876" w14:textId="77777777" w:rsidR="00B029FA" w:rsidRPr="005236CE" w:rsidRDefault="00B029FA" w:rsidP="00426AF8">
      <w:pPr>
        <w:spacing w:after="0"/>
        <w:ind w:left="851" w:right="849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D636E" w:rsidRPr="00AD45AF" w14:paraId="7FE2E282" w14:textId="77777777" w:rsidTr="002A3C3C">
        <w:trPr>
          <w:trHeight w:val="397"/>
        </w:trPr>
        <w:tc>
          <w:tcPr>
            <w:tcW w:w="9923" w:type="dxa"/>
            <w:shd w:val="clear" w:color="auto" w:fill="D9D9D9" w:themeFill="background1" w:themeFillShade="D9"/>
          </w:tcPr>
          <w:p w14:paraId="53B5C8BD" w14:textId="12F6E826" w:rsidR="003D636E" w:rsidRPr="005236CE" w:rsidRDefault="003D636E" w:rsidP="00605D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3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</w:tc>
      </w:tr>
      <w:tr w:rsidR="003D636E" w:rsidRPr="00AD45AF" w14:paraId="4EBF3F01" w14:textId="77777777" w:rsidTr="002A3C3C">
        <w:tc>
          <w:tcPr>
            <w:tcW w:w="9923" w:type="dxa"/>
          </w:tcPr>
          <w:p w14:paraId="3E188BFD" w14:textId="05342035" w:rsidR="008A12CB" w:rsidRPr="005236CE" w:rsidRDefault="0056437A" w:rsidP="00135090">
            <w:pPr>
              <w:ind w:firstLine="89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>Proiectul</w:t>
            </w:r>
            <w:proofErr w:type="spellEnd"/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>Hotărîrii</w:t>
            </w:r>
            <w:proofErr w:type="spellEnd"/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>Guvernului</w:t>
            </w:r>
            <w:proofErr w:type="spellEnd"/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o-RO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o-RO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o-RO"/>
              </w:rPr>
              <w:t xml:space="preserve"> la</w:t>
            </w:r>
            <w:r w:rsidRPr="0026056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056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o-RO"/>
              </w:rPr>
              <w:t>modificarea</w:t>
            </w:r>
            <w:proofErr w:type="spellEnd"/>
            <w:r w:rsidRPr="0026056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E5C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unor</w:t>
            </w:r>
            <w:proofErr w:type="spellEnd"/>
            <w:r w:rsidRPr="00EE5C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35090" w:rsidRPr="001350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modificarea</w:t>
            </w:r>
            <w:proofErr w:type="spellEnd"/>
            <w:r w:rsidR="00135090" w:rsidRPr="001350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35090" w:rsidRPr="001350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unor</w:t>
            </w:r>
            <w:proofErr w:type="spellEnd"/>
            <w:r w:rsidR="00135090" w:rsidRPr="001350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35090" w:rsidRPr="001350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hotărîrii</w:t>
            </w:r>
            <w:proofErr w:type="spellEnd"/>
            <w:r w:rsidR="00135090" w:rsidRPr="001350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de </w:t>
            </w:r>
            <w:proofErr w:type="spellStart"/>
            <w:r w:rsidR="00135090" w:rsidRPr="001350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Guvern</w:t>
            </w:r>
            <w:proofErr w:type="spellEnd"/>
            <w:r w:rsidR="00135090" w:rsidRPr="001350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nr 802/2015</w:t>
            </w:r>
            <w:r w:rsidR="001350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este</w:t>
            </w:r>
            <w:proofErr w:type="spellEnd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elaborat</w:t>
            </w:r>
            <w:proofErr w:type="spellEnd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Ministerul</w:t>
            </w:r>
            <w:proofErr w:type="spellEnd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Educației</w:t>
            </w:r>
            <w:proofErr w:type="spellEnd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și</w:t>
            </w:r>
            <w:proofErr w:type="spellEnd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Cercetării</w:t>
            </w:r>
            <w:proofErr w:type="spellEnd"/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</w:p>
        </w:tc>
      </w:tr>
      <w:tr w:rsidR="003D636E" w:rsidRPr="00AD45AF" w14:paraId="2B67DF37" w14:textId="77777777" w:rsidTr="002A3C3C">
        <w:tc>
          <w:tcPr>
            <w:tcW w:w="9923" w:type="dxa"/>
            <w:shd w:val="clear" w:color="auto" w:fill="D9D9D9" w:themeFill="background1" w:themeFillShade="D9"/>
          </w:tcPr>
          <w:p w14:paraId="61C70717" w14:textId="12BC7FF7" w:rsidR="003D636E" w:rsidRPr="005236CE" w:rsidRDefault="003D636E" w:rsidP="00605D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23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Condițiile ce au impus elaborarea proiectului de act normativ și finalitățile urmărite</w:t>
            </w:r>
          </w:p>
        </w:tc>
      </w:tr>
      <w:tr w:rsidR="003D636E" w:rsidRPr="00AD45AF" w14:paraId="33F8AF6F" w14:textId="77777777" w:rsidTr="002A3C3C">
        <w:tc>
          <w:tcPr>
            <w:tcW w:w="9923" w:type="dxa"/>
          </w:tcPr>
          <w:p w14:paraId="56FBBC17" w14:textId="6BCE3104" w:rsidR="00135090" w:rsidRPr="00135090" w:rsidRDefault="00135090" w:rsidP="00135090">
            <w:pPr>
              <w:ind w:firstLine="8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Proiectul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Hotărîrii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Guvernului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menționat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supra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fost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elaborat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contextul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deficitului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sporit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cadre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calificate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instituțiile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scopul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motivării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menținerii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cadrelor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debutante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angajate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repartizare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26BA1B7" w14:textId="603B636F" w:rsidR="00135090" w:rsidRPr="00135090" w:rsidRDefault="00135090" w:rsidP="00135090">
            <w:pPr>
              <w:ind w:firstLine="8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asemenea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proiectul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hotărâre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reprezintă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una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acțiunile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bază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ministerului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se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înscriu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procesul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promovare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imaginii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statutului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cadrului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didactic, precum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integrare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profesională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cadrelor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debutante.</w:t>
            </w:r>
          </w:p>
          <w:p w14:paraId="46279769" w14:textId="61627243" w:rsidR="00135090" w:rsidRPr="00135090" w:rsidRDefault="00135090" w:rsidP="00135090">
            <w:pPr>
              <w:ind w:firstLine="8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umane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calificate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educație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unul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prioritar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nivel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național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reflectat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documentele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strategice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Ministerul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Educației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Cercetării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7E87E3E" w14:textId="18C6657C" w:rsidR="00135090" w:rsidRPr="00135090" w:rsidRDefault="00135090" w:rsidP="00135090">
            <w:pPr>
              <w:ind w:firstLine="8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Diagnosticarea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nevoilor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actuale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perspectivă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cadre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calificate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relevă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problema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acută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asigurarea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instituțiilor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personal didactic,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special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rural. Conform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informațiilor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oferite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organele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locale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specialitate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numărul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posturilor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vacante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instituțiile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 din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republică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ultimii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ani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creștere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 – 2174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posturi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vacante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2020 -  2349,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 – 1975,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2022 - 2161.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Cel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număr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posturi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vacante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perioadă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nedeterminată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, de la 14 ore/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săptămână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atestă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raioanele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centru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republicii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Nisporeni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(147), Ungheni (129),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Hîncești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(119),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Ștefan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Vodă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(86),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Ialoveni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(75),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Căușeni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(71),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asemenea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mun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Chișinău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(509).</w:t>
            </w:r>
          </w:p>
          <w:p w14:paraId="2D400E54" w14:textId="0E30042A" w:rsidR="00135090" w:rsidRPr="00135090" w:rsidRDefault="00135090" w:rsidP="00135090">
            <w:pPr>
              <w:ind w:firstLine="8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Cererea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necesarul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personal didactic din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ultimii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ani,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funcție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specialități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indică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criză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acută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educatori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conducători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muzicali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profesori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matematică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limba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literatura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română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fizică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educație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fizică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matematică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fizică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limba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franceză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chimie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biologie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, etc.</w:t>
            </w:r>
          </w:p>
          <w:p w14:paraId="0D728575" w14:textId="631C88FC" w:rsidR="00135090" w:rsidRPr="00135090" w:rsidRDefault="00135090" w:rsidP="00135090">
            <w:pPr>
              <w:ind w:firstLine="8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prezent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indemnizația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debursată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trei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tranșe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egale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tinerilor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specialiști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atractivă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deoarece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 le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asigură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adaptarea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soluționarea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problemelor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cazare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achitare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unei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locuințe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debutanți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D76A447" w14:textId="58C0218F" w:rsidR="00135090" w:rsidRPr="00135090" w:rsidRDefault="00135090" w:rsidP="00135090">
            <w:pPr>
              <w:ind w:firstLine="8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acest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context,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considerăm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oportun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operarea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Regulamentul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modul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calcul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repartizare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utilizare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şi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evidenţă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transferurilor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destinație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specială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susținerea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cadrelor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tinere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aprobat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Hotărîrea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Guvernului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802/2015,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potrivit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căreia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indemnizațiile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unice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acordate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tinerilor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specialiști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angajați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repartizare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vor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debursate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într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-o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singură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tranșă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AEAFCFF" w14:textId="3BC4385E" w:rsidR="00135090" w:rsidRPr="005236CE" w:rsidRDefault="00135090" w:rsidP="00135090">
            <w:pPr>
              <w:ind w:firstLine="8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Astfel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scopul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proiectului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Hotărârii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Guvernului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constă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asigurarea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echilibru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cantitativ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calitativ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între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oferta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şi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cererea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cadre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astfel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încât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procesul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studii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asigurat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cadre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calificate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discipline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studiu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precum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stimularea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menținerii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tinerilor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specialiști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D92C9E" w:rsidRPr="00AD45AF" w14:paraId="4FAA69CC" w14:textId="77777777" w:rsidTr="000318AD">
        <w:tc>
          <w:tcPr>
            <w:tcW w:w="9923" w:type="dxa"/>
            <w:shd w:val="clear" w:color="auto" w:fill="D9D9D9" w:themeFill="background1" w:themeFillShade="D9"/>
          </w:tcPr>
          <w:p w14:paraId="3C16BF01" w14:textId="4372FBEA" w:rsidR="00D92C9E" w:rsidRPr="002A3C3C" w:rsidRDefault="00D92C9E" w:rsidP="000318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2A3C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 Descrierea gradului de compatibilitate pentru proiectele care au scop armonizarea legislației naționale cu legislația Uniunii Europene</w:t>
            </w:r>
          </w:p>
        </w:tc>
      </w:tr>
      <w:tr w:rsidR="00D92C9E" w:rsidRPr="00AD45AF" w14:paraId="58195D75" w14:textId="77777777" w:rsidTr="000318AD">
        <w:tc>
          <w:tcPr>
            <w:tcW w:w="9923" w:type="dxa"/>
          </w:tcPr>
          <w:p w14:paraId="1DDA3B15" w14:textId="71B340F1" w:rsidR="00135090" w:rsidRPr="005236CE" w:rsidRDefault="00D92C9E" w:rsidP="00135090">
            <w:pPr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A3C3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 hotărârii de Guvern nu conține norme privind armonizarea legislației naționale cu legislația Uniunii Europene.</w:t>
            </w:r>
          </w:p>
        </w:tc>
      </w:tr>
      <w:tr w:rsidR="003D636E" w:rsidRPr="00AD45AF" w14:paraId="4C2A2100" w14:textId="77777777" w:rsidTr="002A3C3C">
        <w:trPr>
          <w:trHeight w:val="504"/>
        </w:trPr>
        <w:tc>
          <w:tcPr>
            <w:tcW w:w="9923" w:type="dxa"/>
            <w:shd w:val="clear" w:color="auto" w:fill="D9D9D9" w:themeFill="background1" w:themeFillShade="D9"/>
          </w:tcPr>
          <w:p w14:paraId="666F0545" w14:textId="32EACDE8" w:rsidR="003D636E" w:rsidRPr="005236CE" w:rsidRDefault="00D92C9E" w:rsidP="002167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="003D636E" w:rsidRPr="00523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 Principalele prevederi ale proiectului și evidențierea elementelor noi</w:t>
            </w:r>
          </w:p>
        </w:tc>
      </w:tr>
      <w:tr w:rsidR="003D636E" w:rsidRPr="00AD45AF" w14:paraId="4B1C8F1C" w14:textId="77777777" w:rsidTr="002A3C3C">
        <w:tc>
          <w:tcPr>
            <w:tcW w:w="9923" w:type="dxa"/>
          </w:tcPr>
          <w:p w14:paraId="1A6CD87C" w14:textId="77777777" w:rsidR="00135090" w:rsidRDefault="00135090" w:rsidP="00135090">
            <w:pPr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Hotărîrii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Guvernului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prevede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absolvenții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studii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superioare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profesional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tehnice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postsecundare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postsecundar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nonterțiare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Științe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educatei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angajați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instituții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repartizare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beneficieze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debursarea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integrală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indemnizației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120 mii lei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respectiv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96 mii lei.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Indemnizația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urmează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achitată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integral, la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expirarea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termenului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6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luni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efectiv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lucrate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funcție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didactică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conform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repartizării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21573C" w14:textId="20A5F9CC" w:rsidR="00135090" w:rsidRPr="00135090" w:rsidRDefault="00135090" w:rsidP="00135090">
            <w:pPr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636E" w:rsidRPr="005236CE" w14:paraId="36EF144F" w14:textId="77777777" w:rsidTr="002A3C3C">
        <w:tc>
          <w:tcPr>
            <w:tcW w:w="9923" w:type="dxa"/>
            <w:shd w:val="clear" w:color="auto" w:fill="D9D9D9" w:themeFill="background1" w:themeFillShade="D9"/>
          </w:tcPr>
          <w:p w14:paraId="21AAF7BF" w14:textId="54FF42DE" w:rsidR="003D636E" w:rsidRPr="005236CE" w:rsidRDefault="002A3C3C" w:rsidP="002167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5</w:t>
            </w:r>
            <w:r w:rsidR="003D636E" w:rsidRPr="00523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Fundamentarea </w:t>
            </w:r>
            <w:proofErr w:type="spellStart"/>
            <w:r w:rsidR="003D636E" w:rsidRPr="00523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economico</w:t>
            </w:r>
            <w:proofErr w:type="spellEnd"/>
            <w:r w:rsidR="003D636E" w:rsidRPr="00523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-financiară</w:t>
            </w:r>
          </w:p>
        </w:tc>
      </w:tr>
      <w:tr w:rsidR="003D636E" w:rsidRPr="00AD45AF" w14:paraId="294D2AFE" w14:textId="77777777" w:rsidTr="002A3C3C">
        <w:tc>
          <w:tcPr>
            <w:tcW w:w="9923" w:type="dxa"/>
            <w:shd w:val="clear" w:color="auto" w:fill="FFFFFF" w:themeFill="background1"/>
          </w:tcPr>
          <w:p w14:paraId="3D0C3D22" w14:textId="77777777" w:rsidR="00135090" w:rsidRPr="00135090" w:rsidRDefault="00135090" w:rsidP="00135090">
            <w:pPr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Aspectul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organizatoric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adoptarea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proiectului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cauză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implică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crearea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noi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structuri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specializate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realizarea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prevederilor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acestuia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992131A" w14:textId="229B3B91" w:rsidR="00135090" w:rsidRPr="00135090" w:rsidRDefault="00135090" w:rsidP="00135090">
            <w:pPr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Aspectul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financiar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economic: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implementarea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proiectului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necesita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cheltuieli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suplimentare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stat. </w:t>
            </w:r>
          </w:p>
          <w:p w14:paraId="13F38671" w14:textId="3848DD01" w:rsidR="00135090" w:rsidRPr="00135090" w:rsidRDefault="00135090" w:rsidP="00135090">
            <w:pPr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Rezultatele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analizelor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angajarea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tinerilor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specialiști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domeniu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arătat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numărul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mediu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anual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absolvenți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specialitățile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profil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pedagogic,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angajați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constituie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circa 280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persoane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(2015 – 275; 2016 – 300; 2017 – 269; 2018 – 235; 2019 – 295; 2020 – 280, 2021 – 303, 2022 - 260)</w:t>
            </w:r>
          </w:p>
          <w:p w14:paraId="00796729" w14:textId="5E533319" w:rsidR="00135090" w:rsidRPr="00135090" w:rsidRDefault="00135090" w:rsidP="00135090">
            <w:pPr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Astfel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numărul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absolvenți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încadrați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instituțiile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repartizare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Minister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constituie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anual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circa 300 de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persoane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C7735A8" w14:textId="38DC27B7" w:rsidR="00135090" w:rsidRPr="00135090" w:rsidRDefault="00135090" w:rsidP="00135090">
            <w:pPr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Costul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estimativ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implementării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prezentului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proiect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constitui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circa 77,200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mln.lei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525CDB" w14:textId="70EC64F4" w:rsidR="00135090" w:rsidRPr="00135090" w:rsidRDefault="00135090" w:rsidP="00135090">
            <w:pPr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Suma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estimativă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suplimentară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mijloacelor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necesare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implementării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proiectului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cauză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constituie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40,5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mln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lei, or,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suma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36,7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mln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lei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deja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bugetată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CBTM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2023 -2025. </w:t>
            </w:r>
          </w:p>
          <w:p w14:paraId="0CEADDD7" w14:textId="5CB9CA90" w:rsidR="00135090" w:rsidRPr="005236CE" w:rsidRDefault="00135090" w:rsidP="00135090">
            <w:pPr>
              <w:spacing w:line="276" w:lineRule="auto"/>
              <w:ind w:firstLine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anii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suma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constitui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anual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circa 36,048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mln.lei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anexa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sumă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se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încadrează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limitele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prevăzute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acest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scop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Bugetar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termen </w:t>
            </w:r>
            <w:proofErr w:type="spellStart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Mediu</w:t>
            </w:r>
            <w:proofErr w:type="spellEnd"/>
            <w:r w:rsidRPr="001350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636E" w:rsidRPr="00AD45AF" w14:paraId="721F272C" w14:textId="77777777" w:rsidTr="002A3C3C">
        <w:tc>
          <w:tcPr>
            <w:tcW w:w="9923" w:type="dxa"/>
            <w:shd w:val="clear" w:color="auto" w:fill="D9D9D9" w:themeFill="background1" w:themeFillShade="D9"/>
          </w:tcPr>
          <w:p w14:paraId="2B979AEC" w14:textId="453C39C2" w:rsidR="003D636E" w:rsidRPr="005236CE" w:rsidRDefault="002A3C3C" w:rsidP="002167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="003D636E" w:rsidRPr="00523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="00907FB0" w:rsidRPr="00523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Modul de încorporare a actului în cadrul normativ în vigoare</w:t>
            </w:r>
          </w:p>
        </w:tc>
      </w:tr>
      <w:tr w:rsidR="003D636E" w:rsidRPr="00AD45AF" w14:paraId="0CDD7BF2" w14:textId="77777777" w:rsidTr="002A3C3C">
        <w:tc>
          <w:tcPr>
            <w:tcW w:w="9923" w:type="dxa"/>
            <w:shd w:val="clear" w:color="auto" w:fill="FFFFFF" w:themeFill="background1"/>
          </w:tcPr>
          <w:p w14:paraId="302EC237" w14:textId="5E9CD505" w:rsidR="00135090" w:rsidRPr="005236CE" w:rsidRDefault="00947B59" w:rsidP="00135090">
            <w:pPr>
              <w:spacing w:line="276" w:lineRule="auto"/>
              <w:ind w:firstLine="7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36C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Proiectul se încorporează în sistemul actelor normative și </w:t>
            </w:r>
            <w:r w:rsidR="0055315B" w:rsidRPr="0055315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 va necesita modificarea altor acte legislative sau normative.</w:t>
            </w:r>
          </w:p>
        </w:tc>
      </w:tr>
      <w:tr w:rsidR="00907FB0" w:rsidRPr="00AD45AF" w14:paraId="0997D475" w14:textId="77777777" w:rsidTr="002A3C3C">
        <w:tc>
          <w:tcPr>
            <w:tcW w:w="9923" w:type="dxa"/>
            <w:shd w:val="clear" w:color="auto" w:fill="D9D9D9" w:themeFill="background1" w:themeFillShade="D9"/>
          </w:tcPr>
          <w:p w14:paraId="516E253F" w14:textId="0BBC51F9" w:rsidR="00907FB0" w:rsidRPr="005236CE" w:rsidRDefault="002A3C3C" w:rsidP="00250D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907FB0" w:rsidRPr="00523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Avizarea și consultarea publică a proiectului</w:t>
            </w:r>
          </w:p>
        </w:tc>
      </w:tr>
      <w:tr w:rsidR="00907FB0" w:rsidRPr="00AD45AF" w14:paraId="3C19C3D5" w14:textId="77777777" w:rsidTr="002A3C3C">
        <w:tc>
          <w:tcPr>
            <w:tcW w:w="9923" w:type="dxa"/>
          </w:tcPr>
          <w:p w14:paraId="20BE3591" w14:textId="41A5116F" w:rsidR="00135090" w:rsidRPr="005236CE" w:rsidRDefault="00907FB0" w:rsidP="00135090">
            <w:pPr>
              <w:spacing w:line="276" w:lineRule="auto"/>
              <w:ind w:firstLine="7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3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scopul respectării prevederilor Legii nr. 239/2008 privind </w:t>
            </w:r>
            <w:proofErr w:type="spellStart"/>
            <w:r w:rsidRPr="00523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transparenţa</w:t>
            </w:r>
            <w:proofErr w:type="spellEnd"/>
            <w:r w:rsidRPr="00523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procesul decizional, proiectul </w:t>
            </w:r>
            <w:proofErr w:type="spellStart"/>
            <w:r w:rsidRPr="00523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Pr="00523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</w:t>
            </w:r>
            <w:r w:rsidR="00706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 plasat</w:t>
            </w:r>
            <w:r w:rsidRPr="00523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pagina web oficială a Ministerului Educației și Cercetării www.mec.gov.md, compartimentul </w:t>
            </w:r>
            <w:r w:rsidR="00B41180" w:rsidRPr="00523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Transparența</w:t>
            </w:r>
            <w:r w:rsidRPr="00523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decizională, precum și pe pagina web </w:t>
            </w:r>
            <w:hyperlink r:id="rId5" w:history="1">
              <w:r w:rsidR="00135090" w:rsidRPr="0086282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www.particip.gov.md</w:t>
              </w:r>
            </w:hyperlink>
            <w:r w:rsidRPr="00523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</w:tc>
      </w:tr>
      <w:tr w:rsidR="002A3C3C" w:rsidRPr="002A3C3C" w14:paraId="0D807033" w14:textId="77777777" w:rsidTr="002A3C3C">
        <w:tc>
          <w:tcPr>
            <w:tcW w:w="9923" w:type="dxa"/>
            <w:shd w:val="clear" w:color="auto" w:fill="D9D9D9" w:themeFill="background1" w:themeFillShade="D9"/>
          </w:tcPr>
          <w:p w14:paraId="15C6FA63" w14:textId="115DF1D3" w:rsidR="002A3C3C" w:rsidRPr="002A3C3C" w:rsidRDefault="002A3C3C" w:rsidP="002A3C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3C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 Constatările expertizei anticorupție</w:t>
            </w:r>
          </w:p>
        </w:tc>
      </w:tr>
      <w:tr w:rsidR="002A3C3C" w:rsidRPr="00AD45AF" w14:paraId="1CD514FA" w14:textId="77777777" w:rsidTr="002A3C3C">
        <w:tc>
          <w:tcPr>
            <w:tcW w:w="9923" w:type="dxa"/>
          </w:tcPr>
          <w:p w14:paraId="739E594F" w14:textId="749AA963" w:rsidR="00135090" w:rsidRPr="005236CE" w:rsidRDefault="00B41180" w:rsidP="00135090">
            <w:pPr>
              <w:spacing w:line="276" w:lineRule="auto"/>
              <w:ind w:firstLine="7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 w:rsidR="008A5EBC"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hotărârii de Guvern </w:t>
            </w:r>
            <w:r w:rsidR="001350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urmează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f</w:t>
            </w:r>
            <w:r w:rsidR="001350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expertizei anticorupție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2A3C3C" w:rsidRPr="00AD45AF" w14:paraId="418BF3F7" w14:textId="77777777" w:rsidTr="00B41180">
        <w:tc>
          <w:tcPr>
            <w:tcW w:w="9923" w:type="dxa"/>
            <w:shd w:val="clear" w:color="auto" w:fill="D9D9D9" w:themeFill="background1" w:themeFillShade="D9"/>
          </w:tcPr>
          <w:p w14:paraId="70E5F8F0" w14:textId="5725231C" w:rsidR="002A3C3C" w:rsidRPr="002A3C3C" w:rsidRDefault="002A3C3C" w:rsidP="002A3C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3C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 Constatările expertizei de compatibilitate cu legislația Uniunii Europene</w:t>
            </w:r>
          </w:p>
        </w:tc>
      </w:tr>
      <w:tr w:rsidR="002A3C3C" w:rsidRPr="00AD45AF" w14:paraId="59249A1E" w14:textId="77777777" w:rsidTr="002A3C3C">
        <w:tc>
          <w:tcPr>
            <w:tcW w:w="9923" w:type="dxa"/>
          </w:tcPr>
          <w:p w14:paraId="207C3C5E" w14:textId="6C61218A" w:rsidR="00135090" w:rsidRPr="005236CE" w:rsidRDefault="002A3C3C" w:rsidP="00135090">
            <w:pPr>
              <w:spacing w:line="276" w:lineRule="auto"/>
              <w:ind w:firstLine="7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hotărârii de Guvern nu conține norme privind armonizarea legislației naționale cu legislația Uniunii Europene. </w:t>
            </w:r>
          </w:p>
        </w:tc>
      </w:tr>
      <w:tr w:rsidR="002A3C3C" w:rsidRPr="00B41180" w14:paraId="799F8D0D" w14:textId="77777777" w:rsidTr="00B41180">
        <w:tc>
          <w:tcPr>
            <w:tcW w:w="9923" w:type="dxa"/>
            <w:shd w:val="clear" w:color="auto" w:fill="D9D9D9" w:themeFill="background1" w:themeFillShade="D9"/>
          </w:tcPr>
          <w:p w14:paraId="135687AC" w14:textId="78DB5C48" w:rsidR="002A3C3C" w:rsidRPr="00B41180" w:rsidRDefault="00B41180" w:rsidP="00B411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11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 Constatările expertizei juridice</w:t>
            </w:r>
          </w:p>
        </w:tc>
      </w:tr>
      <w:tr w:rsidR="002A3C3C" w:rsidRPr="00AD45AF" w14:paraId="3987026B" w14:textId="77777777" w:rsidTr="002A3C3C">
        <w:tc>
          <w:tcPr>
            <w:tcW w:w="9923" w:type="dxa"/>
          </w:tcPr>
          <w:p w14:paraId="1FF5F364" w14:textId="65509E98" w:rsidR="00135090" w:rsidRPr="005236CE" w:rsidRDefault="00B41180" w:rsidP="00135090">
            <w:pPr>
              <w:ind w:firstLine="7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 w:rsidR="008A5EBC"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hotărârii de Guvern </w:t>
            </w:r>
            <w:r w:rsidR="001350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urmează </w:t>
            </w: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1350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expertizei juridice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2A3C3C" w:rsidRPr="00B41180" w14:paraId="2AD2C8D8" w14:textId="77777777" w:rsidTr="00B41180">
        <w:tc>
          <w:tcPr>
            <w:tcW w:w="9923" w:type="dxa"/>
            <w:shd w:val="clear" w:color="auto" w:fill="D9D9D9" w:themeFill="background1" w:themeFillShade="D9"/>
          </w:tcPr>
          <w:p w14:paraId="727FC5C3" w14:textId="5C8EB2E7" w:rsidR="002A3C3C" w:rsidRPr="00B41180" w:rsidRDefault="00B41180" w:rsidP="00B411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11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11.Constatările altor expertize</w:t>
            </w:r>
          </w:p>
        </w:tc>
      </w:tr>
      <w:tr w:rsidR="002A3C3C" w:rsidRPr="00AD45AF" w14:paraId="1EB62C9D" w14:textId="77777777" w:rsidTr="002A3C3C">
        <w:tc>
          <w:tcPr>
            <w:tcW w:w="9923" w:type="dxa"/>
          </w:tcPr>
          <w:p w14:paraId="10996DDC" w14:textId="77777777" w:rsidR="008A5EBC" w:rsidRDefault="00B41180" w:rsidP="00B41180">
            <w:pPr>
              <w:spacing w:line="276" w:lineRule="auto"/>
              <w:ind w:firstLine="7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nu conține prevederi de reglementare a activității de întreprinzător în contextul Legii nr. 235/2006 cu privire la principiile de bază de reglementare a activității de întreprinzător, astfel </w:t>
            </w:r>
            <w:proofErr w:type="spellStart"/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decăz</w:t>
            </w:r>
            <w:r w:rsidR="008A5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</w:t>
            </w:r>
            <w:proofErr w:type="spellEnd"/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necesitatea examinării acestuia de către Grupul de lucru pentru reglementarea activității de întreprinzător. </w:t>
            </w:r>
          </w:p>
          <w:p w14:paraId="49A9C720" w14:textId="64CC6707" w:rsidR="002A3C3C" w:rsidRDefault="00B41180" w:rsidP="00B41180">
            <w:pPr>
              <w:spacing w:line="276" w:lineRule="auto"/>
              <w:ind w:firstLine="7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asemenea, proiectul nu cade sub incidența altor expertize necesare a fi efectuate în condițiile Legii nr.100/2017.</w:t>
            </w:r>
          </w:p>
          <w:p w14:paraId="25509022" w14:textId="13269188" w:rsidR="00B41180" w:rsidRPr="005236CE" w:rsidRDefault="00B41180" w:rsidP="00B41180">
            <w:pPr>
              <w:spacing w:line="276" w:lineRule="auto"/>
              <w:ind w:firstLine="7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2BE0E71" w14:textId="77777777" w:rsidR="00F97ACA" w:rsidRDefault="00F97ACA" w:rsidP="00F97ACA">
      <w:pPr>
        <w:spacing w:after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bookmarkStart w:id="0" w:name="_Hlk25140639"/>
      <w:bookmarkStart w:id="1" w:name="_Hlk58310282"/>
    </w:p>
    <w:p w14:paraId="7C91EED1" w14:textId="581CEA70" w:rsidR="00F97ACA" w:rsidRDefault="00F97ACA" w:rsidP="00F97ACA">
      <w:pPr>
        <w:spacing w:after="0"/>
        <w:ind w:firstLine="708"/>
        <w:jc w:val="center"/>
        <w:rPr>
          <w:rFonts w:ascii="Times New Roman" w:eastAsia="Times New Roman" w:hAnsi="Times New Roman"/>
          <w:b/>
          <w:lang w:val="en-US"/>
        </w:rPr>
      </w:pPr>
      <w:bookmarkStart w:id="2" w:name="_Hlk92784058"/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Ministru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proofErr w:type="spellStart"/>
      <w:r w:rsidRPr="0056437A">
        <w:rPr>
          <w:rFonts w:ascii="Times New Roman" w:hAnsi="Times New Roman"/>
          <w:b/>
          <w:sz w:val="24"/>
          <w:szCs w:val="24"/>
          <w:lang w:val="en-US"/>
        </w:rPr>
        <w:t>Anatolie</w:t>
      </w:r>
      <w:proofErr w:type="spellEnd"/>
      <w:r w:rsidRPr="0056437A">
        <w:rPr>
          <w:rFonts w:ascii="Times New Roman" w:hAnsi="Times New Roman"/>
          <w:b/>
          <w:sz w:val="24"/>
          <w:szCs w:val="24"/>
          <w:lang w:val="en-US"/>
        </w:rPr>
        <w:t xml:space="preserve"> TOPALĂ </w:t>
      </w:r>
      <w:bookmarkEnd w:id="0"/>
    </w:p>
    <w:bookmarkEnd w:id="1"/>
    <w:bookmarkEnd w:id="2"/>
    <w:p w14:paraId="0583B45A" w14:textId="77777777" w:rsidR="00F97ACA" w:rsidRPr="00DF2506" w:rsidRDefault="00F97ACA" w:rsidP="00F97ACA">
      <w:pPr>
        <w:pStyle w:val="BodyTextIndent"/>
        <w:spacing w:after="0"/>
        <w:jc w:val="center"/>
        <w:rPr>
          <w:b/>
          <w:color w:val="000000"/>
          <w:lang w:val="ro-MD"/>
        </w:rPr>
      </w:pPr>
    </w:p>
    <w:p w14:paraId="4449FC6A" w14:textId="5F2B25D8" w:rsidR="008A12CB" w:rsidRDefault="008A12CB" w:rsidP="00F97ACA">
      <w:pPr>
        <w:pStyle w:val="BodyTextIndent"/>
        <w:spacing w:after="0"/>
        <w:jc w:val="center"/>
        <w:rPr>
          <w:b/>
          <w:color w:val="000000"/>
          <w:lang w:val="ro-MD"/>
        </w:rPr>
      </w:pPr>
    </w:p>
    <w:p w14:paraId="1557C5DC" w14:textId="634E3C19" w:rsidR="00135090" w:rsidRDefault="00135090" w:rsidP="00F97ACA">
      <w:pPr>
        <w:pStyle w:val="BodyTextIndent"/>
        <w:spacing w:after="0"/>
        <w:jc w:val="center"/>
        <w:rPr>
          <w:b/>
          <w:color w:val="000000"/>
          <w:lang w:val="ro-MD"/>
        </w:rPr>
      </w:pPr>
    </w:p>
    <w:p w14:paraId="4B64673E" w14:textId="77777777" w:rsidR="00135090" w:rsidRDefault="00135090" w:rsidP="00F97ACA">
      <w:pPr>
        <w:pStyle w:val="BodyTextIndent"/>
        <w:spacing w:after="0"/>
        <w:jc w:val="center"/>
        <w:rPr>
          <w:b/>
          <w:color w:val="000000"/>
          <w:lang w:val="ro-MD"/>
        </w:rPr>
      </w:pPr>
    </w:p>
    <w:p w14:paraId="10F2D8B0" w14:textId="77777777" w:rsidR="005B3355" w:rsidRDefault="005B3355" w:rsidP="00F97ACA">
      <w:pPr>
        <w:pStyle w:val="BodyTextIndent"/>
        <w:spacing w:after="0"/>
        <w:jc w:val="center"/>
        <w:rPr>
          <w:b/>
          <w:color w:val="000000"/>
          <w:lang w:val="ro-MD"/>
        </w:rPr>
      </w:pPr>
    </w:p>
    <w:p w14:paraId="416A88FA" w14:textId="77777777" w:rsidR="00135090" w:rsidRDefault="00135090" w:rsidP="00135090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F408AE">
        <w:rPr>
          <w:rFonts w:ascii="Times New Roman" w:hAnsi="Times New Roman"/>
          <w:sz w:val="20"/>
          <w:szCs w:val="20"/>
          <w:lang w:val="ro-RO"/>
        </w:rPr>
        <w:t xml:space="preserve">Ex. </w:t>
      </w:r>
      <w:proofErr w:type="spellStart"/>
      <w:r w:rsidRPr="00F408AE">
        <w:rPr>
          <w:rFonts w:ascii="Times New Roman" w:hAnsi="Times New Roman"/>
          <w:sz w:val="20"/>
          <w:szCs w:val="20"/>
          <w:lang w:val="ro-RO"/>
        </w:rPr>
        <w:t>Ceban</w:t>
      </w:r>
      <w:proofErr w:type="spellEnd"/>
      <w:r w:rsidRPr="00F408AE">
        <w:rPr>
          <w:rFonts w:ascii="Times New Roman" w:hAnsi="Times New Roman"/>
          <w:sz w:val="20"/>
          <w:szCs w:val="20"/>
          <w:lang w:val="ro-RO"/>
        </w:rPr>
        <w:t xml:space="preserve"> Eudochia</w:t>
      </w:r>
      <w:r>
        <w:rPr>
          <w:rFonts w:ascii="Times New Roman" w:hAnsi="Times New Roman"/>
          <w:sz w:val="20"/>
          <w:szCs w:val="20"/>
          <w:lang w:val="ro-RO"/>
        </w:rPr>
        <w:t>, consultant</w:t>
      </w:r>
    </w:p>
    <w:p w14:paraId="57A9DBD0" w14:textId="46C3C360" w:rsidR="000364D0" w:rsidRPr="005236CE" w:rsidRDefault="00135090" w:rsidP="00135090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e-mail: eudochia.ceban@mec.gov.md</w:t>
      </w:r>
    </w:p>
    <w:sectPr w:rsidR="000364D0" w:rsidRPr="005236CE" w:rsidSect="008A12C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9AA"/>
    <w:multiLevelType w:val="hybridMultilevel"/>
    <w:tmpl w:val="5748DFE4"/>
    <w:lvl w:ilvl="0" w:tplc="A8EE393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1E05"/>
    <w:multiLevelType w:val="hybridMultilevel"/>
    <w:tmpl w:val="CADAB51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91E6D"/>
    <w:multiLevelType w:val="hybridMultilevel"/>
    <w:tmpl w:val="F18C3E36"/>
    <w:lvl w:ilvl="0" w:tplc="37366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8003C"/>
    <w:multiLevelType w:val="hybridMultilevel"/>
    <w:tmpl w:val="6FF22BA6"/>
    <w:lvl w:ilvl="0" w:tplc="04090011">
      <w:start w:val="1"/>
      <w:numFmt w:val="decimal"/>
      <w:lvlText w:val="%1)"/>
      <w:lvlJc w:val="left"/>
      <w:pPr>
        <w:ind w:left="1470" w:hanging="360"/>
      </w:pPr>
    </w:lvl>
    <w:lvl w:ilvl="1" w:tplc="08180019" w:tentative="1">
      <w:start w:val="1"/>
      <w:numFmt w:val="lowerLetter"/>
      <w:lvlText w:val="%2."/>
      <w:lvlJc w:val="left"/>
      <w:pPr>
        <w:ind w:left="2190" w:hanging="360"/>
      </w:pPr>
    </w:lvl>
    <w:lvl w:ilvl="2" w:tplc="0818001B" w:tentative="1">
      <w:start w:val="1"/>
      <w:numFmt w:val="lowerRoman"/>
      <w:lvlText w:val="%3."/>
      <w:lvlJc w:val="right"/>
      <w:pPr>
        <w:ind w:left="2910" w:hanging="180"/>
      </w:pPr>
    </w:lvl>
    <w:lvl w:ilvl="3" w:tplc="0818000F" w:tentative="1">
      <w:start w:val="1"/>
      <w:numFmt w:val="decimal"/>
      <w:lvlText w:val="%4."/>
      <w:lvlJc w:val="left"/>
      <w:pPr>
        <w:ind w:left="3630" w:hanging="360"/>
      </w:pPr>
    </w:lvl>
    <w:lvl w:ilvl="4" w:tplc="08180019" w:tentative="1">
      <w:start w:val="1"/>
      <w:numFmt w:val="lowerLetter"/>
      <w:lvlText w:val="%5."/>
      <w:lvlJc w:val="left"/>
      <w:pPr>
        <w:ind w:left="4350" w:hanging="360"/>
      </w:pPr>
    </w:lvl>
    <w:lvl w:ilvl="5" w:tplc="0818001B" w:tentative="1">
      <w:start w:val="1"/>
      <w:numFmt w:val="lowerRoman"/>
      <w:lvlText w:val="%6."/>
      <w:lvlJc w:val="right"/>
      <w:pPr>
        <w:ind w:left="5070" w:hanging="180"/>
      </w:pPr>
    </w:lvl>
    <w:lvl w:ilvl="6" w:tplc="0818000F" w:tentative="1">
      <w:start w:val="1"/>
      <w:numFmt w:val="decimal"/>
      <w:lvlText w:val="%7."/>
      <w:lvlJc w:val="left"/>
      <w:pPr>
        <w:ind w:left="5790" w:hanging="360"/>
      </w:pPr>
    </w:lvl>
    <w:lvl w:ilvl="7" w:tplc="08180019" w:tentative="1">
      <w:start w:val="1"/>
      <w:numFmt w:val="lowerLetter"/>
      <w:lvlText w:val="%8."/>
      <w:lvlJc w:val="left"/>
      <w:pPr>
        <w:ind w:left="6510" w:hanging="360"/>
      </w:pPr>
    </w:lvl>
    <w:lvl w:ilvl="8" w:tplc="081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6E1609E4"/>
    <w:multiLevelType w:val="hybridMultilevel"/>
    <w:tmpl w:val="2B0261F8"/>
    <w:lvl w:ilvl="0" w:tplc="058E7626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E7E16AE"/>
    <w:multiLevelType w:val="hybridMultilevel"/>
    <w:tmpl w:val="F4448D3E"/>
    <w:lvl w:ilvl="0" w:tplc="CC046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127136">
    <w:abstractNumId w:val="4"/>
  </w:num>
  <w:num w:numId="2" w16cid:durableId="843788441">
    <w:abstractNumId w:val="0"/>
  </w:num>
  <w:num w:numId="3" w16cid:durableId="729958493">
    <w:abstractNumId w:val="5"/>
  </w:num>
  <w:num w:numId="4" w16cid:durableId="1304001238">
    <w:abstractNumId w:val="3"/>
  </w:num>
  <w:num w:numId="5" w16cid:durableId="777062227">
    <w:abstractNumId w:val="1"/>
  </w:num>
  <w:num w:numId="6" w16cid:durableId="111132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72A"/>
    <w:rsid w:val="000029C1"/>
    <w:rsid w:val="0002723F"/>
    <w:rsid w:val="000364D0"/>
    <w:rsid w:val="00046119"/>
    <w:rsid w:val="000C3F41"/>
    <w:rsid w:val="000F1C03"/>
    <w:rsid w:val="00103ACC"/>
    <w:rsid w:val="00135090"/>
    <w:rsid w:val="00183C96"/>
    <w:rsid w:val="0026056B"/>
    <w:rsid w:val="00271C76"/>
    <w:rsid w:val="002A3C3C"/>
    <w:rsid w:val="002D7217"/>
    <w:rsid w:val="00357E3C"/>
    <w:rsid w:val="003724D7"/>
    <w:rsid w:val="003735BF"/>
    <w:rsid w:val="003D636E"/>
    <w:rsid w:val="003F37DC"/>
    <w:rsid w:val="00426AF8"/>
    <w:rsid w:val="00450651"/>
    <w:rsid w:val="00494D44"/>
    <w:rsid w:val="004C6111"/>
    <w:rsid w:val="004F4D4C"/>
    <w:rsid w:val="005236CE"/>
    <w:rsid w:val="00546868"/>
    <w:rsid w:val="0055315B"/>
    <w:rsid w:val="0056437A"/>
    <w:rsid w:val="00565781"/>
    <w:rsid w:val="005B3355"/>
    <w:rsid w:val="005E1565"/>
    <w:rsid w:val="005E4FCF"/>
    <w:rsid w:val="00605D61"/>
    <w:rsid w:val="00624300"/>
    <w:rsid w:val="00663108"/>
    <w:rsid w:val="006D710F"/>
    <w:rsid w:val="006E390B"/>
    <w:rsid w:val="00701D71"/>
    <w:rsid w:val="0070624A"/>
    <w:rsid w:val="0076468C"/>
    <w:rsid w:val="00770A48"/>
    <w:rsid w:val="007B3E6D"/>
    <w:rsid w:val="00851DD2"/>
    <w:rsid w:val="008A12CB"/>
    <w:rsid w:val="008A5EBC"/>
    <w:rsid w:val="00907FB0"/>
    <w:rsid w:val="009143AA"/>
    <w:rsid w:val="0093542C"/>
    <w:rsid w:val="00947B59"/>
    <w:rsid w:val="00954BC7"/>
    <w:rsid w:val="00973609"/>
    <w:rsid w:val="009A3535"/>
    <w:rsid w:val="00A67C4E"/>
    <w:rsid w:val="00A97619"/>
    <w:rsid w:val="00AA22FF"/>
    <w:rsid w:val="00AD45AF"/>
    <w:rsid w:val="00B029FA"/>
    <w:rsid w:val="00B32C58"/>
    <w:rsid w:val="00B41180"/>
    <w:rsid w:val="00B50AFE"/>
    <w:rsid w:val="00BE38DB"/>
    <w:rsid w:val="00C52659"/>
    <w:rsid w:val="00CB30FE"/>
    <w:rsid w:val="00CC1E54"/>
    <w:rsid w:val="00CD413D"/>
    <w:rsid w:val="00CE5524"/>
    <w:rsid w:val="00D269AE"/>
    <w:rsid w:val="00D27612"/>
    <w:rsid w:val="00D54203"/>
    <w:rsid w:val="00D565DA"/>
    <w:rsid w:val="00D92C9E"/>
    <w:rsid w:val="00DA572A"/>
    <w:rsid w:val="00E33C2B"/>
    <w:rsid w:val="00E80EB8"/>
    <w:rsid w:val="00EE5CD0"/>
    <w:rsid w:val="00F97ACA"/>
    <w:rsid w:val="00F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2D15"/>
  <w15:docId w15:val="{5893470C-E0DB-488D-B116-0ED7A831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72A"/>
    <w:pPr>
      <w:ind w:left="720"/>
      <w:contextualSpacing/>
    </w:pPr>
  </w:style>
  <w:style w:type="table" w:styleId="TableGrid">
    <w:name w:val="Table Grid"/>
    <w:basedOn w:val="TableNormal"/>
    <w:uiPriority w:val="59"/>
    <w:rsid w:val="00DA572A"/>
    <w:pPr>
      <w:spacing w:after="0" w:line="240" w:lineRule="auto"/>
    </w:pPr>
    <w:rPr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2A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nhideWhenUsed/>
    <w:rsid w:val="00907F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Normal"/>
    <w:rsid w:val="0076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97A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F97A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13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1020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</dc:creator>
  <cp:lastModifiedBy>Gîncu Silviu</cp:lastModifiedBy>
  <cp:revision>32</cp:revision>
  <cp:lastPrinted>2022-10-18T13:27:00Z</cp:lastPrinted>
  <dcterms:created xsi:type="dcterms:W3CDTF">2019-10-30T06:25:00Z</dcterms:created>
  <dcterms:modified xsi:type="dcterms:W3CDTF">2022-10-18T13:28:00Z</dcterms:modified>
</cp:coreProperties>
</file>