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98" w:rsidRPr="002603DE" w:rsidRDefault="00CB1298" w:rsidP="00CB1298">
      <w:pPr>
        <w:spacing w:after="0"/>
        <w:ind w:left="4956"/>
        <w:jc w:val="right"/>
        <w:rPr>
          <w:rFonts w:ascii="Times New Roman" w:hAnsi="Times New Roman" w:cs="Times New Roman"/>
          <w:lang w:val="ro-MD"/>
        </w:rPr>
      </w:pPr>
      <w:r w:rsidRPr="002603DE">
        <w:rPr>
          <w:rFonts w:ascii="Times New Roman" w:hAnsi="Times New Roman" w:cs="Times New Roman"/>
          <w:sz w:val="28"/>
          <w:szCs w:val="28"/>
          <w:lang w:val="ro-MD"/>
        </w:rPr>
        <w:t xml:space="preserve">              </w:t>
      </w:r>
      <w:r w:rsidRPr="002603DE">
        <w:rPr>
          <w:rFonts w:ascii="Times New Roman" w:hAnsi="Times New Roman" w:cs="Times New Roman"/>
          <w:lang w:val="ro-MD"/>
        </w:rPr>
        <w:t>Anexa nr.35</w:t>
      </w:r>
    </w:p>
    <w:p w:rsidR="00CB1298" w:rsidRPr="002603DE" w:rsidRDefault="00CB1298" w:rsidP="00CB1298">
      <w:pPr>
        <w:spacing w:after="0"/>
        <w:ind w:left="4956"/>
        <w:jc w:val="right"/>
        <w:rPr>
          <w:rFonts w:ascii="Times New Roman" w:hAnsi="Times New Roman" w:cs="Times New Roman"/>
          <w:lang w:val="ro-MD"/>
        </w:rPr>
      </w:pPr>
      <w:r w:rsidRPr="002603DE">
        <w:rPr>
          <w:rFonts w:ascii="Times New Roman" w:hAnsi="Times New Roman" w:cs="Times New Roman"/>
          <w:sz w:val="24"/>
          <w:szCs w:val="24"/>
          <w:lang w:val="ro-MD"/>
        </w:rPr>
        <w:t xml:space="preserve">la Regulamentul cu privire la regimul </w:t>
      </w:r>
    </w:p>
    <w:p w:rsidR="00CB1298" w:rsidRPr="002603DE" w:rsidRDefault="00CB1298" w:rsidP="00CB1298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2603DE">
        <w:rPr>
          <w:rFonts w:ascii="Times New Roman" w:hAnsi="Times New Roman" w:cs="Times New Roman"/>
          <w:sz w:val="24"/>
          <w:szCs w:val="24"/>
          <w:lang w:val="ro-MD"/>
        </w:rPr>
        <w:t xml:space="preserve">armelor </w:t>
      </w:r>
      <w:r w:rsidR="002603DE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4"/>
          <w:lang w:val="ro-MD"/>
        </w:rPr>
        <w:t>i al muni</w:t>
      </w:r>
      <w:r w:rsidR="002603DE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4"/>
          <w:lang w:val="ro-MD"/>
        </w:rPr>
        <w:t>iilor cu destina</w:t>
      </w:r>
      <w:r w:rsidR="002603DE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4"/>
          <w:lang w:val="ro-MD"/>
        </w:rPr>
        <w:t xml:space="preserve">ie </w:t>
      </w:r>
    </w:p>
    <w:p w:rsidR="00CB1298" w:rsidRPr="002603DE" w:rsidRDefault="00CB1298" w:rsidP="00CB1298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2603DE">
        <w:rPr>
          <w:rFonts w:ascii="Times New Roman" w:hAnsi="Times New Roman" w:cs="Times New Roman"/>
          <w:sz w:val="24"/>
          <w:szCs w:val="24"/>
          <w:lang w:val="ro-MD"/>
        </w:rPr>
        <w:t>civilă</w:t>
      </w:r>
    </w:p>
    <w:p w:rsidR="00CB1298" w:rsidRPr="002603DE" w:rsidRDefault="00CB1298" w:rsidP="006E1A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CB1298" w:rsidRPr="002603DE" w:rsidRDefault="00CB1298" w:rsidP="006E1A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CB1298" w:rsidRPr="002603DE" w:rsidRDefault="006E1AB4" w:rsidP="006E1AB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b/>
          <w:sz w:val="24"/>
          <w:szCs w:val="28"/>
          <w:lang w:val="ro-MD"/>
        </w:rPr>
        <w:t>CERIN</w:t>
      </w:r>
      <w:r w:rsidR="002603DE">
        <w:rPr>
          <w:rFonts w:ascii="Times New Roman" w:hAnsi="Times New Roman" w:cs="Times New Roman"/>
          <w:b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b/>
          <w:sz w:val="24"/>
          <w:szCs w:val="28"/>
          <w:lang w:val="ro-MD"/>
        </w:rPr>
        <w:t xml:space="preserve">ELE </w:t>
      </w:r>
    </w:p>
    <w:p w:rsidR="006E1AB4" w:rsidRPr="002603DE" w:rsidRDefault="006E1AB4" w:rsidP="006E1AB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b/>
          <w:sz w:val="24"/>
          <w:szCs w:val="28"/>
          <w:lang w:val="ro-MD"/>
        </w:rPr>
        <w:t xml:space="preserve">PRIVIND DEZACTIVAREA ARMELOR </w:t>
      </w:r>
      <w:r w:rsidR="00026C63" w:rsidRPr="002603DE">
        <w:rPr>
          <w:rFonts w:ascii="Times New Roman" w:hAnsi="Times New Roman" w:cs="Times New Roman"/>
          <w:b/>
          <w:sz w:val="24"/>
          <w:szCs w:val="28"/>
          <w:lang w:val="ro-MD"/>
        </w:rPr>
        <w:t xml:space="preserve">LETALE </w:t>
      </w:r>
      <w:r w:rsidR="002603DE">
        <w:rPr>
          <w:rFonts w:ascii="Times New Roman" w:hAnsi="Times New Roman" w:cs="Times New Roman"/>
          <w:b/>
          <w:sz w:val="24"/>
          <w:szCs w:val="28"/>
          <w:lang w:val="ro-MD"/>
        </w:rPr>
        <w:t>Ș</w:t>
      </w:r>
      <w:r w:rsidR="00026C63" w:rsidRPr="002603DE">
        <w:rPr>
          <w:rFonts w:ascii="Times New Roman" w:hAnsi="Times New Roman" w:cs="Times New Roman"/>
          <w:b/>
          <w:sz w:val="24"/>
          <w:szCs w:val="28"/>
          <w:lang w:val="ro-MD"/>
        </w:rPr>
        <w:t>I NELETALE</w:t>
      </w:r>
    </w:p>
    <w:p w:rsidR="006E1AB4" w:rsidRPr="002603DE" w:rsidRDefault="006E1AB4" w:rsidP="006E1AB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ro-MD"/>
        </w:rPr>
      </w:pP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b/>
          <w:sz w:val="24"/>
          <w:szCs w:val="28"/>
          <w:lang w:val="ro-MD"/>
        </w:rPr>
        <w:t>1.</w:t>
      </w:r>
      <w:r w:rsidR="002603DE">
        <w:rPr>
          <w:rFonts w:ascii="Times New Roman" w:hAnsi="Times New Roman" w:cs="Times New Roman"/>
          <w:b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b/>
          <w:sz w:val="24"/>
          <w:szCs w:val="28"/>
          <w:lang w:val="ro-MD"/>
        </w:rPr>
        <w:t xml:space="preserve">eava (inclusiv cea de rezervă): 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1) se taie o fantă longitudinală prin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eavă, inclusiv prin camera cartu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ului din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eavă: lă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imea: &gt; ½ din calibru; lungimea: în cazul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evilor ghintuite, de trei ori mai mare decât lungimea camerei cartu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ului, în cazul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evilor lise, de două ori mai mare decât lungimea camerei cartu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ului, în cazul revolverelor minimum ½ din lungimea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evii, măsurată de la conul de for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are;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2) la pistoale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 revolvere se perforează transversal un orificiu prin camera cartu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ului prin ambii pere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i, prin orificiu fiind introdus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 sudat solid un bol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 din o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el călit cu diametrul &gt; 50 % decât cel al camerei cartu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ului, minimum </w:t>
      </w:r>
      <w:smartTag w:uri="urn:schemas-microsoft-com:office:smarttags" w:element="metricconverter">
        <w:smartTagPr>
          <w:attr w:name="ProductID" w:val="4,5 mm"/>
        </w:smartTagPr>
        <w:r w:rsidRPr="002603DE">
          <w:rPr>
            <w:rFonts w:ascii="Times New Roman" w:hAnsi="Times New Roman" w:cs="Times New Roman"/>
            <w:sz w:val="24"/>
            <w:szCs w:val="28"/>
            <w:lang w:val="ro-MD"/>
          </w:rPr>
          <w:t>4,5 mm</w:t>
        </w:r>
      </w:smartTag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; 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3) în cazul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evii de rezervă ce nu sunt montate la arma de foc, se aplică procedeele de mai sus. În plus, trebuie să se prevină în mod permanent posibilitatea ca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evile să mai poată fi montate pe o armă de foc prin tăiere, sudură, alipire sau prin utilizarea unor măsuri adecvate cu grad echivalent de permanen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ă;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4) se fixează în mod permanent de armă prin sudură, alipire sau prin utilizarea unor măsuri adecvate cu grad echivalent de permanen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ă. Poate fi utilizat în acest scop bol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ul folosit la procedeul descris mai sus;</w:t>
      </w:r>
    </w:p>
    <w:p w:rsidR="006E1AB4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5) se înlătură rampa de alimentare a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evii.</w:t>
      </w:r>
    </w:p>
    <w:p w:rsidR="00413238" w:rsidRPr="002603DE" w:rsidRDefault="00413238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bookmarkStart w:id="0" w:name="_GoBack"/>
      <w:bookmarkEnd w:id="0"/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b/>
          <w:sz w:val="24"/>
          <w:szCs w:val="28"/>
          <w:lang w:val="ro-MD"/>
        </w:rPr>
        <w:t>2. Închizătorul/Man</w:t>
      </w:r>
      <w:r w:rsidR="002603DE">
        <w:rPr>
          <w:rFonts w:ascii="Times New Roman" w:hAnsi="Times New Roman" w:cs="Times New Roman"/>
          <w:b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b/>
          <w:sz w:val="24"/>
          <w:szCs w:val="28"/>
          <w:lang w:val="ro-MD"/>
        </w:rPr>
        <w:t>onul închizător (inclusiv cele demontabile):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1) se înlătură percutorul;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2) se lărge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te loca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ul pentru percutor </w:t>
      </w:r>
      <w:r w:rsidR="002603DE" w:rsidRPr="002603DE">
        <w:rPr>
          <w:rFonts w:ascii="Times New Roman" w:hAnsi="Times New Roman" w:cs="Times New Roman"/>
          <w:sz w:val="24"/>
          <w:szCs w:val="28"/>
          <w:lang w:val="ro-MD"/>
        </w:rPr>
        <w:t>până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 la diametrul de cel pu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in 5mm, apoi orificiul se sudează;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3) s</w:t>
      </w:r>
      <w:r w:rsidR="009C70B0"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e prelucrează sau 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se elimină peretele frontal al închizătorului la un unghi între 45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 75 de grade măsurat din unghiul peretelui frontal ini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ial. Materialul se </w:t>
      </w:r>
      <w:r w:rsidR="002603DE" w:rsidRPr="002603DE">
        <w:rPr>
          <w:rFonts w:ascii="Times New Roman" w:hAnsi="Times New Roman" w:cs="Times New Roman"/>
          <w:sz w:val="24"/>
          <w:szCs w:val="28"/>
          <w:lang w:val="ro-MD"/>
        </w:rPr>
        <w:t>îndepărtează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 pe toată suprafa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a peretelui frontal al închizătorului. Toate pârghiile de blocare ale închizătorului se îndepărtează sau substan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ial se slăbesc prin prelucrare.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4) se îndepărtează pârghiile de blocare din interiorul man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onului;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5) dacă blocul închizător poate fi scos din corpul man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onului, blocul închizător dezactivat se fixează definitiv de corpul man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onului;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6) închizătorul se fixează în mod permanent de arma de foc prin sudură, alipire sau prin utilizarea unor măsuri adecvate cu grad echivalent de permanen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ă;</w:t>
      </w:r>
    </w:p>
    <w:p w:rsidR="006E1AB4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7) în cazul în care închizătorul este încorporat în port-închizător, port-închizătorul se reduce cu minimum 50 % din masa originală. Capul închizătorului se fixează în mod permanent de port-închizător, iar port-închizătorul se fixează definitiv de arma de foc prin sudură, alipire sau prin utilizarea unor măsuri adecvate cu grad echivalent de permanen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ă.</w:t>
      </w:r>
    </w:p>
    <w:p w:rsidR="00413238" w:rsidRPr="002603DE" w:rsidRDefault="00413238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b/>
          <w:sz w:val="24"/>
          <w:szCs w:val="28"/>
          <w:lang w:val="ro-MD"/>
        </w:rPr>
        <w:t>3. Tamburul revolverelor: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1) se elimină prin prelucrare to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 pere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ii interiori din tambur pe o distan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ă egală cu minimum ⅔ din lungimea sa, în mod ideal la diametrul camerei, fără a afecta peretele extern al tamburului;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2) în cazul în care este posibil, se aplică o sudură pentru a preveni înlăturarea cilindrului din carcasă sau se folosesc măsuri adecvate, precum fixarea cu bol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, care fac imposibilă înlăturarea;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3) în cazul cilindrilor de schimb ce nu sunt monta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 la arma de foc, se aplică procedeul descris mai sus. În plus, trebuie să se prevină în mod permanent posibilitatea ca cilindrul să mai poată fi montat pe o armă de foc prin tăiere, sudură, alipire sau prin utilizarea unor măsuri adecvate cu grad echivalent de permanen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ă.</w:t>
      </w:r>
    </w:p>
    <w:p w:rsidR="00CB1298" w:rsidRPr="002603DE" w:rsidRDefault="00CB1298" w:rsidP="006E1A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  <w:lang w:val="ro-MD"/>
        </w:rPr>
      </w:pPr>
    </w:p>
    <w:p w:rsidR="00CB1298" w:rsidRPr="002603DE" w:rsidRDefault="00CB1298" w:rsidP="006E1A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  <w:lang w:val="ro-MD"/>
        </w:rPr>
      </w:pP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b/>
          <w:sz w:val="24"/>
          <w:szCs w:val="28"/>
          <w:lang w:val="ro-MD"/>
        </w:rPr>
        <w:t xml:space="preserve">4. Corpul: 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1) se înlătură rampa de alimentare;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2) se înlătură 2/3 din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inele de ghidare de pe ambele păr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 ale corpului;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3) se înlătură percutorul, se extinde orificiul cuiului percutor până la un diametru de trei ori mai mare fa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ă de dimensiunea ini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ială (la revolvere).</w:t>
      </w:r>
    </w:p>
    <w:p w:rsidR="00CB1298" w:rsidRPr="002603DE" w:rsidRDefault="00CB1298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b/>
          <w:sz w:val="24"/>
          <w:szCs w:val="28"/>
          <w:lang w:val="ro-MD"/>
        </w:rPr>
        <w:t xml:space="preserve">5. Mecanismul de dare a focului: 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1) se asigură distrugerea legăturii fizice de operare dintre trăgaci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 coco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, percutor sau pârghia de declan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are;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2) se contope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te mecanismul trăgaciului prin sudură în cadrul corpului, unde este cazul. În cazul în care nu este posibilă o astfel de îmbinare prin sudură, se îndepărtează mecanismul trăgaciului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 se umple locul acestuia cu sudură sau cu ră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ină epoxidică. În cazul în care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eava are rol de piston de gaze, se sudează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eava dezactivată de corpul armei. În toate cazurile în care există orificiu/canal de preluare a gazelor, acesta se închide prin sudură;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3) mecanismul trăgaciului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i/sau cadrul ansamblului mecanismului trăgaciului se sudează de carcasă (în cazul carcasei metalice) sau se lipe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te de carcasă cu adeziv rezistent la temperaturi ridicate (în cazul carcasei din metal u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or sau din polimer);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4) se distrug prin tăiere sau sudură pistonul de gaze, tubul de gaze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i canalul de preluare a gazelor. În cazul în care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eava are rol de piston de gaze, se sudează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eava dezactivată de carcasă. În toate cazurile în care există un orificiu/canal de preluare a gazelor, acesta se închide prin sudură;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5) se îndepărtează percutorul, se măre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te orificiul percutorului până la un diametru minim de </w:t>
      </w:r>
      <w:smartTag w:uri="urn:schemas-microsoft-com:office:smarttags" w:element="metricconverter">
        <w:smartTagPr>
          <w:attr w:name="ProductID" w:val="5 mm"/>
        </w:smartTagPr>
        <w:r w:rsidRPr="002603DE">
          <w:rPr>
            <w:rFonts w:ascii="Times New Roman" w:hAnsi="Times New Roman" w:cs="Times New Roman"/>
            <w:sz w:val="24"/>
            <w:szCs w:val="28"/>
            <w:lang w:val="ro-MD"/>
          </w:rPr>
          <w:t>5 mm</w:t>
        </w:r>
      </w:smartTag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 se sudează orificiul percutorului;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6) se înlătură percutorul.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7) la armele cu încărcare prin gura de foc se înlătură tubul pentru ini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ierea împu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căturii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 se sudează orificiul de ini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iere a împu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căturii.</w:t>
      </w:r>
    </w:p>
    <w:p w:rsidR="00CB1298" w:rsidRPr="002603DE" w:rsidRDefault="00CB1298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b/>
          <w:sz w:val="24"/>
          <w:szCs w:val="28"/>
          <w:lang w:val="ro-MD"/>
        </w:rPr>
        <w:t xml:space="preserve">6. Încărcătorul: 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1) se fixează încărcătorul prin puncte de sudură sau prin măsuri adecvate cu grad echivalent de permanen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ă, în func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ie de tipul de armă, pentru a împiedica înlăturarea încărcătorului;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2) în cazul în care încărcătorul lipse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te, se aplică puncte de sudură sau măsuri adecvate în loca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ul încărcătorului sau se fixează un blocaj pentru a împiedica definitiv inserarea încărcătorului;</w:t>
      </w:r>
    </w:p>
    <w:p w:rsidR="006E1AB4" w:rsidRPr="002603DE" w:rsidRDefault="006E1AB4" w:rsidP="006E1A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val="ro-MD"/>
        </w:rPr>
      </w:pPr>
      <w:r w:rsidRPr="002603DE">
        <w:rPr>
          <w:rFonts w:ascii="Times New Roman" w:hAnsi="Times New Roman" w:cs="Times New Roman"/>
          <w:sz w:val="24"/>
          <w:szCs w:val="28"/>
          <w:lang w:val="ro-MD"/>
        </w:rPr>
        <w:t>3) în cazul încărcătoarelor tubulare, se introduc unul sau mai multe bol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uri din o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ț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el călit prin încărcător, camera cartu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 xml:space="preserve">ului </w:t>
      </w:r>
      <w:r w:rsidR="002603DE">
        <w:rPr>
          <w:rFonts w:ascii="Times New Roman" w:hAnsi="Times New Roman" w:cs="Times New Roman"/>
          <w:sz w:val="24"/>
          <w:szCs w:val="28"/>
          <w:lang w:val="ro-MD"/>
        </w:rPr>
        <w:t>ș</w:t>
      </w:r>
      <w:r w:rsidRPr="002603DE">
        <w:rPr>
          <w:rFonts w:ascii="Times New Roman" w:hAnsi="Times New Roman" w:cs="Times New Roman"/>
          <w:sz w:val="24"/>
          <w:szCs w:val="28"/>
          <w:lang w:val="ro-MD"/>
        </w:rPr>
        <w:t>i carcasă, fixându-le definitiv împreună. Se asigură fixarea prin sudură.”</w:t>
      </w:r>
    </w:p>
    <w:sectPr w:rsidR="006E1AB4" w:rsidRPr="002603DE" w:rsidSect="00CB1298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B4"/>
    <w:rsid w:val="00026C63"/>
    <w:rsid w:val="002603DE"/>
    <w:rsid w:val="00413238"/>
    <w:rsid w:val="00433154"/>
    <w:rsid w:val="006E1AB4"/>
    <w:rsid w:val="009C65E0"/>
    <w:rsid w:val="009C70B0"/>
    <w:rsid w:val="00A40786"/>
    <w:rsid w:val="00C6082E"/>
    <w:rsid w:val="00C86140"/>
    <w:rsid w:val="00CB1298"/>
    <w:rsid w:val="00ED244A"/>
    <w:rsid w:val="00E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5EDF6-D067-410C-8F67-8DFFC9EA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AB4"/>
    <w:pPr>
      <w:spacing w:after="200" w:line="276" w:lineRule="auto"/>
    </w:pPr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Spacing1">
    <w:name w:val="No Spacing1"/>
    <w:rsid w:val="00CB12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val="ro-RO"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.Admin</dc:creator>
  <cp:keywords/>
  <dc:description/>
  <cp:lastModifiedBy>.Admin</cp:lastModifiedBy>
  <cp:revision>6</cp:revision>
  <dcterms:created xsi:type="dcterms:W3CDTF">2022-03-07T07:23:00Z</dcterms:created>
  <dcterms:modified xsi:type="dcterms:W3CDTF">2022-04-12T07:37:00Z</dcterms:modified>
</cp:coreProperties>
</file>