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A48A5" w:rsidRPr="00716739" w:rsidTr="003554C4">
        <w:tc>
          <w:tcPr>
            <w:tcW w:w="5000" w:type="pct"/>
          </w:tcPr>
          <w:p w:rsidR="004A48A5" w:rsidRPr="00716739" w:rsidRDefault="004A48A5" w:rsidP="004A48A5">
            <w:pPr>
              <w:tabs>
                <w:tab w:val="right" w:pos="93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716739">
              <w:rPr>
                <w:noProof/>
                <w:sz w:val="26"/>
                <w:szCs w:val="26"/>
                <w:lang w:eastAsia="zh-CN"/>
              </w:rPr>
              <w:drawing>
                <wp:anchor distT="0" distB="0" distL="114300" distR="114300" simplePos="0" relativeHeight="251659264" behindDoc="0" locked="0" layoutInCell="0" allowOverlap="1" wp14:anchorId="48EFB938" wp14:editId="2FA165EC">
                  <wp:simplePos x="0" y="0"/>
                  <wp:positionH relativeFrom="column">
                    <wp:posOffset>2520315</wp:posOffset>
                  </wp:positionH>
                  <wp:positionV relativeFrom="line">
                    <wp:posOffset>-306705</wp:posOffset>
                  </wp:positionV>
                  <wp:extent cx="752400" cy="860400"/>
                  <wp:effectExtent l="0" t="0" r="0" b="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716739">
              <w:rPr>
                <w:sz w:val="26"/>
                <w:szCs w:val="26"/>
              </w:rPr>
              <w:tab/>
            </w:r>
            <w:r w:rsidRPr="00716739">
              <w:rPr>
                <w:rFonts w:ascii="Times New Roman" w:hAnsi="Times New Roman"/>
                <w:sz w:val="26"/>
                <w:szCs w:val="26"/>
              </w:rPr>
              <w:t>Proiect</w:t>
            </w:r>
          </w:p>
          <w:p w:rsidR="004A48A5" w:rsidRPr="00716739" w:rsidRDefault="004A48A5" w:rsidP="004A48A5">
            <w:pPr>
              <w:tabs>
                <w:tab w:val="left" w:pos="6684"/>
              </w:tabs>
              <w:spacing w:after="200" w:line="276" w:lineRule="auto"/>
              <w:rPr>
                <w:noProof/>
                <w:sz w:val="26"/>
                <w:szCs w:val="26"/>
              </w:rPr>
            </w:pPr>
            <w:r w:rsidRPr="00716739">
              <w:rPr>
                <w:sz w:val="26"/>
                <w:szCs w:val="26"/>
              </w:rPr>
              <w:tab/>
            </w:r>
            <w:r w:rsidRPr="00716739">
              <w:rPr>
                <w:noProof/>
                <w:sz w:val="26"/>
                <w:szCs w:val="26"/>
              </w:rPr>
              <w:tab/>
            </w:r>
            <w:r w:rsidRPr="00716739">
              <w:rPr>
                <w:noProof/>
                <w:sz w:val="26"/>
                <w:szCs w:val="26"/>
              </w:rPr>
              <w:tab/>
              <w:t xml:space="preserve">                </w:t>
            </w:r>
          </w:p>
        </w:tc>
      </w:tr>
      <w:tr w:rsidR="004A48A5" w:rsidRPr="00716739" w:rsidTr="003554C4">
        <w:tc>
          <w:tcPr>
            <w:tcW w:w="5000" w:type="pct"/>
          </w:tcPr>
          <w:p w:rsidR="004A48A5" w:rsidRPr="00716739" w:rsidRDefault="004A48A5" w:rsidP="004A48A5">
            <w:pPr>
              <w:keepNext/>
              <w:jc w:val="center"/>
              <w:outlineLvl w:val="7"/>
              <w:rPr>
                <w:rFonts w:ascii="Times New Roman" w:eastAsia="Times New Roman" w:hAnsi="Times New Roman"/>
                <w:b/>
                <w:color w:val="000080"/>
                <w:sz w:val="26"/>
                <w:szCs w:val="26"/>
                <w:lang w:val="ro-RO"/>
              </w:rPr>
            </w:pPr>
          </w:p>
          <w:p w:rsidR="004A48A5" w:rsidRPr="00716739" w:rsidRDefault="004A48A5" w:rsidP="004A48A5">
            <w:pPr>
              <w:keepNext/>
              <w:jc w:val="center"/>
              <w:outlineLvl w:val="7"/>
              <w:rPr>
                <w:rFonts w:ascii="Times New Roman" w:eastAsia="Times New Roman" w:hAnsi="Times New Roman"/>
                <w:b/>
                <w:spacing w:val="20"/>
                <w:sz w:val="26"/>
                <w:szCs w:val="26"/>
                <w:lang w:val="ro-RO"/>
              </w:rPr>
            </w:pPr>
            <w:r w:rsidRPr="00716739">
              <w:rPr>
                <w:rFonts w:ascii="Times New Roman" w:eastAsia="Times New Roman" w:hAnsi="Times New Roman"/>
                <w:b/>
                <w:spacing w:val="20"/>
                <w:sz w:val="26"/>
                <w:szCs w:val="26"/>
                <w:lang w:val="ro-RO"/>
              </w:rPr>
              <w:t>GUVERNUL  REPUBLICII  MOLDOVA</w:t>
            </w:r>
          </w:p>
          <w:p w:rsidR="004A48A5" w:rsidRPr="00716739" w:rsidRDefault="004A48A5" w:rsidP="004A48A5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  <w:p w:rsidR="004A48A5" w:rsidRPr="00716739" w:rsidRDefault="004A48A5" w:rsidP="004A48A5">
            <w:pPr>
              <w:keepNext/>
              <w:jc w:val="center"/>
              <w:outlineLvl w:val="7"/>
              <w:rPr>
                <w:rFonts w:ascii="Times New Roman" w:eastAsia="Times New Roman" w:hAnsi="Times New Roman"/>
                <w:b/>
                <w:sz w:val="26"/>
                <w:szCs w:val="26"/>
                <w:lang w:val="ro-RO"/>
              </w:rPr>
            </w:pPr>
            <w:r w:rsidRPr="00716739">
              <w:rPr>
                <w:rFonts w:ascii="Times New Roman" w:eastAsia="Times New Roman" w:hAnsi="Times New Roman"/>
                <w:b/>
                <w:spacing w:val="40"/>
                <w:sz w:val="26"/>
                <w:szCs w:val="26"/>
                <w:lang w:val="ro-RO"/>
              </w:rPr>
              <w:t>HOTĂRÂRE</w:t>
            </w:r>
            <w:r w:rsidRPr="00716739">
              <w:rPr>
                <w:rFonts w:ascii="Times New Roman" w:eastAsia="Times New Roman" w:hAnsi="Times New Roman"/>
                <w:b/>
                <w:sz w:val="26"/>
                <w:szCs w:val="26"/>
                <w:lang w:val="ro-RO"/>
              </w:rPr>
              <w:t xml:space="preserve"> nr. ____</w:t>
            </w:r>
          </w:p>
          <w:p w:rsidR="004A48A5" w:rsidRPr="00716739" w:rsidRDefault="004A48A5" w:rsidP="004A48A5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  <w:p w:rsidR="004A48A5" w:rsidRPr="00716739" w:rsidRDefault="004A48A5" w:rsidP="004A48A5">
            <w:pPr>
              <w:spacing w:after="200"/>
              <w:jc w:val="center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716739">
              <w:rPr>
                <w:rFonts w:ascii="Times New Roman" w:hAnsi="Times New Roman"/>
                <w:b/>
                <w:sz w:val="26"/>
                <w:szCs w:val="26"/>
                <w:u w:val="single"/>
                <w:lang w:val="ro-RO"/>
              </w:rPr>
              <w:t>din                                        2022</w:t>
            </w:r>
          </w:p>
          <w:p w:rsidR="004A48A5" w:rsidRPr="00716739" w:rsidRDefault="004A48A5" w:rsidP="00100E3C">
            <w:pPr>
              <w:spacing w:before="120" w:after="200"/>
              <w:jc w:val="center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716739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Chișinău</w:t>
            </w:r>
          </w:p>
        </w:tc>
      </w:tr>
    </w:tbl>
    <w:p w:rsidR="004A48A5" w:rsidRPr="000263EC" w:rsidRDefault="004A48A5" w:rsidP="004A4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val="ro-MO"/>
        </w:rPr>
      </w:pPr>
      <w:r w:rsidRPr="000263EC">
        <w:rPr>
          <w:rFonts w:ascii="Times New Roman" w:hAnsi="Times New Roman" w:cs="Times New Roman"/>
          <w:b/>
          <w:bCs/>
          <w:color w:val="000000"/>
          <w:sz w:val="26"/>
          <w:szCs w:val="26"/>
          <w:lang w:val="ro-MO"/>
        </w:rPr>
        <w:t>Cu privire la eliberarea păcurii din rezervele de stat cu titlu de împrumut</w:t>
      </w:r>
    </w:p>
    <w:p w:rsidR="004A48A5" w:rsidRPr="000263EC" w:rsidRDefault="004A48A5" w:rsidP="004A4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o-MO"/>
        </w:rPr>
      </w:pPr>
      <w:r w:rsidRPr="000263EC">
        <w:rPr>
          <w:rFonts w:ascii="Times New Roman" w:hAnsi="Times New Roman" w:cs="Times New Roman"/>
          <w:b/>
          <w:bCs/>
          <w:color w:val="000000"/>
          <w:sz w:val="26"/>
          <w:szCs w:val="26"/>
          <w:lang w:val="ro-MO"/>
        </w:rPr>
        <w:t>-----------------------------------------------------------</w:t>
      </w:r>
    </w:p>
    <w:p w:rsidR="004A48A5" w:rsidRPr="000263EC" w:rsidRDefault="004A48A5" w:rsidP="004A4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val="ro-MO"/>
        </w:rPr>
      </w:pPr>
    </w:p>
    <w:p w:rsidR="004A48A5" w:rsidRPr="000263EC" w:rsidRDefault="004A48A5" w:rsidP="004A48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o-MO"/>
        </w:rPr>
      </w:pPr>
      <w:r w:rsidRPr="000263EC">
        <w:rPr>
          <w:rFonts w:ascii="Times New Roman" w:hAnsi="Times New Roman" w:cs="Times New Roman"/>
          <w:color w:val="000000"/>
          <w:sz w:val="26"/>
          <w:szCs w:val="26"/>
          <w:lang w:val="ro-MO"/>
        </w:rPr>
        <w:t>În temeiul art</w:t>
      </w:r>
      <w:r w:rsidR="003F4D62" w:rsidRPr="000263EC">
        <w:rPr>
          <w:rFonts w:ascii="Times New Roman" w:hAnsi="Times New Roman" w:cs="Times New Roman"/>
          <w:color w:val="000000"/>
          <w:sz w:val="26"/>
          <w:szCs w:val="26"/>
          <w:lang w:val="ro-MO"/>
        </w:rPr>
        <w:t>. 10 alin. (1), alin. (2) lit. d</w:t>
      </w:r>
      <w:r w:rsidR="00100E3C" w:rsidRPr="000263EC">
        <w:rPr>
          <w:rFonts w:ascii="Times New Roman" w:hAnsi="Times New Roman" w:cs="Times New Roman"/>
          <w:color w:val="000000"/>
          <w:sz w:val="26"/>
          <w:szCs w:val="26"/>
          <w:lang w:val="ro-MO"/>
        </w:rPr>
        <w:t>) și alin. (3)</w:t>
      </w:r>
      <w:r w:rsidR="0052220B" w:rsidRPr="000263EC">
        <w:rPr>
          <w:rFonts w:ascii="Times New Roman" w:hAnsi="Times New Roman" w:cs="Times New Roman"/>
          <w:color w:val="000000"/>
          <w:sz w:val="26"/>
          <w:szCs w:val="26"/>
          <w:lang w:val="ro-MO"/>
        </w:rPr>
        <w:t xml:space="preserve"> </w:t>
      </w:r>
      <w:r w:rsidRPr="000263EC">
        <w:rPr>
          <w:rFonts w:ascii="Times New Roman" w:hAnsi="Times New Roman" w:cs="Times New Roman"/>
          <w:color w:val="000000"/>
          <w:sz w:val="26"/>
          <w:szCs w:val="26"/>
          <w:lang w:val="ro-MO"/>
        </w:rPr>
        <w:t xml:space="preserve">din Legea nr. 104/2020 cu privire la rezervele de stat și de mobilizare (Monitorul Oficial al Republicii Moldova, 2020, nr.178-179, art.332), cu modificările ulterioare, Guvernul HOTĂRĂȘTE: </w:t>
      </w:r>
    </w:p>
    <w:p w:rsidR="00100E3C" w:rsidRPr="000263EC" w:rsidRDefault="00100E3C" w:rsidP="004A48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o-MO"/>
        </w:rPr>
      </w:pPr>
    </w:p>
    <w:p w:rsidR="00100E3C" w:rsidRPr="000263EC" w:rsidRDefault="00100E3C" w:rsidP="00100E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o-MO"/>
        </w:rPr>
      </w:pPr>
      <w:r w:rsidRPr="000263EC">
        <w:rPr>
          <w:rFonts w:ascii="Times New Roman" w:hAnsi="Times New Roman" w:cs="Times New Roman"/>
          <w:b/>
          <w:color w:val="000000"/>
          <w:sz w:val="26"/>
          <w:szCs w:val="26"/>
          <w:lang w:val="ro-MO"/>
        </w:rPr>
        <w:t xml:space="preserve">1. </w:t>
      </w:r>
      <w:r w:rsidRPr="000263EC">
        <w:rPr>
          <w:rFonts w:ascii="Times New Roman" w:hAnsi="Times New Roman" w:cs="Times New Roman"/>
          <w:sz w:val="26"/>
          <w:szCs w:val="26"/>
          <w:shd w:val="clear" w:color="auto" w:fill="FFFFFF"/>
          <w:lang w:val="ro-MO"/>
        </w:rPr>
        <w:t>Agenţia Rezerve Materiale din subordinea Ministerului Afacerilor Interne va elibera</w:t>
      </w:r>
      <w:r w:rsidR="006A61BB" w:rsidRPr="000263EC">
        <w:rPr>
          <w:rFonts w:ascii="Times New Roman" w:hAnsi="Times New Roman" w:cs="Times New Roman"/>
          <w:sz w:val="26"/>
          <w:szCs w:val="26"/>
          <w:shd w:val="clear" w:color="auto" w:fill="FFFFFF"/>
          <w:lang w:val="ro-MO"/>
        </w:rPr>
        <w:t xml:space="preserve"> imediat din rezervele de stat,</w:t>
      </w:r>
      <w:r w:rsidRPr="000263EC">
        <w:rPr>
          <w:rFonts w:ascii="Times New Roman" w:hAnsi="Times New Roman" w:cs="Times New Roman"/>
          <w:sz w:val="26"/>
          <w:szCs w:val="26"/>
          <w:shd w:val="clear" w:color="auto" w:fill="FFFFFF"/>
          <w:lang w:val="ro-MO"/>
        </w:rPr>
        <w:t xml:space="preserve"> cu titlu de împrumut</w:t>
      </w:r>
      <w:r w:rsidR="006A61BB" w:rsidRPr="000263EC">
        <w:rPr>
          <w:rFonts w:ascii="Times New Roman" w:hAnsi="Times New Roman" w:cs="Times New Roman"/>
          <w:sz w:val="26"/>
          <w:szCs w:val="26"/>
          <w:shd w:val="clear" w:color="auto" w:fill="FFFFFF"/>
          <w:lang w:val="ro-MO"/>
        </w:rPr>
        <w:t xml:space="preserve">, </w:t>
      </w:r>
      <w:r w:rsidRPr="000263EC">
        <w:rPr>
          <w:rFonts w:ascii="Times New Roman" w:hAnsi="Times New Roman" w:cs="Times New Roman"/>
          <w:sz w:val="26"/>
          <w:szCs w:val="26"/>
          <w:shd w:val="clear" w:color="auto" w:fill="FFFFFF"/>
          <w:lang w:val="ro-MO"/>
        </w:rPr>
        <w:t xml:space="preserve">către </w:t>
      </w:r>
      <w:r w:rsidRPr="000263EC">
        <w:rPr>
          <w:rFonts w:ascii="Times New Roman" w:hAnsi="Times New Roman" w:cs="Times New Roman"/>
          <w:sz w:val="26"/>
          <w:szCs w:val="26"/>
          <w:lang w:val="ro-MO"/>
        </w:rPr>
        <w:t>S.A. „Termoelectrica” cantitatea de 1</w:t>
      </w:r>
      <w:r w:rsidR="006A61BB" w:rsidRPr="000263EC">
        <w:rPr>
          <w:rFonts w:ascii="Times New Roman" w:hAnsi="Times New Roman" w:cs="Times New Roman"/>
          <w:sz w:val="26"/>
          <w:szCs w:val="26"/>
          <w:lang w:val="ro-MO"/>
        </w:rPr>
        <w:t>0</w:t>
      </w:r>
      <w:r w:rsidRPr="000263EC">
        <w:rPr>
          <w:rFonts w:ascii="Times New Roman" w:hAnsi="Times New Roman" w:cs="Times New Roman"/>
          <w:sz w:val="26"/>
          <w:szCs w:val="26"/>
          <w:lang w:val="ro-MO"/>
        </w:rPr>
        <w:t xml:space="preserve"> 000 tone de păcură</w:t>
      </w:r>
      <w:r w:rsidR="00FE0241" w:rsidRPr="000263EC"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901B7E" w:rsidRDefault="00100E3C" w:rsidP="00901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8540B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2. </w:t>
      </w:r>
      <w:r w:rsidRPr="00716739">
        <w:rPr>
          <w:rFonts w:ascii="Times New Roman" w:hAnsi="Times New Roman" w:cs="Times New Roman"/>
          <w:sz w:val="26"/>
          <w:szCs w:val="26"/>
          <w:lang w:val="ro-RO"/>
        </w:rPr>
        <w:t xml:space="preserve">Eliberarea păcurii din rezervele de stat se </w:t>
      </w:r>
      <w:proofErr w:type="gramStart"/>
      <w:r w:rsidRPr="00716739">
        <w:rPr>
          <w:rFonts w:ascii="Times New Roman" w:hAnsi="Times New Roman" w:cs="Times New Roman"/>
          <w:sz w:val="26"/>
          <w:szCs w:val="26"/>
          <w:lang w:val="ro-RO"/>
        </w:rPr>
        <w:t>va</w:t>
      </w:r>
      <w:proofErr w:type="gramEnd"/>
      <w:r w:rsidRPr="00716739">
        <w:rPr>
          <w:rFonts w:ascii="Times New Roman" w:hAnsi="Times New Roman" w:cs="Times New Roman"/>
          <w:sz w:val="26"/>
          <w:szCs w:val="26"/>
          <w:lang w:val="ro-RO"/>
        </w:rPr>
        <w:t xml:space="preserve"> efectua prin </w:t>
      </w:r>
      <w:r w:rsidRPr="00BE4EC6">
        <w:rPr>
          <w:rFonts w:ascii="Times New Roman" w:hAnsi="Times New Roman" w:cs="Times New Roman"/>
          <w:sz w:val="26"/>
          <w:szCs w:val="26"/>
          <w:lang w:val="ro-RO"/>
        </w:rPr>
        <w:t>derogare de la</w:t>
      </w:r>
      <w:r w:rsidRPr="0071673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BE4EC6">
        <w:rPr>
          <w:rFonts w:ascii="Times New Roman" w:hAnsi="Times New Roman" w:cs="Times New Roman"/>
          <w:sz w:val="26"/>
          <w:szCs w:val="26"/>
          <w:lang w:val="ro-RO"/>
        </w:rPr>
        <w:t xml:space="preserve">prevederile art. 11 </w:t>
      </w:r>
      <w:r w:rsidR="006A61BB" w:rsidRPr="00BE4EC6">
        <w:rPr>
          <w:rFonts w:ascii="Times New Roman" w:hAnsi="Times New Roman" w:cs="Times New Roman"/>
          <w:sz w:val="26"/>
          <w:szCs w:val="26"/>
          <w:lang w:val="ro-RO"/>
        </w:rPr>
        <w:t>alin. (1)</w:t>
      </w:r>
      <w:r w:rsidR="006A61BB" w:rsidRPr="0071673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716739">
        <w:rPr>
          <w:rFonts w:ascii="Times New Roman" w:hAnsi="Times New Roman" w:cs="Times New Roman"/>
          <w:sz w:val="26"/>
          <w:szCs w:val="26"/>
          <w:lang w:val="ro-RO"/>
        </w:rPr>
        <w:t>din Legea nr. 104/2020 cu privire la rezervele de stat și de mobilizare</w:t>
      </w:r>
      <w:r w:rsidR="00901B7E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A25DDA" w:rsidRDefault="00100E3C" w:rsidP="00901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16739">
        <w:rPr>
          <w:rFonts w:ascii="Times New Roman" w:hAnsi="Times New Roman" w:cs="Times New Roman"/>
          <w:b/>
          <w:sz w:val="26"/>
          <w:szCs w:val="26"/>
          <w:lang w:val="ro-RO"/>
        </w:rPr>
        <w:t xml:space="preserve">3. </w:t>
      </w:r>
      <w:r w:rsidRPr="00716739">
        <w:rPr>
          <w:rFonts w:ascii="Times New Roman" w:hAnsi="Times New Roman" w:cs="Times New Roman"/>
          <w:sz w:val="26"/>
          <w:szCs w:val="26"/>
          <w:lang w:val="ro-RO"/>
        </w:rPr>
        <w:t>S.A. „Termoelectrica” va utiliza păcura eliberată pentru producere</w:t>
      </w:r>
      <w:r w:rsidR="00A25DDA">
        <w:rPr>
          <w:rFonts w:ascii="Times New Roman" w:hAnsi="Times New Roman" w:cs="Times New Roman"/>
          <w:sz w:val="26"/>
          <w:szCs w:val="26"/>
          <w:lang w:val="ro-RO"/>
        </w:rPr>
        <w:t>a energiei electrice și termice.</w:t>
      </w:r>
    </w:p>
    <w:p w:rsidR="006A61BB" w:rsidRPr="00716739" w:rsidRDefault="00A25DDA" w:rsidP="00901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A25DDA">
        <w:rPr>
          <w:rFonts w:ascii="Times New Roman" w:hAnsi="Times New Roman" w:cs="Times New Roman"/>
          <w:b/>
          <w:sz w:val="26"/>
          <w:szCs w:val="26"/>
          <w:lang w:val="ro-RO"/>
        </w:rPr>
        <w:t>4.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Se obligă S.A. „Termoelectrica” să</w:t>
      </w:r>
      <w:r w:rsidR="00100E3C" w:rsidRPr="00716739">
        <w:rPr>
          <w:rFonts w:ascii="Times New Roman" w:hAnsi="Times New Roman" w:cs="Times New Roman"/>
          <w:sz w:val="26"/>
          <w:szCs w:val="26"/>
          <w:lang w:val="ro-RO"/>
        </w:rPr>
        <w:t xml:space="preserve"> restitui</w:t>
      </w:r>
      <w:r>
        <w:rPr>
          <w:rFonts w:ascii="Times New Roman" w:hAnsi="Times New Roman" w:cs="Times New Roman"/>
          <w:sz w:val="26"/>
          <w:szCs w:val="26"/>
          <w:lang w:val="ro-RO"/>
        </w:rPr>
        <w:t>e</w:t>
      </w:r>
      <w:r w:rsidR="0058540B">
        <w:rPr>
          <w:rFonts w:ascii="Times New Roman" w:hAnsi="Times New Roman" w:cs="Times New Roman"/>
          <w:sz w:val="26"/>
          <w:szCs w:val="26"/>
          <w:lang w:val="ro-RO"/>
        </w:rPr>
        <w:t xml:space="preserve"> în rezervele de stat</w:t>
      </w:r>
      <w:r w:rsidR="007B178E">
        <w:rPr>
          <w:rFonts w:ascii="Times New Roman" w:hAnsi="Times New Roman" w:cs="Times New Roman"/>
          <w:sz w:val="26"/>
          <w:szCs w:val="26"/>
          <w:lang w:val="ro-RO"/>
        </w:rPr>
        <w:t>,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B178E" w:rsidRPr="00716739">
        <w:rPr>
          <w:rFonts w:ascii="Times New Roman" w:hAnsi="Times New Roman" w:cs="Times New Roman"/>
          <w:sz w:val="26"/>
          <w:szCs w:val="26"/>
          <w:lang w:val="ro-RO"/>
        </w:rPr>
        <w:t xml:space="preserve">până la data de </w:t>
      </w:r>
      <w:r w:rsidR="007B178E">
        <w:rPr>
          <w:rFonts w:ascii="Times New Roman" w:hAnsi="Times New Roman" w:cs="Times New Roman"/>
          <w:sz w:val="26"/>
          <w:szCs w:val="26"/>
          <w:lang w:val="ro-RO"/>
        </w:rPr>
        <w:t>01.07.2023, cantitatea de păcură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eliberată conform pct. 1,</w:t>
      </w:r>
      <w:r w:rsidR="00100E3C" w:rsidRPr="00716739">
        <w:rPr>
          <w:rFonts w:ascii="Times New Roman" w:hAnsi="Times New Roman" w:cs="Times New Roman"/>
          <w:sz w:val="26"/>
          <w:szCs w:val="26"/>
          <w:lang w:val="ro-RO"/>
        </w:rPr>
        <w:t xml:space="preserve"> în aceiași cantitate și cu aceiași indici calitativi, ind</w:t>
      </w:r>
      <w:r w:rsidR="00E66C2B">
        <w:rPr>
          <w:rFonts w:ascii="Times New Roman" w:hAnsi="Times New Roman" w:cs="Times New Roman"/>
          <w:sz w:val="26"/>
          <w:szCs w:val="26"/>
          <w:lang w:val="ro-RO"/>
        </w:rPr>
        <w:t xml:space="preserve">iferent de oscilarea prețurilor. </w:t>
      </w:r>
    </w:p>
    <w:p w:rsidR="00100E3C" w:rsidRPr="00716739" w:rsidRDefault="006A61BB" w:rsidP="00100E3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716739">
        <w:rPr>
          <w:rFonts w:ascii="Times New Roman" w:hAnsi="Times New Roman" w:cs="Times New Roman"/>
          <w:sz w:val="26"/>
          <w:szCs w:val="26"/>
          <w:lang w:val="ro-RO"/>
        </w:rPr>
        <w:tab/>
      </w:r>
      <w:r w:rsidR="00A25DDA">
        <w:rPr>
          <w:rFonts w:ascii="Times New Roman" w:hAnsi="Times New Roman" w:cs="Times New Roman"/>
          <w:b/>
          <w:sz w:val="26"/>
          <w:szCs w:val="26"/>
          <w:lang w:val="ro-RO"/>
        </w:rPr>
        <w:t>5</w:t>
      </w:r>
      <w:r w:rsidRPr="00716739">
        <w:rPr>
          <w:rFonts w:ascii="Times New Roman" w:hAnsi="Times New Roman" w:cs="Times New Roman"/>
          <w:b/>
          <w:sz w:val="26"/>
          <w:szCs w:val="26"/>
          <w:lang w:val="ro-RO"/>
        </w:rPr>
        <w:t xml:space="preserve">. </w:t>
      </w:r>
      <w:r w:rsidRPr="00BE4EC6">
        <w:rPr>
          <w:rFonts w:ascii="Times New Roman" w:hAnsi="Times New Roman" w:cs="Times New Roman"/>
          <w:sz w:val="26"/>
          <w:szCs w:val="26"/>
          <w:lang w:val="ro-RO"/>
        </w:rPr>
        <w:t>Se stabilește scutirea Agenției Rezerve Materiale de plata cheltuielilor pentru recepționarea și eliberarea păcurii primite/p</w:t>
      </w:r>
      <w:bookmarkStart w:id="0" w:name="_GoBack"/>
      <w:bookmarkEnd w:id="0"/>
      <w:r w:rsidRPr="00BE4EC6">
        <w:rPr>
          <w:rFonts w:ascii="Times New Roman" w:hAnsi="Times New Roman" w:cs="Times New Roman"/>
          <w:sz w:val="26"/>
          <w:szCs w:val="26"/>
          <w:lang w:val="ro-RO"/>
        </w:rPr>
        <w:t>rocurate în rezervele de stat și/sau ca ajutoare umanitare de către S.A. „Termoelectrica”</w:t>
      </w:r>
      <w:r w:rsidR="00716739" w:rsidRPr="00BE4EC6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100E3C" w:rsidRPr="00716739" w:rsidRDefault="00A25DDA" w:rsidP="00100E3C">
      <w:pPr>
        <w:pStyle w:val="a4"/>
        <w:spacing w:before="0" w:beforeAutospacing="0" w:after="0" w:afterAutospacing="0"/>
        <w:ind w:firstLine="540"/>
        <w:jc w:val="both"/>
        <w:rPr>
          <w:sz w:val="26"/>
          <w:szCs w:val="26"/>
          <w:shd w:val="clear" w:color="auto" w:fill="FFFFFF"/>
          <w:lang w:val="ro-RO"/>
        </w:rPr>
      </w:pPr>
      <w:r>
        <w:rPr>
          <w:b/>
          <w:sz w:val="26"/>
          <w:szCs w:val="26"/>
          <w:lang w:val="ro-RO"/>
        </w:rPr>
        <w:tab/>
        <w:t>6</w:t>
      </w:r>
      <w:r w:rsidR="00100E3C" w:rsidRPr="00716739">
        <w:rPr>
          <w:b/>
          <w:sz w:val="26"/>
          <w:szCs w:val="26"/>
          <w:lang w:val="ro-RO"/>
        </w:rPr>
        <w:t xml:space="preserve">. </w:t>
      </w:r>
      <w:r w:rsidR="00100E3C" w:rsidRPr="00716739">
        <w:rPr>
          <w:sz w:val="26"/>
          <w:szCs w:val="26"/>
          <w:shd w:val="clear" w:color="auto" w:fill="FFFFFF"/>
          <w:lang w:val="ro-RO"/>
        </w:rPr>
        <w:t>Controlul asupra executării prezentei hotărâri se pune în sarcina</w:t>
      </w:r>
      <w:r w:rsidR="005731AF">
        <w:rPr>
          <w:sz w:val="26"/>
          <w:szCs w:val="26"/>
          <w:shd w:val="clear" w:color="auto" w:fill="FFFFFF"/>
          <w:lang w:val="ro-RO"/>
        </w:rPr>
        <w:t xml:space="preserve"> Ministerului Infrastructurii și Dezvoltării Regionale</w:t>
      </w:r>
      <w:r w:rsidR="00100E3C" w:rsidRPr="00716739">
        <w:rPr>
          <w:sz w:val="26"/>
          <w:szCs w:val="26"/>
          <w:shd w:val="clear" w:color="auto" w:fill="FFFFFF"/>
          <w:lang w:val="ro-RO"/>
        </w:rPr>
        <w:t>.</w:t>
      </w:r>
    </w:p>
    <w:p w:rsidR="00100E3C" w:rsidRPr="00716739" w:rsidRDefault="00A25DDA" w:rsidP="00100E3C">
      <w:pPr>
        <w:pStyle w:val="a4"/>
        <w:spacing w:before="0" w:beforeAutospacing="0" w:after="0" w:afterAutospacing="0"/>
        <w:ind w:firstLine="720"/>
        <w:jc w:val="both"/>
        <w:rPr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7</w:t>
      </w:r>
      <w:r w:rsidR="00100E3C" w:rsidRPr="00716739">
        <w:rPr>
          <w:b/>
          <w:sz w:val="26"/>
          <w:szCs w:val="26"/>
          <w:lang w:val="ro-RO"/>
        </w:rPr>
        <w:t xml:space="preserve">. </w:t>
      </w:r>
      <w:r w:rsidR="00100E3C" w:rsidRPr="00716739">
        <w:rPr>
          <w:sz w:val="26"/>
          <w:szCs w:val="26"/>
          <w:lang w:val="ro-RO"/>
        </w:rPr>
        <w:t>Prezenta hotărâre intră în vigoare la data publicării în Monitorul Oficial al Republicii Moldova.</w:t>
      </w:r>
    </w:p>
    <w:p w:rsidR="00100E3C" w:rsidRDefault="00100E3C" w:rsidP="00100E3C">
      <w:pPr>
        <w:pStyle w:val="a4"/>
        <w:tabs>
          <w:tab w:val="left" w:pos="6300"/>
          <w:tab w:val="left" w:pos="6660"/>
        </w:tabs>
        <w:spacing w:before="0" w:beforeAutospacing="0" w:after="0" w:afterAutospacing="0"/>
        <w:ind w:firstLine="720"/>
        <w:jc w:val="both"/>
        <w:rPr>
          <w:b/>
          <w:sz w:val="26"/>
          <w:szCs w:val="26"/>
          <w:lang w:val="ro-RO"/>
        </w:rPr>
      </w:pPr>
    </w:p>
    <w:p w:rsidR="00BA4BDC" w:rsidRPr="00716739" w:rsidRDefault="00BA4BDC" w:rsidP="00100E3C">
      <w:pPr>
        <w:pStyle w:val="a4"/>
        <w:tabs>
          <w:tab w:val="left" w:pos="6300"/>
          <w:tab w:val="left" w:pos="6660"/>
        </w:tabs>
        <w:spacing w:before="0" w:beforeAutospacing="0" w:after="0" w:afterAutospacing="0"/>
        <w:ind w:firstLine="720"/>
        <w:jc w:val="both"/>
        <w:rPr>
          <w:b/>
          <w:sz w:val="26"/>
          <w:szCs w:val="26"/>
          <w:lang w:val="ro-RO"/>
        </w:rPr>
      </w:pPr>
    </w:p>
    <w:p w:rsidR="00100E3C" w:rsidRPr="00716739" w:rsidRDefault="00100E3C" w:rsidP="00100E3C">
      <w:p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716739">
        <w:rPr>
          <w:rFonts w:ascii="Times New Roman" w:hAnsi="Times New Roman" w:cs="Times New Roman"/>
          <w:b/>
          <w:sz w:val="26"/>
          <w:szCs w:val="26"/>
          <w:lang w:val="ro-RO"/>
        </w:rPr>
        <w:t xml:space="preserve">Prim-ministru </w:t>
      </w:r>
      <w:r w:rsidRPr="00716739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716739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716739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716739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716739">
        <w:rPr>
          <w:rFonts w:ascii="Times New Roman" w:hAnsi="Times New Roman" w:cs="Times New Roman"/>
          <w:b/>
          <w:sz w:val="26"/>
          <w:szCs w:val="26"/>
          <w:lang w:val="ro-RO"/>
        </w:rPr>
        <w:tab/>
        <w:t xml:space="preserve">                    NATALIA GAVRILIȚA</w:t>
      </w:r>
    </w:p>
    <w:p w:rsidR="00100E3C" w:rsidRPr="00716739" w:rsidRDefault="00100E3C" w:rsidP="00100E3C">
      <w:p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716739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Contrasemnează: </w:t>
      </w:r>
    </w:p>
    <w:p w:rsidR="00100E3C" w:rsidRPr="00716739" w:rsidRDefault="00100E3C" w:rsidP="00100E3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716739">
        <w:rPr>
          <w:rFonts w:ascii="Times New Roman" w:hAnsi="Times New Roman" w:cs="Times New Roman"/>
          <w:b/>
          <w:sz w:val="26"/>
          <w:szCs w:val="26"/>
          <w:lang w:val="ro-RO"/>
        </w:rPr>
        <w:t xml:space="preserve">Ministrul afacerilor interne                                              </w:t>
      </w:r>
      <w:r w:rsidR="0071673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</w:t>
      </w:r>
      <w:r w:rsidRPr="00716739">
        <w:rPr>
          <w:rFonts w:ascii="Times New Roman" w:hAnsi="Times New Roman" w:cs="Times New Roman"/>
          <w:b/>
          <w:sz w:val="26"/>
          <w:szCs w:val="26"/>
          <w:lang w:val="ro-RO"/>
        </w:rPr>
        <w:t>Ana Revenco</w:t>
      </w:r>
    </w:p>
    <w:p w:rsidR="00100E3C" w:rsidRPr="00716739" w:rsidRDefault="00100E3C" w:rsidP="00100E3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100E3C" w:rsidRPr="00716739" w:rsidRDefault="00100E3C" w:rsidP="00100E3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716739">
        <w:rPr>
          <w:rFonts w:ascii="Times New Roman" w:hAnsi="Times New Roman" w:cs="Times New Roman"/>
          <w:b/>
          <w:sz w:val="26"/>
          <w:szCs w:val="26"/>
          <w:lang w:val="ro-RO"/>
        </w:rPr>
        <w:t xml:space="preserve">Ministrul infrastructurii </w:t>
      </w:r>
    </w:p>
    <w:p w:rsidR="00100E3C" w:rsidRPr="00716739" w:rsidRDefault="00100E3C" w:rsidP="00100E3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716739">
        <w:rPr>
          <w:rFonts w:ascii="Times New Roman" w:hAnsi="Times New Roman" w:cs="Times New Roman"/>
          <w:b/>
          <w:sz w:val="26"/>
          <w:szCs w:val="26"/>
          <w:lang w:val="ro-RO"/>
        </w:rPr>
        <w:t xml:space="preserve">și dezvoltării regionale  </w:t>
      </w:r>
      <w:r w:rsidRPr="00716739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716739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716739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716739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716739">
        <w:rPr>
          <w:rFonts w:ascii="Times New Roman" w:hAnsi="Times New Roman" w:cs="Times New Roman"/>
          <w:b/>
          <w:sz w:val="26"/>
          <w:szCs w:val="26"/>
          <w:lang w:val="ro-RO"/>
        </w:rPr>
        <w:tab/>
        <w:t xml:space="preserve">  </w:t>
      </w:r>
      <w:r w:rsidR="0071673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</w:t>
      </w:r>
      <w:r w:rsidRPr="00716739">
        <w:rPr>
          <w:rFonts w:ascii="Times New Roman" w:hAnsi="Times New Roman" w:cs="Times New Roman"/>
          <w:b/>
          <w:sz w:val="26"/>
          <w:szCs w:val="26"/>
          <w:lang w:val="ro-RO"/>
        </w:rPr>
        <w:t>Andrei SPÎNU</w:t>
      </w:r>
    </w:p>
    <w:p w:rsidR="00100E3C" w:rsidRDefault="00100E3C" w:rsidP="00FE0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0BAD" w:rsidRDefault="00680BAD"/>
    <w:sectPr w:rsidR="00680BAD" w:rsidSect="00DF5FC2">
      <w:pgSz w:w="11906" w:h="16838"/>
      <w:pgMar w:top="89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03"/>
    <w:rsid w:val="000263EC"/>
    <w:rsid w:val="00100E3C"/>
    <w:rsid w:val="001271B6"/>
    <w:rsid w:val="003A2CD0"/>
    <w:rsid w:val="003F4D62"/>
    <w:rsid w:val="004A48A5"/>
    <w:rsid w:val="0052220B"/>
    <w:rsid w:val="005731AF"/>
    <w:rsid w:val="0058540B"/>
    <w:rsid w:val="00680BAD"/>
    <w:rsid w:val="006A61BB"/>
    <w:rsid w:val="00716739"/>
    <w:rsid w:val="007B178E"/>
    <w:rsid w:val="008B7E2F"/>
    <w:rsid w:val="00901B7E"/>
    <w:rsid w:val="00A25DDA"/>
    <w:rsid w:val="00B03A55"/>
    <w:rsid w:val="00B1731A"/>
    <w:rsid w:val="00BA4BDC"/>
    <w:rsid w:val="00BE4EC6"/>
    <w:rsid w:val="00CF0A03"/>
    <w:rsid w:val="00D25428"/>
    <w:rsid w:val="00E66C2B"/>
    <w:rsid w:val="00FE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8A5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F4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F4D62"/>
    <w:rPr>
      <w:b/>
      <w:bCs/>
    </w:rPr>
  </w:style>
  <w:style w:type="paragraph" w:styleId="a6">
    <w:name w:val="List Paragraph"/>
    <w:basedOn w:val="a"/>
    <w:uiPriority w:val="34"/>
    <w:qFormat/>
    <w:rsid w:val="00100E3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7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7E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8A5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F4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F4D62"/>
    <w:rPr>
      <w:b/>
      <w:bCs/>
    </w:rPr>
  </w:style>
  <w:style w:type="paragraph" w:styleId="a6">
    <w:name w:val="List Paragraph"/>
    <w:basedOn w:val="a"/>
    <w:uiPriority w:val="34"/>
    <w:qFormat/>
    <w:rsid w:val="00100E3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7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7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</dc:creator>
  <cp:keywords/>
  <dc:description/>
  <cp:lastModifiedBy>SPDRM-001</cp:lastModifiedBy>
  <cp:revision>45</cp:revision>
  <cp:lastPrinted>2022-11-01T12:13:00Z</cp:lastPrinted>
  <dcterms:created xsi:type="dcterms:W3CDTF">2022-10-25T07:18:00Z</dcterms:created>
  <dcterms:modified xsi:type="dcterms:W3CDTF">2022-11-01T13:53:00Z</dcterms:modified>
</cp:coreProperties>
</file>