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14AEB" w14:textId="77777777" w:rsidR="00B365F5" w:rsidRPr="0067721A" w:rsidRDefault="00B365F5" w:rsidP="0073302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67721A">
        <w:rPr>
          <w:b/>
          <w:bCs/>
          <w:sz w:val="28"/>
          <w:szCs w:val="28"/>
          <w:lang w:val="ro-RO"/>
        </w:rPr>
        <w:t>NOTĂ INFORMATIVĂ</w:t>
      </w:r>
    </w:p>
    <w:p w14:paraId="66B3EFEA" w14:textId="1CA72F65" w:rsidR="00B365F5" w:rsidRPr="0067721A" w:rsidRDefault="00B365F5" w:rsidP="00733024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67721A">
        <w:rPr>
          <w:sz w:val="28"/>
          <w:szCs w:val="28"/>
          <w:lang w:val="ro-RO"/>
        </w:rPr>
        <w:t>la proiectul hotărârii Guvernului cu privire la transmiterea un</w:t>
      </w:r>
      <w:r w:rsidR="00683E7F">
        <w:rPr>
          <w:sz w:val="28"/>
          <w:szCs w:val="28"/>
          <w:lang w:val="ro-RO"/>
        </w:rPr>
        <w:t>ui</w:t>
      </w:r>
      <w:r w:rsidRPr="0067721A">
        <w:rPr>
          <w:sz w:val="28"/>
          <w:szCs w:val="28"/>
          <w:lang w:val="ro-RO"/>
        </w:rPr>
        <w:t xml:space="preserve"> bun imobil</w:t>
      </w:r>
      <w:r>
        <w:rPr>
          <w:sz w:val="28"/>
          <w:szCs w:val="28"/>
          <w:lang w:val="ro-RO"/>
        </w:rPr>
        <w:t xml:space="preserve"> </w:t>
      </w:r>
    </w:p>
    <w:p w14:paraId="2007C172" w14:textId="77777777" w:rsidR="00B365F5" w:rsidRPr="0067721A" w:rsidRDefault="00B365F5" w:rsidP="00733024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5"/>
      </w:tblGrid>
      <w:tr w:rsidR="00B365F5" w:rsidRPr="005101A1" w14:paraId="422CAC01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6494F94B" w14:textId="77777777" w:rsidR="00B365F5" w:rsidRPr="0067721A" w:rsidRDefault="00B365F5" w:rsidP="009B48C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B365F5" w:rsidRPr="005101A1" w14:paraId="3875E9DA" w14:textId="77777777" w:rsidTr="009B48C1">
        <w:tc>
          <w:tcPr>
            <w:tcW w:w="5000" w:type="pct"/>
          </w:tcPr>
          <w:p w14:paraId="5E7A2AB1" w14:textId="77777777" w:rsidR="005101A1" w:rsidRDefault="00B365F5" w:rsidP="00DF36BA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</w:p>
          <w:p w14:paraId="699C9E68" w14:textId="79A5EDFB" w:rsidR="00B365F5" w:rsidRPr="0067721A" w:rsidRDefault="005101A1" w:rsidP="00DF36BA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</w:t>
            </w:r>
            <w:r w:rsidR="00B365F5" w:rsidRPr="0067721A">
              <w:rPr>
                <w:sz w:val="28"/>
                <w:szCs w:val="28"/>
                <w:lang w:val="ro-RO"/>
              </w:rPr>
              <w:t>Autor</w:t>
            </w:r>
            <w:r w:rsidR="00DF36BA">
              <w:rPr>
                <w:sz w:val="28"/>
                <w:szCs w:val="28"/>
                <w:lang w:val="ro-RO"/>
              </w:rPr>
              <w:t>ul</w:t>
            </w:r>
            <w:r w:rsidR="00B365F5" w:rsidRPr="0067721A">
              <w:rPr>
                <w:sz w:val="28"/>
                <w:szCs w:val="28"/>
                <w:lang w:val="ro-RO"/>
              </w:rPr>
              <w:t xml:space="preserve"> proiectului actului normativ este Ministerul Afacerilor Interne.</w:t>
            </w:r>
          </w:p>
        </w:tc>
      </w:tr>
      <w:tr w:rsidR="00B365F5" w:rsidRPr="005101A1" w14:paraId="73F45831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1E992385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2.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Condiţiile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ce au impus elaborarea proiectului de act normativ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finalităţile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B365F5" w:rsidRPr="005101A1" w14:paraId="774AED61" w14:textId="77777777" w:rsidTr="009B48C1">
        <w:tc>
          <w:tcPr>
            <w:tcW w:w="5000" w:type="pct"/>
          </w:tcPr>
          <w:p w14:paraId="7FE83673" w14:textId="77777777" w:rsidR="00B365F5" w:rsidRPr="0067721A" w:rsidRDefault="00B365F5" w:rsidP="009B48C1">
            <w:pPr>
              <w:pStyle w:val="cp"/>
              <w:jc w:val="both"/>
              <w:outlineLvl w:val="0"/>
              <w:rPr>
                <w:b w:val="0"/>
                <w:sz w:val="16"/>
                <w:szCs w:val="16"/>
                <w:lang w:val="ro-RO"/>
              </w:rPr>
            </w:pPr>
            <w:r w:rsidRPr="0067721A">
              <w:rPr>
                <w:b w:val="0"/>
                <w:sz w:val="28"/>
                <w:szCs w:val="28"/>
                <w:lang w:val="ro-RO"/>
              </w:rPr>
              <w:t xml:space="preserve">  </w:t>
            </w:r>
          </w:p>
          <w:p w14:paraId="0A7DD44A" w14:textId="15084759" w:rsidR="00B365F5" w:rsidRPr="0067721A" w:rsidRDefault="005101A1" w:rsidP="004F635D">
            <w:pPr>
              <w:pStyle w:val="cp"/>
              <w:tabs>
                <w:tab w:val="left" w:pos="517"/>
                <w:tab w:val="left" w:pos="682"/>
              </w:tabs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>
              <w:rPr>
                <w:b w:val="0"/>
                <w:sz w:val="28"/>
                <w:szCs w:val="28"/>
                <w:lang w:val="ro-RO"/>
              </w:rPr>
              <w:t xml:space="preserve">  </w:t>
            </w:r>
            <w:r w:rsidR="008D698E">
              <w:rPr>
                <w:b w:val="0"/>
                <w:sz w:val="28"/>
                <w:szCs w:val="28"/>
                <w:lang w:val="ro-RO"/>
              </w:rPr>
              <w:t>P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>roiectul act</w:t>
            </w:r>
            <w:r w:rsidR="008D698E">
              <w:rPr>
                <w:b w:val="0"/>
                <w:sz w:val="28"/>
                <w:szCs w:val="28"/>
                <w:lang w:val="ro-RO"/>
              </w:rPr>
              <w:t>ului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 normativ </w:t>
            </w:r>
            <w:r w:rsidR="008D698E">
              <w:rPr>
                <w:b w:val="0"/>
                <w:sz w:val="28"/>
                <w:szCs w:val="28"/>
                <w:lang w:val="ro-RO"/>
              </w:rPr>
              <w:t>este elaborat în conformitate cu prevederile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 art. 6 alin. (1) lit. a) </w:t>
            </w:r>
            <w:proofErr w:type="spellStart"/>
            <w:r w:rsidR="00B365F5" w:rsidRPr="0067721A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 art. 14 alin. (1) lit. b) din Legea nr. 121/2007 privind administrarea </w:t>
            </w:r>
            <w:proofErr w:type="spellStart"/>
            <w:r w:rsidR="00B365F5" w:rsidRPr="0067721A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B365F5" w:rsidRPr="0067721A">
              <w:rPr>
                <w:b w:val="0"/>
                <w:sz w:val="28"/>
                <w:szCs w:val="28"/>
                <w:lang w:val="ro-RO"/>
              </w:rPr>
              <w:t>deetatizarea</w:t>
            </w:r>
            <w:proofErr w:type="spellEnd"/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 proprietății publice, art. 8 alin. (2)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>din Legea nr. 523/1999 cu privire la proprietatea publică a unităților administrativ-teritoriale și Hotărâr</w:t>
            </w:r>
            <w:r w:rsidR="008D698E">
              <w:rPr>
                <w:b w:val="0"/>
                <w:sz w:val="28"/>
                <w:szCs w:val="28"/>
                <w:lang w:val="ro-RO"/>
              </w:rPr>
              <w:t>ea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 Guvernului nr.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>901/2015 pentru aprobarea Regulamentului cu privire la modul de transmitere a bunurilor proprietate publică.</w:t>
            </w:r>
          </w:p>
          <w:p w14:paraId="6F74EE24" w14:textId="7C70F8DE" w:rsidR="00B365F5" w:rsidRDefault="005101A1" w:rsidP="004F635D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>
              <w:rPr>
                <w:b w:val="0"/>
                <w:sz w:val="28"/>
                <w:szCs w:val="28"/>
                <w:lang w:val="ro-RO"/>
              </w:rPr>
              <w:t xml:space="preserve">   </w:t>
            </w:r>
            <w:r w:rsidR="00B365F5" w:rsidRPr="0067721A">
              <w:rPr>
                <w:b w:val="0"/>
                <w:sz w:val="28"/>
                <w:szCs w:val="28"/>
                <w:lang w:val="ro-RO"/>
              </w:rPr>
              <w:t xml:space="preserve">Actualmente, în gestiunea economică a 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Direcției situații excepționale mun. </w:t>
            </w:r>
            <w:proofErr w:type="spellStart"/>
            <w:r w:rsidR="00B365F5">
              <w:rPr>
                <w:b w:val="0"/>
                <w:sz w:val="28"/>
                <w:szCs w:val="28"/>
                <w:lang w:val="ro-RO"/>
              </w:rPr>
              <w:t>Edine</w:t>
            </w:r>
            <w:r w:rsidR="004C4B63">
              <w:rPr>
                <w:b w:val="0"/>
                <w:sz w:val="28"/>
                <w:szCs w:val="28"/>
                <w:lang w:val="ro-RO"/>
              </w:rPr>
              <w:t>ț</w:t>
            </w:r>
            <w:proofErr w:type="spellEnd"/>
            <w:r w:rsidR="008D698E">
              <w:rPr>
                <w:b w:val="0"/>
                <w:sz w:val="28"/>
                <w:szCs w:val="28"/>
                <w:lang w:val="ro-RO"/>
              </w:rPr>
              <w:t xml:space="preserve"> a Inspectoratului General pentru Situații de Urgență al Ministerului Afacerilor Interne</w:t>
            </w:r>
            <w:r w:rsidR="00320BA8">
              <w:rPr>
                <w:b w:val="0"/>
                <w:sz w:val="28"/>
                <w:szCs w:val="28"/>
                <w:lang w:val="ro-RO"/>
              </w:rPr>
              <w:t xml:space="preserve"> (IGSU)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se află clădirea din str. Iu. Gagarin, 47, mun. </w:t>
            </w:r>
            <w:proofErr w:type="spellStart"/>
            <w:r w:rsidR="00B365F5"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8D698E">
              <w:rPr>
                <w:b w:val="0"/>
                <w:sz w:val="28"/>
                <w:szCs w:val="28"/>
                <w:lang w:val="ro-RO"/>
              </w:rPr>
              <w:t>,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 cu nr. </w:t>
            </w:r>
            <w:r w:rsidR="004C4B63" w:rsidRPr="004C4B63">
              <w:rPr>
                <w:b w:val="0"/>
                <w:sz w:val="28"/>
                <w:szCs w:val="28"/>
                <w:lang w:val="ro-RO"/>
              </w:rPr>
              <w:t xml:space="preserve">cadastral </w:t>
            </w:r>
            <w:r w:rsidR="004C4B63" w:rsidRPr="004C4B63">
              <w:rPr>
                <w:b w:val="0"/>
                <w:sz w:val="28"/>
                <w:szCs w:val="28"/>
                <w:lang w:val="ro-MD"/>
              </w:rPr>
              <w:t>4101211.0</w:t>
            </w:r>
            <w:r w:rsidR="004C4B63">
              <w:rPr>
                <w:b w:val="0"/>
                <w:sz w:val="28"/>
                <w:szCs w:val="28"/>
                <w:lang w:val="ro-MD"/>
              </w:rPr>
              <w:t>01</w:t>
            </w:r>
            <w:r w:rsidR="004C4B63" w:rsidRPr="004C4B63">
              <w:rPr>
                <w:b w:val="0"/>
                <w:sz w:val="28"/>
                <w:szCs w:val="28"/>
                <w:lang w:val="ro-MD"/>
              </w:rPr>
              <w:t>.01</w:t>
            </w:r>
            <w:r w:rsidR="00CB1179">
              <w:rPr>
                <w:b w:val="0"/>
                <w:sz w:val="28"/>
                <w:szCs w:val="28"/>
                <w:lang w:val="ro-MD"/>
              </w:rPr>
              <w:t>,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 proprietate publică a statului</w:t>
            </w:r>
            <w:r w:rsidR="004C4B63">
              <w:rPr>
                <w:b w:val="0"/>
                <w:bCs w:val="0"/>
                <w:sz w:val="28"/>
                <w:szCs w:val="28"/>
                <w:lang w:val="ro-MD"/>
              </w:rPr>
              <w:t>,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care a servit drept Unitate de pompieri și salvatori până la darea în exploatare a noului sediu din str. O. </w:t>
            </w:r>
            <w:proofErr w:type="spellStart"/>
            <w:r w:rsidR="00B365F5">
              <w:rPr>
                <w:b w:val="0"/>
                <w:sz w:val="28"/>
                <w:szCs w:val="28"/>
                <w:lang w:val="ro-RO"/>
              </w:rPr>
              <w:t>Cerempei</w:t>
            </w:r>
            <w:proofErr w:type="spellEnd"/>
            <w:r w:rsidR="00B365F5">
              <w:rPr>
                <w:b w:val="0"/>
                <w:sz w:val="28"/>
                <w:szCs w:val="28"/>
                <w:lang w:val="ro-RO"/>
              </w:rPr>
              <w:t>, 34</w:t>
            </w:r>
            <w:r w:rsidR="00CB1179">
              <w:rPr>
                <w:b w:val="0"/>
                <w:sz w:val="28"/>
                <w:szCs w:val="28"/>
                <w:lang w:val="ro-RO"/>
              </w:rPr>
              <w:t xml:space="preserve">, mun. </w:t>
            </w:r>
            <w:proofErr w:type="spellStart"/>
            <w:r w:rsidR="00CB1179"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B365F5">
              <w:rPr>
                <w:b w:val="0"/>
                <w:sz w:val="28"/>
                <w:szCs w:val="28"/>
                <w:lang w:val="ro-RO"/>
              </w:rPr>
              <w:t>.</w:t>
            </w:r>
          </w:p>
          <w:p w14:paraId="16C15F88" w14:textId="550171D0" w:rsidR="00B365F5" w:rsidRDefault="005101A1" w:rsidP="004F635D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>
              <w:rPr>
                <w:b w:val="0"/>
                <w:sz w:val="28"/>
                <w:szCs w:val="28"/>
                <w:lang w:val="ro-RO"/>
              </w:rPr>
              <w:t xml:space="preserve">   </w:t>
            </w:r>
            <w:r w:rsidR="00320BA8">
              <w:rPr>
                <w:b w:val="0"/>
                <w:sz w:val="28"/>
                <w:szCs w:val="28"/>
                <w:lang w:val="ro-RO"/>
              </w:rPr>
              <w:t xml:space="preserve">Dat fiind 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faptul că, </w:t>
            </w:r>
            <w:r w:rsidR="00320BA8">
              <w:rPr>
                <w:b w:val="0"/>
                <w:sz w:val="28"/>
                <w:szCs w:val="28"/>
                <w:lang w:val="ro-RO"/>
              </w:rPr>
              <w:t>la moment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320BA8">
              <w:rPr>
                <w:b w:val="0"/>
                <w:sz w:val="28"/>
                <w:szCs w:val="28"/>
                <w:lang w:val="ro-RO"/>
              </w:rPr>
              <w:t>IGSU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nu 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dispune de mijloace financiare necesare pentru întreținerea construcției, precum și dispariției necesității de </w:t>
            </w:r>
            <w:r w:rsidR="00B365F5">
              <w:rPr>
                <w:b w:val="0"/>
                <w:sz w:val="28"/>
                <w:szCs w:val="28"/>
                <w:lang w:val="ro-RO"/>
              </w:rPr>
              <w:t>utiliz</w:t>
            </w:r>
            <w:r w:rsidR="004C4B63">
              <w:rPr>
                <w:b w:val="0"/>
                <w:sz w:val="28"/>
                <w:szCs w:val="28"/>
                <w:lang w:val="ro-RO"/>
              </w:rPr>
              <w:t>are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în scop de serviciu a </w:t>
            </w:r>
            <w:r w:rsidR="004C4B63">
              <w:rPr>
                <w:b w:val="0"/>
                <w:sz w:val="28"/>
                <w:szCs w:val="28"/>
                <w:lang w:val="ro-RO"/>
              </w:rPr>
              <w:t>clădirii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din 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str. Iu. Gagarin, 47, mun. </w:t>
            </w:r>
            <w:proofErr w:type="spellStart"/>
            <w:r w:rsidR="00B365F5"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B365F5">
              <w:rPr>
                <w:b w:val="0"/>
                <w:sz w:val="28"/>
                <w:szCs w:val="28"/>
                <w:lang w:val="ro-RO"/>
              </w:rPr>
              <w:t xml:space="preserve">, solicitarea Consiliului municipal </w:t>
            </w:r>
            <w:proofErr w:type="spellStart"/>
            <w:r w:rsidR="00B365F5"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B365F5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C4B63">
              <w:rPr>
                <w:b w:val="0"/>
                <w:sz w:val="28"/>
                <w:szCs w:val="28"/>
                <w:lang w:val="ro-RO"/>
              </w:rPr>
              <w:t>de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transmitere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B365F5">
              <w:rPr>
                <w:b w:val="0"/>
                <w:sz w:val="28"/>
                <w:szCs w:val="28"/>
                <w:lang w:val="ro-RO"/>
              </w:rPr>
              <w:t>a bunu</w:t>
            </w:r>
            <w:r w:rsidR="004C4B63">
              <w:rPr>
                <w:b w:val="0"/>
                <w:sz w:val="28"/>
                <w:szCs w:val="28"/>
                <w:lang w:val="ro-RO"/>
              </w:rPr>
              <w:t>lui</w:t>
            </w:r>
            <w:r w:rsidR="00B365F5">
              <w:rPr>
                <w:b w:val="0"/>
                <w:sz w:val="28"/>
                <w:szCs w:val="28"/>
                <w:lang w:val="ro-RO"/>
              </w:rPr>
              <w:t xml:space="preserve"> imobil nominalizat din proprietatea statului în proprietatea Administrației Publice Locale </w:t>
            </w:r>
            <w:r w:rsidR="004C4B63">
              <w:rPr>
                <w:b w:val="0"/>
                <w:sz w:val="28"/>
                <w:szCs w:val="28"/>
                <w:lang w:val="ro-RO"/>
              </w:rPr>
              <w:t xml:space="preserve">a fost acceptată ca fiind una optimă și </w:t>
            </w:r>
            <w:r w:rsidR="00B365F5">
              <w:rPr>
                <w:b w:val="0"/>
                <w:sz w:val="28"/>
                <w:szCs w:val="28"/>
                <w:lang w:val="ro-RO"/>
              </w:rPr>
              <w:t>oportună pentru ambele părți.</w:t>
            </w:r>
          </w:p>
          <w:p w14:paraId="64D0605A" w14:textId="2BB6D6BC" w:rsidR="00B365F5" w:rsidRDefault="005101A1" w:rsidP="004F635D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>
              <w:rPr>
                <w:b w:val="0"/>
                <w:sz w:val="28"/>
                <w:szCs w:val="28"/>
                <w:lang w:val="ro-RO"/>
              </w:rPr>
              <w:t xml:space="preserve">    În prezent</w:t>
            </w:r>
            <w:r w:rsidR="00A27EAF">
              <w:rPr>
                <w:b w:val="0"/>
                <w:sz w:val="28"/>
                <w:szCs w:val="28"/>
                <w:lang w:val="ro-RO"/>
              </w:rPr>
              <w:t>,</w:t>
            </w:r>
            <w:r w:rsidR="0042477B">
              <w:rPr>
                <w:b w:val="0"/>
                <w:sz w:val="28"/>
                <w:szCs w:val="28"/>
                <w:lang w:val="ro-RO"/>
              </w:rPr>
              <w:t xml:space="preserve"> efectivul Direcției situații excepționale mun. </w:t>
            </w:r>
            <w:proofErr w:type="spellStart"/>
            <w:r w:rsidR="0042477B"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42477B">
              <w:rPr>
                <w:b w:val="0"/>
                <w:sz w:val="28"/>
                <w:szCs w:val="28"/>
                <w:lang w:val="ro-RO"/>
              </w:rPr>
              <w:t xml:space="preserve"> este dislocat într-o construcție </w:t>
            </w:r>
            <w:r w:rsidR="003E4935">
              <w:rPr>
                <w:b w:val="0"/>
                <w:sz w:val="28"/>
                <w:szCs w:val="28"/>
                <w:lang w:val="ro-RO"/>
              </w:rPr>
              <w:t xml:space="preserve">nouă, </w:t>
            </w:r>
            <w:r w:rsidR="0042477B">
              <w:rPr>
                <w:b w:val="0"/>
                <w:sz w:val="28"/>
                <w:szCs w:val="28"/>
                <w:lang w:val="ro-RO"/>
              </w:rPr>
              <w:t xml:space="preserve">edificată </w:t>
            </w:r>
            <w:r w:rsidR="0042477B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prin intermediul </w:t>
            </w:r>
            <w:r w:rsidR="0042477B" w:rsidRPr="0067721A">
              <w:rPr>
                <w:b w:val="0"/>
                <w:sz w:val="28"/>
                <w:szCs w:val="28"/>
                <w:lang w:val="ro-RO"/>
              </w:rPr>
              <w:t>Programului de asistență tehnică</w:t>
            </w:r>
            <w:r w:rsidR="00A27EAF">
              <w:rPr>
                <w:b w:val="0"/>
                <w:sz w:val="28"/>
                <w:szCs w:val="28"/>
                <w:lang w:val="ro-RO"/>
              </w:rPr>
              <w:t>,</w:t>
            </w:r>
            <w:r w:rsidR="0042477B" w:rsidRPr="0067721A">
              <w:rPr>
                <w:b w:val="0"/>
                <w:sz w:val="28"/>
                <w:szCs w:val="28"/>
                <w:lang w:val="ro-RO"/>
              </w:rPr>
              <w:t xml:space="preserve"> lansat de către Guvernul SUA în Republica Moldova</w:t>
            </w:r>
            <w:r w:rsidR="0042477B">
              <w:rPr>
                <w:b w:val="0"/>
                <w:sz w:val="28"/>
                <w:szCs w:val="28"/>
                <w:lang w:val="ro-RO"/>
              </w:rPr>
              <w:t xml:space="preserve"> și dispune de condiții optime de muncă și antrenamente.</w:t>
            </w:r>
          </w:p>
          <w:p w14:paraId="3AC23B9F" w14:textId="77777777" w:rsidR="005101A1" w:rsidRDefault="005101A1" w:rsidP="005101A1">
            <w:pPr>
              <w:pStyle w:val="cp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>
              <w:rPr>
                <w:b w:val="0"/>
                <w:sz w:val="28"/>
                <w:szCs w:val="28"/>
                <w:lang w:val="ro-RO"/>
              </w:rPr>
              <w:t xml:space="preserve">    </w:t>
            </w:r>
            <w:r w:rsidR="0042477B">
              <w:rPr>
                <w:b w:val="0"/>
                <w:sz w:val="28"/>
                <w:szCs w:val="28"/>
                <w:lang w:val="ro-RO"/>
              </w:rPr>
              <w:t xml:space="preserve">Acceptul Consiliului municipal </w:t>
            </w:r>
            <w:proofErr w:type="spellStart"/>
            <w:r w:rsidR="0042477B"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42477B">
              <w:rPr>
                <w:b w:val="0"/>
                <w:sz w:val="28"/>
                <w:szCs w:val="28"/>
                <w:lang w:val="ro-RO"/>
              </w:rPr>
              <w:t xml:space="preserve"> de a primi în proprietate/gestiune </w:t>
            </w:r>
            <w:r w:rsidR="003E4935">
              <w:rPr>
                <w:b w:val="0"/>
                <w:sz w:val="28"/>
                <w:szCs w:val="28"/>
                <w:lang w:val="ro-RO"/>
              </w:rPr>
              <w:t xml:space="preserve">a </w:t>
            </w:r>
            <w:r w:rsidR="0042477B">
              <w:rPr>
                <w:b w:val="0"/>
                <w:sz w:val="28"/>
                <w:szCs w:val="28"/>
                <w:lang w:val="ro-RO"/>
              </w:rPr>
              <w:t>bunu</w:t>
            </w:r>
            <w:r w:rsidR="003E4935">
              <w:rPr>
                <w:b w:val="0"/>
                <w:sz w:val="28"/>
                <w:szCs w:val="28"/>
                <w:lang w:val="ro-RO"/>
              </w:rPr>
              <w:t>lui</w:t>
            </w:r>
            <w:r w:rsidR="0042477B">
              <w:rPr>
                <w:b w:val="0"/>
                <w:sz w:val="28"/>
                <w:szCs w:val="28"/>
                <w:lang w:val="ro-RO"/>
              </w:rPr>
              <w:t xml:space="preserve"> imobil din str. Iu. Gagarin, 47, </w:t>
            </w:r>
            <w:r w:rsidR="003E4935">
              <w:rPr>
                <w:b w:val="0"/>
                <w:sz w:val="28"/>
                <w:szCs w:val="28"/>
                <w:lang w:val="ro-RO"/>
              </w:rPr>
              <w:t>se conține în p</w:t>
            </w:r>
            <w:r w:rsidR="0042477B">
              <w:rPr>
                <w:b w:val="0"/>
                <w:sz w:val="28"/>
                <w:szCs w:val="28"/>
                <w:lang w:val="ro-RO"/>
              </w:rPr>
              <w:t xml:space="preserve">roiectul de decizie </w:t>
            </w:r>
            <w:r w:rsidR="003E4935">
              <w:rPr>
                <w:b w:val="0"/>
                <w:sz w:val="28"/>
                <w:szCs w:val="28"/>
                <w:lang w:val="ro-RO"/>
              </w:rPr>
              <w:t xml:space="preserve">a Consiliului cu </w:t>
            </w:r>
            <w:r w:rsidR="0042477B">
              <w:rPr>
                <w:b w:val="0"/>
                <w:sz w:val="28"/>
                <w:szCs w:val="28"/>
                <w:lang w:val="ro-RO"/>
              </w:rPr>
              <w:t>nr. 5 din 07.11.2022.</w:t>
            </w:r>
            <w:r w:rsidR="00B365F5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</w:p>
          <w:p w14:paraId="5BFF96D9" w14:textId="4338AC4A" w:rsidR="00B365F5" w:rsidRPr="0067721A" w:rsidRDefault="005101A1" w:rsidP="001F60BD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>
              <w:rPr>
                <w:b w:val="0"/>
                <w:bCs w:val="0"/>
                <w:sz w:val="28"/>
                <w:szCs w:val="28"/>
                <w:lang w:val="ro-MD"/>
              </w:rPr>
              <w:t xml:space="preserve">     În ordinea de idei, </w:t>
            </w:r>
            <w:r>
              <w:rPr>
                <w:b w:val="0"/>
                <w:sz w:val="28"/>
                <w:szCs w:val="28"/>
                <w:lang w:val="ro-RO"/>
              </w:rPr>
              <w:t>o</w:t>
            </w:r>
            <w:r>
              <w:rPr>
                <w:b w:val="0"/>
                <w:sz w:val="28"/>
                <w:szCs w:val="28"/>
                <w:lang w:val="ro-RO"/>
              </w:rPr>
              <w:t xml:space="preserve">dată cu transmiterea construcției, se impune și transmiterea către Consiliul municipal </w:t>
            </w:r>
            <w:proofErr w:type="spellStart"/>
            <w:r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>
              <w:rPr>
                <w:b w:val="0"/>
                <w:sz w:val="28"/>
                <w:szCs w:val="28"/>
                <w:lang w:val="ro-RO"/>
              </w:rPr>
              <w:t xml:space="preserve"> a dreptului de administrare și gestiune economică asupra terenului aferent, deoarece menținerea în continuare la evidența contabilă a terenului din str. Iu. Gagarin, 47, mun. </w:t>
            </w:r>
            <w:proofErr w:type="spellStart"/>
            <w:r>
              <w:rPr>
                <w:b w:val="0"/>
                <w:sz w:val="28"/>
                <w:szCs w:val="28"/>
                <w:lang w:val="ro-RO"/>
              </w:rPr>
              <w:t>Edineț</w:t>
            </w:r>
            <w:proofErr w:type="spellEnd"/>
            <w:r w:rsidR="00B34EE1">
              <w:rPr>
                <w:b w:val="0"/>
                <w:sz w:val="28"/>
                <w:szCs w:val="28"/>
                <w:lang w:val="ro-RO"/>
              </w:rPr>
              <w:t>,</w:t>
            </w:r>
            <w:r>
              <w:rPr>
                <w:b w:val="0"/>
                <w:sz w:val="28"/>
                <w:szCs w:val="28"/>
                <w:lang w:val="ro-RO"/>
              </w:rPr>
              <w:t xml:space="preserve"> încetează odată cu transmiterea construcției.</w:t>
            </w:r>
            <w:r>
              <w:rPr>
                <w:b w:val="0"/>
                <w:sz w:val="28"/>
                <w:szCs w:val="28"/>
                <w:lang w:val="ro-RO"/>
              </w:rPr>
              <w:t xml:space="preserve"> Astfel, transmiterea terenului menționat va fi asigurată după </w:t>
            </w:r>
            <w:r w:rsidR="001F60BD">
              <w:rPr>
                <w:b w:val="0"/>
                <w:sz w:val="28"/>
                <w:szCs w:val="28"/>
                <w:lang w:val="ro-RO"/>
              </w:rPr>
              <w:t>efectuarea</w:t>
            </w:r>
            <w:r>
              <w:rPr>
                <w:b w:val="0"/>
                <w:sz w:val="28"/>
                <w:szCs w:val="28"/>
                <w:lang w:val="ro-RO"/>
              </w:rPr>
              <w:t xml:space="preserve"> lucrărilor de delimitare </w:t>
            </w:r>
            <w:r w:rsidR="001F60BD">
              <w:rPr>
                <w:b w:val="0"/>
                <w:sz w:val="28"/>
                <w:szCs w:val="28"/>
                <w:lang w:val="ro-RO"/>
              </w:rPr>
              <w:t xml:space="preserve">selectivă </w:t>
            </w:r>
            <w:r>
              <w:rPr>
                <w:b w:val="0"/>
                <w:sz w:val="28"/>
                <w:szCs w:val="28"/>
                <w:lang w:val="ro-RO"/>
              </w:rPr>
              <w:t>a acestuia</w:t>
            </w:r>
            <w:r w:rsidR="001F60BD">
              <w:rPr>
                <w:b w:val="0"/>
                <w:sz w:val="28"/>
                <w:szCs w:val="28"/>
                <w:lang w:val="ro-RO"/>
              </w:rPr>
              <w:t xml:space="preserve"> și înregistrarea </w:t>
            </w:r>
            <w:r w:rsidR="00B34EE1">
              <w:rPr>
                <w:b w:val="0"/>
                <w:sz w:val="28"/>
                <w:szCs w:val="28"/>
                <w:lang w:val="ro-RO"/>
              </w:rPr>
              <w:t xml:space="preserve">în ordinea stabilită a </w:t>
            </w:r>
            <w:bookmarkStart w:id="0" w:name="_GoBack"/>
            <w:bookmarkEnd w:id="0"/>
            <w:r w:rsidR="001F60BD">
              <w:rPr>
                <w:b w:val="0"/>
                <w:sz w:val="28"/>
                <w:szCs w:val="28"/>
                <w:lang w:val="ro-RO"/>
              </w:rPr>
              <w:t>dreptului de proprietate al statului</w:t>
            </w:r>
            <w:r>
              <w:rPr>
                <w:b w:val="0"/>
                <w:sz w:val="28"/>
                <w:szCs w:val="28"/>
                <w:lang w:val="ro-RO"/>
              </w:rPr>
              <w:t xml:space="preserve">. </w:t>
            </w:r>
            <w:r>
              <w:rPr>
                <w:b w:val="0"/>
                <w:bCs w:val="0"/>
                <w:sz w:val="28"/>
                <w:szCs w:val="28"/>
                <w:lang w:val="ro-MD"/>
              </w:rPr>
              <w:t xml:space="preserve">      </w:t>
            </w:r>
            <w:r w:rsidR="00B365F5">
              <w:rPr>
                <w:b w:val="0"/>
                <w:bCs w:val="0"/>
                <w:sz w:val="28"/>
                <w:szCs w:val="28"/>
                <w:lang w:val="ro-MD"/>
              </w:rPr>
              <w:t xml:space="preserve">     </w:t>
            </w:r>
          </w:p>
        </w:tc>
      </w:tr>
      <w:tr w:rsidR="00B365F5" w:rsidRPr="005101A1" w14:paraId="5431099D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10818752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3. Principalele prevederi ale proiectului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evidenţierea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B365F5" w:rsidRPr="005101A1" w14:paraId="53B1DF89" w14:textId="77777777" w:rsidTr="009B48C1">
        <w:tc>
          <w:tcPr>
            <w:tcW w:w="5000" w:type="pct"/>
          </w:tcPr>
          <w:p w14:paraId="784AA80B" w14:textId="77777777" w:rsidR="00B365F5" w:rsidRPr="0067721A" w:rsidRDefault="00B365F5" w:rsidP="009B48C1">
            <w:pPr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</w:t>
            </w:r>
          </w:p>
          <w:p w14:paraId="631DB04B" w14:textId="65155365" w:rsidR="00B365F5" w:rsidRPr="0042477B" w:rsidRDefault="001F60BD" w:rsidP="004F635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="00B365F5" w:rsidRPr="0067721A">
              <w:rPr>
                <w:sz w:val="28"/>
                <w:szCs w:val="28"/>
                <w:lang w:val="ro-RO"/>
              </w:rPr>
              <w:t xml:space="preserve">Proiectul hotărârii Guvernului prevede transmiterea </w:t>
            </w:r>
            <w:r w:rsidR="00B365F5">
              <w:rPr>
                <w:sz w:val="28"/>
                <w:szCs w:val="28"/>
                <w:lang w:val="ro-RO"/>
              </w:rPr>
              <w:t xml:space="preserve">din proprietatea statului în </w:t>
            </w:r>
            <w:r w:rsidR="00B365F5" w:rsidRPr="0042477B">
              <w:rPr>
                <w:sz w:val="28"/>
                <w:szCs w:val="28"/>
                <w:lang w:val="ro-RO"/>
              </w:rPr>
              <w:t xml:space="preserve">proprietatea </w:t>
            </w:r>
            <w:r w:rsidR="0042477B" w:rsidRPr="0042477B">
              <w:rPr>
                <w:sz w:val="28"/>
                <w:szCs w:val="28"/>
                <w:lang w:val="ro-RO"/>
              </w:rPr>
              <w:t xml:space="preserve">Consiliului municipal </w:t>
            </w:r>
            <w:proofErr w:type="spellStart"/>
            <w:r w:rsidR="0042477B" w:rsidRPr="0042477B">
              <w:rPr>
                <w:sz w:val="28"/>
                <w:szCs w:val="28"/>
                <w:lang w:val="ro-RO"/>
              </w:rPr>
              <w:t>Edineț</w:t>
            </w:r>
            <w:proofErr w:type="spellEnd"/>
            <w:r w:rsidR="0042477B" w:rsidRPr="0042477B">
              <w:rPr>
                <w:sz w:val="28"/>
                <w:szCs w:val="28"/>
                <w:lang w:val="ro-RO"/>
              </w:rPr>
              <w:t xml:space="preserve"> </w:t>
            </w:r>
            <w:r w:rsidR="00B365F5" w:rsidRPr="0042477B">
              <w:rPr>
                <w:sz w:val="28"/>
                <w:szCs w:val="28"/>
                <w:lang w:val="ro-RO"/>
              </w:rPr>
              <w:t>a bunu</w:t>
            </w:r>
            <w:r w:rsidR="00683E7F">
              <w:rPr>
                <w:sz w:val="28"/>
                <w:szCs w:val="28"/>
                <w:lang w:val="ro-RO"/>
              </w:rPr>
              <w:t>lui</w:t>
            </w:r>
            <w:r w:rsidR="00B365F5" w:rsidRPr="0042477B">
              <w:rPr>
                <w:sz w:val="28"/>
                <w:szCs w:val="28"/>
                <w:lang w:val="ro-RO"/>
              </w:rPr>
              <w:t xml:space="preserve"> imobil </w:t>
            </w:r>
            <w:r w:rsidR="0042477B">
              <w:rPr>
                <w:sz w:val="28"/>
                <w:szCs w:val="28"/>
                <w:lang w:val="ro-RO"/>
              </w:rPr>
              <w:t xml:space="preserve">(construcție) </w:t>
            </w:r>
            <w:r w:rsidR="00B365F5" w:rsidRPr="0042477B">
              <w:rPr>
                <w:sz w:val="28"/>
                <w:szCs w:val="28"/>
                <w:lang w:val="ro-RO"/>
              </w:rPr>
              <w:t>amplasat în</w:t>
            </w:r>
            <w:r w:rsidR="0042477B">
              <w:rPr>
                <w:sz w:val="28"/>
                <w:szCs w:val="28"/>
                <w:lang w:val="ro-RO"/>
              </w:rPr>
              <w:t xml:space="preserve"> </w:t>
            </w:r>
            <w:r w:rsidR="0042477B" w:rsidRPr="0042477B">
              <w:rPr>
                <w:bCs/>
                <w:sz w:val="28"/>
                <w:szCs w:val="28"/>
                <w:lang w:val="ro-RO"/>
              </w:rPr>
              <w:t xml:space="preserve">str. Iu. Gagarin, 47, mun. </w:t>
            </w:r>
            <w:proofErr w:type="spellStart"/>
            <w:r w:rsidR="0042477B" w:rsidRPr="0042477B">
              <w:rPr>
                <w:bCs/>
                <w:sz w:val="28"/>
                <w:szCs w:val="28"/>
                <w:lang w:val="ro-RO"/>
              </w:rPr>
              <w:t>Edineț</w:t>
            </w:r>
            <w:proofErr w:type="spellEnd"/>
            <w:r w:rsidR="0042477B">
              <w:rPr>
                <w:bCs/>
                <w:sz w:val="28"/>
                <w:szCs w:val="28"/>
                <w:lang w:val="ro-RO"/>
              </w:rPr>
              <w:t>.</w:t>
            </w:r>
          </w:p>
          <w:p w14:paraId="3FDB1B44" w14:textId="080EAFA2" w:rsidR="00B365F5" w:rsidRPr="0067721A" w:rsidRDefault="001F60BD" w:rsidP="004F635D">
            <w:pPr>
              <w:pStyle w:val="a3"/>
              <w:tabs>
                <w:tab w:val="left" w:pos="851"/>
                <w:tab w:val="left" w:pos="993"/>
              </w:tabs>
              <w:ind w:firstLine="0"/>
              <w:rPr>
                <w:sz w:val="16"/>
                <w:szCs w:val="1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     </w:t>
            </w:r>
            <w:r w:rsidR="00B365F5">
              <w:rPr>
                <w:sz w:val="28"/>
                <w:szCs w:val="28"/>
                <w:lang w:val="ro-RO"/>
              </w:rPr>
              <w:t>Concomitent</w:t>
            </w:r>
            <w:r w:rsidR="00B365F5" w:rsidRPr="0067721A">
              <w:rPr>
                <w:sz w:val="28"/>
                <w:szCs w:val="28"/>
                <w:lang w:val="ro-RO"/>
              </w:rPr>
              <w:t xml:space="preserve">, proiectul stabilește că, </w:t>
            </w:r>
            <w:r w:rsidR="00B365F5" w:rsidRPr="0067721A">
              <w:rPr>
                <w:sz w:val="28"/>
                <w:szCs w:val="28"/>
                <w:lang w:val="ro-MD"/>
              </w:rPr>
              <w:t xml:space="preserve">Ministerul Afacerilor Interne </w:t>
            </w:r>
            <w:r w:rsidR="00B365F5">
              <w:rPr>
                <w:sz w:val="28"/>
                <w:szCs w:val="28"/>
                <w:lang w:val="ro-MD"/>
              </w:rPr>
              <w:t>în comun cu</w:t>
            </w:r>
            <w:r w:rsidR="00B365F5" w:rsidRPr="0067721A">
              <w:rPr>
                <w:sz w:val="28"/>
                <w:szCs w:val="28"/>
                <w:lang w:val="ro-MD"/>
              </w:rPr>
              <w:t xml:space="preserve"> </w:t>
            </w:r>
            <w:r w:rsidR="00015EFB">
              <w:rPr>
                <w:sz w:val="28"/>
                <w:szCs w:val="28"/>
                <w:lang w:val="ro-MD"/>
              </w:rPr>
              <w:t xml:space="preserve">Consiliul municipal </w:t>
            </w:r>
            <w:proofErr w:type="spellStart"/>
            <w:r w:rsidR="00015EFB">
              <w:rPr>
                <w:sz w:val="28"/>
                <w:szCs w:val="28"/>
                <w:lang w:val="ro-MD"/>
              </w:rPr>
              <w:t>Edineț</w:t>
            </w:r>
            <w:proofErr w:type="spellEnd"/>
            <w:r w:rsidR="00B365F5" w:rsidRPr="0067721A">
              <w:rPr>
                <w:sz w:val="28"/>
                <w:szCs w:val="28"/>
                <w:lang w:val="ro-MD"/>
              </w:rPr>
              <w:t xml:space="preserve">, vor institui </w:t>
            </w:r>
            <w:r w:rsidR="00683E7F">
              <w:rPr>
                <w:sz w:val="28"/>
                <w:szCs w:val="28"/>
                <w:lang w:val="ro-MD"/>
              </w:rPr>
              <w:t>comisia de</w:t>
            </w:r>
            <w:r w:rsidR="00B365F5" w:rsidRPr="0067721A">
              <w:rPr>
                <w:sz w:val="28"/>
                <w:szCs w:val="28"/>
                <w:lang w:val="ro-MD"/>
              </w:rPr>
              <w:t xml:space="preserve"> transmitere și vor asigura, în termen de 30 zile, transmiterea bunu</w:t>
            </w:r>
            <w:r w:rsidR="00683E7F">
              <w:rPr>
                <w:sz w:val="28"/>
                <w:szCs w:val="28"/>
                <w:lang w:val="ro-MD"/>
              </w:rPr>
              <w:t>lui</w:t>
            </w:r>
            <w:r w:rsidR="00B365F5" w:rsidRPr="0067721A">
              <w:rPr>
                <w:sz w:val="28"/>
                <w:szCs w:val="28"/>
                <w:lang w:val="ro-MD"/>
              </w:rPr>
              <w:t xml:space="preserve"> în conformitate cu prevederile Regulamentului cu privire la modul de transmitere a bunurilor proprietate publică, aprobat prin Hotărârea Guvernului nr. 901/2015.    </w:t>
            </w:r>
            <w:r w:rsidR="00B365F5" w:rsidRPr="0067721A">
              <w:rPr>
                <w:sz w:val="28"/>
                <w:szCs w:val="28"/>
                <w:lang w:val="ro-RO"/>
              </w:rPr>
              <w:t xml:space="preserve">    </w:t>
            </w:r>
          </w:p>
        </w:tc>
      </w:tr>
      <w:tr w:rsidR="00B365F5" w:rsidRPr="0067721A" w14:paraId="55CA1143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69D970D2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lastRenderedPageBreak/>
              <w:t xml:space="preserve"> 4. Fundamentarea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B365F5" w:rsidRPr="005101A1" w14:paraId="18A5432E" w14:textId="77777777" w:rsidTr="009B48C1">
        <w:tc>
          <w:tcPr>
            <w:tcW w:w="5000" w:type="pct"/>
          </w:tcPr>
          <w:p w14:paraId="44052389" w14:textId="77777777" w:rsidR="00B365F5" w:rsidRPr="0067721A" w:rsidRDefault="00B365F5" w:rsidP="009B48C1">
            <w:pPr>
              <w:jc w:val="both"/>
              <w:rPr>
                <w:sz w:val="16"/>
                <w:szCs w:val="16"/>
                <w:lang w:val="ro-RO"/>
              </w:rPr>
            </w:pPr>
          </w:p>
          <w:p w14:paraId="3C335734" w14:textId="2F02D0D6" w:rsidR="00B365F5" w:rsidRPr="0067721A" w:rsidRDefault="00B365F5" w:rsidP="00683E7F">
            <w:pPr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  <w:r w:rsidR="001F60BD">
              <w:rPr>
                <w:sz w:val="28"/>
                <w:szCs w:val="28"/>
                <w:lang w:val="ro-RO"/>
              </w:rPr>
              <w:t xml:space="preserve">  </w:t>
            </w:r>
            <w:r w:rsidRPr="0067721A">
              <w:rPr>
                <w:sz w:val="28"/>
                <w:szCs w:val="28"/>
                <w:lang w:val="ro-RO"/>
              </w:rPr>
              <w:t>Reieșind din scopul proiectului actului normativ, implementarea prezentei hotărâri nu va implica cheltuieli financiare suplimentare din contul bugetului de stat.</w:t>
            </w:r>
          </w:p>
        </w:tc>
      </w:tr>
      <w:tr w:rsidR="00B365F5" w:rsidRPr="005101A1" w14:paraId="33CCACAB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170EF4A9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5. Avizarea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B365F5" w:rsidRPr="005101A1" w14:paraId="159FB89D" w14:textId="77777777" w:rsidTr="009B48C1">
        <w:tc>
          <w:tcPr>
            <w:tcW w:w="5000" w:type="pct"/>
            <w:shd w:val="clear" w:color="auto" w:fill="FFFFFF" w:themeFill="background1"/>
          </w:tcPr>
          <w:p w14:paraId="4E08FB94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</w:t>
            </w:r>
          </w:p>
          <w:p w14:paraId="49A84657" w14:textId="1A127B0F" w:rsidR="00B365F5" w:rsidRDefault="00B365F5" w:rsidP="009B48C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 În scopul respectării prevederilor Legii nr.100/2017 cu privire la actele normative și Legii nr. 239/2008 privind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în procesul decizional,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anunţul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privind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procesului de elaborare a proiectului hotărârii Guvernului cu privire la transmiterea un</w:t>
            </w:r>
            <w:r w:rsidR="004F635D">
              <w:rPr>
                <w:sz w:val="28"/>
                <w:szCs w:val="28"/>
                <w:lang w:val="ro-RO"/>
              </w:rPr>
              <w:t>ui</w:t>
            </w:r>
            <w:r w:rsidRPr="0067721A">
              <w:rPr>
                <w:sz w:val="28"/>
                <w:szCs w:val="28"/>
                <w:lang w:val="ro-RO"/>
              </w:rPr>
              <w:t xml:space="preserve"> bun imobil</w:t>
            </w:r>
            <w:r w:rsidR="004F635D">
              <w:rPr>
                <w:sz w:val="28"/>
                <w:szCs w:val="28"/>
                <w:lang w:val="ro-RO"/>
              </w:rPr>
              <w:t xml:space="preserve"> </w:t>
            </w:r>
            <w:r w:rsidRPr="0067721A">
              <w:rPr>
                <w:sz w:val="28"/>
                <w:szCs w:val="28"/>
                <w:lang w:val="ro-RO"/>
              </w:rPr>
              <w:t xml:space="preserve">este plasat pe pagina-web oficială a Ministerului Afacerilor Interne, în directoriul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>/Consultări publice/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elaborării actelor normative. </w:t>
            </w:r>
          </w:p>
          <w:p w14:paraId="579F4ED2" w14:textId="0CD2B0A2" w:rsidR="00B365F5" w:rsidRPr="00BA24C2" w:rsidRDefault="001F60BD" w:rsidP="009B48C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</w:t>
            </w:r>
            <w:r w:rsidR="00B365F5" w:rsidRPr="0044060D">
              <w:rPr>
                <w:sz w:val="28"/>
                <w:szCs w:val="28"/>
                <w:lang w:val="ro-RO"/>
              </w:rPr>
              <w:t>Concomitent, în conformitate cu procedurile stabilite, va fi asigurată avizarea proiectului cu autoritățile competente.</w:t>
            </w:r>
          </w:p>
        </w:tc>
      </w:tr>
      <w:tr w:rsidR="00B365F5" w:rsidRPr="0067721A" w14:paraId="0971EBBC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2B7A2F36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6. Constatările expertizei juridice</w:t>
            </w:r>
          </w:p>
        </w:tc>
      </w:tr>
      <w:tr w:rsidR="00B365F5" w:rsidRPr="005101A1" w14:paraId="6C024551" w14:textId="77777777" w:rsidTr="009B48C1">
        <w:tc>
          <w:tcPr>
            <w:tcW w:w="5000" w:type="pct"/>
          </w:tcPr>
          <w:p w14:paraId="726D38DA" w14:textId="77777777" w:rsidR="00B365F5" w:rsidRPr="0067721A" w:rsidRDefault="00B365F5" w:rsidP="009B48C1">
            <w:pPr>
              <w:ind w:firstLine="708"/>
              <w:jc w:val="both"/>
              <w:rPr>
                <w:sz w:val="16"/>
                <w:szCs w:val="16"/>
                <w:lang w:val="ro-RO"/>
              </w:rPr>
            </w:pPr>
          </w:p>
          <w:p w14:paraId="00F2570D" w14:textId="62FBDE04" w:rsidR="00B365F5" w:rsidRPr="0067721A" w:rsidRDefault="00B365F5" w:rsidP="00683E7F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403993">
              <w:rPr>
                <w:sz w:val="28"/>
                <w:szCs w:val="28"/>
                <w:lang w:val="ro-RO"/>
              </w:rPr>
              <w:t xml:space="preserve">Proiectul va fi supus expertizei juridice. Recomandările vor fi incluse în sinteza obiecțiilor </w:t>
            </w:r>
            <w:proofErr w:type="spellStart"/>
            <w:r w:rsidRPr="0040399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403993">
              <w:rPr>
                <w:sz w:val="28"/>
                <w:szCs w:val="28"/>
                <w:lang w:val="ro-RO"/>
              </w:rPr>
              <w:t xml:space="preserve"> propunerilor (recomandărilor).   </w:t>
            </w:r>
          </w:p>
        </w:tc>
      </w:tr>
      <w:tr w:rsidR="00B365F5" w:rsidRPr="007257CD" w14:paraId="22EA3085" w14:textId="77777777" w:rsidTr="009B48C1">
        <w:tc>
          <w:tcPr>
            <w:tcW w:w="5000" w:type="pct"/>
            <w:shd w:val="clear" w:color="auto" w:fill="D9D9D9" w:themeFill="background1" w:themeFillShade="D9"/>
          </w:tcPr>
          <w:p w14:paraId="2E2A2C17" w14:textId="77777777" w:rsidR="00B365F5" w:rsidRPr="0067721A" w:rsidRDefault="00B365F5" w:rsidP="009B48C1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7. Constatările expertizei anticorupție</w:t>
            </w:r>
          </w:p>
        </w:tc>
      </w:tr>
      <w:tr w:rsidR="00B365F5" w:rsidRPr="005101A1" w14:paraId="055B84EB" w14:textId="77777777" w:rsidTr="009B48C1">
        <w:tc>
          <w:tcPr>
            <w:tcW w:w="5000" w:type="pct"/>
          </w:tcPr>
          <w:p w14:paraId="0D5420B5" w14:textId="77777777" w:rsidR="00B365F5" w:rsidRDefault="00B365F5" w:rsidP="009B48C1">
            <w:pPr>
              <w:jc w:val="both"/>
              <w:rPr>
                <w:sz w:val="28"/>
                <w:szCs w:val="28"/>
                <w:lang w:val="ro-RO"/>
              </w:rPr>
            </w:pPr>
            <w:r w:rsidRPr="00403993">
              <w:rPr>
                <w:sz w:val="28"/>
                <w:szCs w:val="28"/>
                <w:lang w:val="ro-RO"/>
              </w:rPr>
              <w:t xml:space="preserve">      </w:t>
            </w:r>
          </w:p>
          <w:p w14:paraId="542AB480" w14:textId="7381323E" w:rsidR="00B365F5" w:rsidRPr="00403993" w:rsidRDefault="00B365F5" w:rsidP="00683E7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</w:t>
            </w:r>
            <w:r w:rsidRPr="00403993">
              <w:rPr>
                <w:sz w:val="28"/>
                <w:szCs w:val="28"/>
                <w:lang w:val="ro-RO"/>
              </w:rPr>
              <w:t xml:space="preserve">Proiectul va fi supus expertizei anticorupție. Recomandările vor fi incluse în sinteza obiecțiilor </w:t>
            </w:r>
            <w:proofErr w:type="spellStart"/>
            <w:r w:rsidRPr="0040399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403993">
              <w:rPr>
                <w:sz w:val="28"/>
                <w:szCs w:val="28"/>
                <w:lang w:val="ro-RO"/>
              </w:rPr>
              <w:t xml:space="preserve"> propunerilor (recomandărilor).   </w:t>
            </w:r>
          </w:p>
        </w:tc>
      </w:tr>
    </w:tbl>
    <w:p w14:paraId="2306ECDC" w14:textId="77777777" w:rsidR="00B365F5" w:rsidRPr="0067721A" w:rsidRDefault="00B365F5" w:rsidP="00B365F5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14:paraId="5BB98452" w14:textId="77777777" w:rsidR="00B365F5" w:rsidRPr="0067721A" w:rsidRDefault="00B365F5" w:rsidP="00B365F5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14:paraId="771613CE" w14:textId="77777777" w:rsidR="00B365F5" w:rsidRPr="0067721A" w:rsidRDefault="00B365F5" w:rsidP="00B365F5">
      <w:pPr>
        <w:rPr>
          <w:lang w:val="ro-RO"/>
        </w:rPr>
      </w:pPr>
      <w:r w:rsidRPr="0067721A">
        <w:rPr>
          <w:b/>
          <w:sz w:val="28"/>
          <w:szCs w:val="28"/>
          <w:lang w:val="fr-FR"/>
        </w:rPr>
        <w:t>Secretar general al ministerului</w:t>
      </w:r>
      <w:r w:rsidRPr="0067721A">
        <w:rPr>
          <w:b/>
          <w:sz w:val="28"/>
          <w:szCs w:val="28"/>
          <w:lang w:val="fr-FR"/>
        </w:rPr>
        <w:tab/>
        <w:t xml:space="preserve">                                           Serghei DIACONU</w:t>
      </w:r>
    </w:p>
    <w:p w14:paraId="313A46AE" w14:textId="77777777" w:rsidR="00796A56" w:rsidRPr="00B365F5" w:rsidRDefault="00796A56">
      <w:pPr>
        <w:rPr>
          <w:lang w:val="ro-RO"/>
        </w:rPr>
      </w:pPr>
    </w:p>
    <w:sectPr w:rsidR="00796A56" w:rsidRPr="00B365F5" w:rsidSect="00B20231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6DD"/>
    <w:multiLevelType w:val="hybridMultilevel"/>
    <w:tmpl w:val="751ACF38"/>
    <w:lvl w:ilvl="0" w:tplc="85F22046">
      <w:start w:val="1"/>
      <w:numFmt w:val="bullet"/>
      <w:lvlText w:val="-"/>
      <w:lvlJc w:val="left"/>
      <w:pPr>
        <w:ind w:left="8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>
    <w:nsid w:val="086F42C9"/>
    <w:multiLevelType w:val="hybridMultilevel"/>
    <w:tmpl w:val="85C8DB18"/>
    <w:lvl w:ilvl="0" w:tplc="825EF3B8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>
    <w:nsid w:val="104C6F0F"/>
    <w:multiLevelType w:val="hybridMultilevel"/>
    <w:tmpl w:val="DA546F42"/>
    <w:lvl w:ilvl="0" w:tplc="D2546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4EAB"/>
    <w:multiLevelType w:val="hybridMultilevel"/>
    <w:tmpl w:val="1F74EBD0"/>
    <w:lvl w:ilvl="0" w:tplc="2FECC8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CE2"/>
    <w:multiLevelType w:val="hybridMultilevel"/>
    <w:tmpl w:val="62AA6A8E"/>
    <w:lvl w:ilvl="0" w:tplc="D2546A14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3A"/>
    <w:rsid w:val="00015EFB"/>
    <w:rsid w:val="001F60BD"/>
    <w:rsid w:val="00320BA8"/>
    <w:rsid w:val="003E4935"/>
    <w:rsid w:val="0042477B"/>
    <w:rsid w:val="004C4B63"/>
    <w:rsid w:val="004F635D"/>
    <w:rsid w:val="005101A1"/>
    <w:rsid w:val="0051203E"/>
    <w:rsid w:val="00683E7F"/>
    <w:rsid w:val="00733024"/>
    <w:rsid w:val="00787170"/>
    <w:rsid w:val="00796A56"/>
    <w:rsid w:val="007B54D8"/>
    <w:rsid w:val="008D698E"/>
    <w:rsid w:val="0094223A"/>
    <w:rsid w:val="00A164BF"/>
    <w:rsid w:val="00A27EAF"/>
    <w:rsid w:val="00A50623"/>
    <w:rsid w:val="00A6719A"/>
    <w:rsid w:val="00B34EE1"/>
    <w:rsid w:val="00B365F5"/>
    <w:rsid w:val="00B5213A"/>
    <w:rsid w:val="00CB1179"/>
    <w:rsid w:val="00D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1D80"/>
  <w15:chartTrackingRefBased/>
  <w15:docId w15:val="{8ACE7948-41FC-4B49-8338-7BD0D3D6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65F5"/>
    <w:pPr>
      <w:ind w:firstLine="567"/>
      <w:jc w:val="both"/>
    </w:pPr>
  </w:style>
  <w:style w:type="paragraph" w:customStyle="1" w:styleId="cp">
    <w:name w:val="cp"/>
    <w:basedOn w:val="a"/>
    <w:rsid w:val="00B365F5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3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PC</cp:lastModifiedBy>
  <cp:revision>13</cp:revision>
  <dcterms:created xsi:type="dcterms:W3CDTF">2022-11-14T10:26:00Z</dcterms:created>
  <dcterms:modified xsi:type="dcterms:W3CDTF">2022-11-14T11:05:00Z</dcterms:modified>
</cp:coreProperties>
</file>