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621"/>
        <w:gridCol w:w="1985"/>
      </w:tblGrid>
      <w:tr w:rsidR="00B41FA8" w14:paraId="3A285CE7" w14:textId="77777777" w:rsidTr="00A22A0B">
        <w:tc>
          <w:tcPr>
            <w:tcW w:w="959" w:type="dxa"/>
          </w:tcPr>
          <w:p w14:paraId="25C31F42" w14:textId="77777777" w:rsidR="00B41FA8" w:rsidRPr="00F3473F" w:rsidRDefault="00B41FA8" w:rsidP="00A22A0B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7621" w:type="dxa"/>
          </w:tcPr>
          <w:p w14:paraId="4992F92C" w14:textId="77777777" w:rsidR="00B41FA8" w:rsidRDefault="00B41FA8" w:rsidP="00A22A0B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B14601" wp14:editId="50D794CA">
                  <wp:extent cx="1393200" cy="900000"/>
                  <wp:effectExtent l="0" t="0" r="0" b="0"/>
                  <wp:docPr id="3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DF0CA" w14:textId="77777777" w:rsidR="00B41FA8" w:rsidRPr="00900C2E" w:rsidRDefault="00B41FA8" w:rsidP="00A22A0B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eastAsia="ru-RU"/>
              </w:rPr>
            </w:pPr>
            <w:r w:rsidRPr="00900C2E">
              <w:rPr>
                <w:rFonts w:ascii="Times New Roman" w:eastAsia="Times New Roman" w:hAnsi="Times New Roman" w:cs="Aharoni"/>
                <w:bCs/>
                <w:sz w:val="28"/>
                <w:szCs w:val="28"/>
                <w:lang w:eastAsia="ru-RU"/>
              </w:rPr>
              <w:t xml:space="preserve">     CONSILIUL MUNICIPAL CHIȘINĂU</w:t>
            </w:r>
          </w:p>
          <w:p w14:paraId="62BB4D1F" w14:textId="77777777" w:rsidR="00B41FA8" w:rsidRPr="00900C2E" w:rsidRDefault="00B41FA8" w:rsidP="00A22A0B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rFonts w:cs="Aharoni"/>
                <w:b w:val="0"/>
                <w:sz w:val="28"/>
                <w:szCs w:val="28"/>
              </w:rPr>
            </w:pPr>
            <w:r>
              <w:rPr>
                <w:rFonts w:cs="Aharoni"/>
                <w:b w:val="0"/>
                <w:sz w:val="28"/>
                <w:szCs w:val="28"/>
              </w:rPr>
              <w:t>PRIMAR</w:t>
            </w:r>
            <w:r w:rsidRPr="00900C2E">
              <w:rPr>
                <w:rFonts w:cs="Aharoni"/>
                <w:b w:val="0"/>
                <w:sz w:val="28"/>
                <w:szCs w:val="28"/>
              </w:rPr>
              <w:t xml:space="preserve"> </w:t>
            </w:r>
            <w:r>
              <w:rPr>
                <w:rFonts w:cs="Aharoni"/>
                <w:b w:val="0"/>
                <w:sz w:val="28"/>
                <w:szCs w:val="28"/>
              </w:rPr>
              <w:t>GENERAL AL MUNICIPIULUI CHIȘINĂU</w:t>
            </w:r>
          </w:p>
          <w:p w14:paraId="468A9300" w14:textId="77777777" w:rsidR="00B41FA8" w:rsidRDefault="00B41FA8" w:rsidP="00A22A0B">
            <w:pPr>
              <w:pStyle w:val="1"/>
              <w:outlineLvl w:val="0"/>
              <w:rPr>
                <w:rFonts w:eastAsia="Times New Roman" w:cs="Aharoni"/>
              </w:rPr>
            </w:pPr>
            <w:r w:rsidRPr="001F5F41">
              <w:rPr>
                <w:rFonts w:eastAsia="Times New Roman" w:cs="Aharoni"/>
              </w:rPr>
              <w:t>DIRECȚ</w:t>
            </w:r>
            <w:r>
              <w:rPr>
                <w:rFonts w:eastAsia="Times New Roman" w:cs="Aharoni"/>
              </w:rPr>
              <w:t xml:space="preserve">IA GENERALĂ TRANSPORT PUBLIC </w:t>
            </w:r>
          </w:p>
          <w:p w14:paraId="4D3640B0" w14:textId="77777777" w:rsidR="00B41FA8" w:rsidRPr="00486F5F" w:rsidRDefault="00B41FA8" w:rsidP="00A22A0B">
            <w:pPr>
              <w:pStyle w:val="1"/>
              <w:outlineLvl w:val="0"/>
              <w:rPr>
                <w:rFonts w:eastAsia="Times New Roman" w:cs="Aharoni"/>
                <w:b w:val="0"/>
                <w:bCs w:val="0"/>
                <w:sz w:val="10"/>
                <w:szCs w:val="10"/>
              </w:rPr>
            </w:pPr>
            <w:r>
              <w:rPr>
                <w:rFonts w:eastAsia="Times New Roman" w:cs="Aharoni"/>
              </w:rPr>
              <w:t>ȘI CĂI DE COMUNICAȚIE</w:t>
            </w:r>
          </w:p>
        </w:tc>
        <w:tc>
          <w:tcPr>
            <w:tcW w:w="1985" w:type="dxa"/>
          </w:tcPr>
          <w:p w14:paraId="355C8A09" w14:textId="77777777" w:rsidR="00B41FA8" w:rsidRDefault="00B41FA8" w:rsidP="00A22A0B"/>
        </w:tc>
      </w:tr>
    </w:tbl>
    <w:p w14:paraId="3980D765" w14:textId="77777777" w:rsidR="00B41FA8" w:rsidRDefault="00B41FA8" w:rsidP="00B41FA8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7973EFF5" wp14:editId="6FC97D64">
            <wp:extent cx="6004560" cy="76200"/>
            <wp:effectExtent l="0" t="0" r="0" b="0"/>
            <wp:docPr id="3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4107D" w14:textId="77777777" w:rsidR="00B41FA8" w:rsidRDefault="00B41FA8" w:rsidP="00B41FA8">
      <w:pPr>
        <w:pStyle w:val="a4"/>
        <w:rPr>
          <w:rFonts w:ascii="Times New Roman" w:hAnsi="Times New Roman" w:cs="Times New Roman"/>
          <w:lang w:val="ro-RO"/>
        </w:rPr>
      </w:pPr>
    </w:p>
    <w:p w14:paraId="48895A3C" w14:textId="77777777" w:rsidR="00B41FA8" w:rsidRPr="00602934" w:rsidRDefault="00B41FA8" w:rsidP="00B41FA8">
      <w:pPr>
        <w:pStyle w:val="a4"/>
        <w:rPr>
          <w:rFonts w:ascii="Times New Roman" w:hAnsi="Times New Roman" w:cs="Times New Roman"/>
          <w:lang w:val="ro-RO"/>
        </w:rPr>
      </w:pPr>
      <w:r w:rsidRPr="00602934">
        <w:rPr>
          <w:rFonts w:ascii="Times New Roman" w:hAnsi="Times New Roman" w:cs="Times New Roman"/>
          <w:lang w:val="ro-RO"/>
        </w:rPr>
        <w:t>nr.  ____</w:t>
      </w:r>
      <w:r>
        <w:rPr>
          <w:rFonts w:ascii="Times New Roman" w:hAnsi="Times New Roman" w:cs="Times New Roman"/>
          <w:lang w:val="ro-RO"/>
        </w:rPr>
        <w:t>___</w:t>
      </w:r>
      <w:r w:rsidRPr="00602934">
        <w:rPr>
          <w:rFonts w:ascii="Times New Roman" w:hAnsi="Times New Roman" w:cs="Times New Roman"/>
          <w:lang w:val="ro-RO"/>
        </w:rPr>
        <w:t>_</w:t>
      </w:r>
      <w:r>
        <w:rPr>
          <w:rFonts w:ascii="Times New Roman" w:hAnsi="Times New Roman" w:cs="Times New Roman"/>
          <w:lang w:val="ro-RO"/>
        </w:rPr>
        <w:t>________din______________</w:t>
      </w:r>
    </w:p>
    <w:p w14:paraId="58578CEE" w14:textId="77777777" w:rsidR="00B41FA8" w:rsidRPr="00602934" w:rsidRDefault="00B41FA8" w:rsidP="00B41FA8">
      <w:pPr>
        <w:pStyle w:val="a4"/>
        <w:spacing w:before="80" w:after="80"/>
        <w:rPr>
          <w:rFonts w:ascii="Times New Roman" w:hAnsi="Times New Roman" w:cs="Times New Roman"/>
          <w:sz w:val="6"/>
          <w:szCs w:val="6"/>
          <w:lang w:val="ro-RO"/>
        </w:rPr>
      </w:pPr>
      <w:r w:rsidRPr="00602934">
        <w:rPr>
          <w:rFonts w:ascii="Times New Roman" w:hAnsi="Times New Roman" w:cs="Times New Roman"/>
          <w:sz w:val="6"/>
          <w:szCs w:val="6"/>
          <w:lang w:val="ro-RO"/>
        </w:rPr>
        <w:tab/>
      </w:r>
    </w:p>
    <w:p w14:paraId="46E2AAA4" w14:textId="26107A46" w:rsidR="00B41FA8" w:rsidRDefault="00B41FA8" w:rsidP="001E6E26">
      <w:pPr>
        <w:pStyle w:val="a4"/>
        <w:spacing w:before="80" w:after="80"/>
        <w:rPr>
          <w:rFonts w:ascii="Times New Roman" w:hAnsi="Times New Roman" w:cs="Times New Roman"/>
          <w:lang w:val="ro-RO"/>
        </w:rPr>
      </w:pPr>
      <w:r w:rsidRPr="00602934">
        <w:rPr>
          <w:rFonts w:ascii="Times New Roman" w:hAnsi="Times New Roman" w:cs="Times New Roman"/>
          <w:lang w:val="ro-RO"/>
        </w:rPr>
        <w:t>la  nr. __</w:t>
      </w:r>
      <w:r>
        <w:rPr>
          <w:rFonts w:ascii="Times New Roman" w:hAnsi="Times New Roman" w:cs="Times New Roman"/>
          <w:lang w:val="ro-RO"/>
        </w:rPr>
        <w:t>__</w:t>
      </w:r>
      <w:r w:rsidRPr="00602934">
        <w:rPr>
          <w:rFonts w:ascii="Times New Roman" w:hAnsi="Times New Roman" w:cs="Times New Roman"/>
          <w:lang w:val="ro-RO"/>
        </w:rPr>
        <w:t>__</w:t>
      </w:r>
      <w:r>
        <w:rPr>
          <w:rFonts w:ascii="Times New Roman" w:hAnsi="Times New Roman" w:cs="Times New Roman"/>
          <w:lang w:val="ro-RO"/>
        </w:rPr>
        <w:t>________</w:t>
      </w:r>
      <w:r w:rsidRPr="00602934">
        <w:rPr>
          <w:rFonts w:ascii="Times New Roman" w:hAnsi="Times New Roman" w:cs="Times New Roman"/>
          <w:lang w:val="ro-RO"/>
        </w:rPr>
        <w:t>din ____</w:t>
      </w:r>
      <w:r>
        <w:rPr>
          <w:rFonts w:ascii="Times New Roman" w:hAnsi="Times New Roman" w:cs="Times New Roman"/>
          <w:lang w:val="ro-RO"/>
        </w:rPr>
        <w:t>__</w:t>
      </w:r>
      <w:r w:rsidR="000A571D">
        <w:rPr>
          <w:rFonts w:ascii="Times New Roman" w:hAnsi="Times New Roman" w:cs="Times New Roman"/>
          <w:lang w:val="ro-RO"/>
        </w:rPr>
        <w:t xml:space="preserve">_____                             </w:t>
      </w:r>
    </w:p>
    <w:p w14:paraId="14ECD75C" w14:textId="77777777" w:rsidR="0090458D" w:rsidRPr="0090458D" w:rsidRDefault="0090458D" w:rsidP="0090458D">
      <w:pPr>
        <w:spacing w:after="0" w:line="240" w:lineRule="auto"/>
        <w:ind w:left="5954" w:right="-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Dlui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Adrian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Talmaci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>,</w:t>
      </w:r>
    </w:p>
    <w:p w14:paraId="5D0EB365" w14:textId="77777777" w:rsidR="0090458D" w:rsidRPr="0090458D" w:rsidRDefault="0090458D" w:rsidP="0090458D">
      <w:pPr>
        <w:spacing w:after="0" w:line="240" w:lineRule="auto"/>
        <w:ind w:left="5954" w:right="-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Secretar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interimar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al </w:t>
      </w:r>
    </w:p>
    <w:p w14:paraId="18052322" w14:textId="77777777" w:rsidR="0090458D" w:rsidRPr="0090458D" w:rsidRDefault="0090458D" w:rsidP="0090458D">
      <w:pPr>
        <w:spacing w:after="0" w:line="240" w:lineRule="auto"/>
        <w:ind w:left="5954" w:right="-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municipal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Chișinău</w:t>
      </w:r>
      <w:proofErr w:type="spellEnd"/>
    </w:p>
    <w:p w14:paraId="6CAB493E" w14:textId="77777777" w:rsidR="0090458D" w:rsidRPr="0090458D" w:rsidRDefault="0090458D" w:rsidP="0090458D">
      <w:pPr>
        <w:spacing w:after="0" w:line="240" w:lineRule="auto"/>
        <w:rPr>
          <w:rFonts w:ascii="Times New Roman" w:hAnsi="Times New Roman" w:cs="Times New Roman"/>
        </w:rPr>
      </w:pPr>
    </w:p>
    <w:p w14:paraId="41B44BA8" w14:textId="77777777" w:rsidR="008942D4" w:rsidRDefault="008942D4" w:rsidP="0090458D">
      <w:pPr>
        <w:pStyle w:val="1"/>
        <w:rPr>
          <w:rFonts w:cs="Times New Roman"/>
          <w:sz w:val="26"/>
          <w:szCs w:val="26"/>
        </w:rPr>
      </w:pPr>
    </w:p>
    <w:p w14:paraId="0225CCA8" w14:textId="77777777" w:rsidR="0090458D" w:rsidRPr="0090458D" w:rsidRDefault="0090458D" w:rsidP="0090458D">
      <w:pPr>
        <w:pStyle w:val="1"/>
        <w:rPr>
          <w:rFonts w:cs="Times New Roman"/>
          <w:b w:val="0"/>
          <w:sz w:val="26"/>
          <w:szCs w:val="26"/>
        </w:rPr>
      </w:pPr>
      <w:r w:rsidRPr="0090458D">
        <w:rPr>
          <w:rFonts w:cs="Times New Roman"/>
          <w:sz w:val="26"/>
          <w:szCs w:val="26"/>
        </w:rPr>
        <w:t>Notă informativă</w:t>
      </w:r>
    </w:p>
    <w:p w14:paraId="7F2909B1" w14:textId="77777777" w:rsidR="0090458D" w:rsidRPr="0090458D" w:rsidRDefault="0090458D" w:rsidP="0090458D">
      <w:pPr>
        <w:spacing w:after="0" w:line="240" w:lineRule="auto"/>
        <w:rPr>
          <w:rFonts w:ascii="Times New Roman" w:hAnsi="Times New Roman" w:cs="Times New Roman"/>
        </w:rPr>
      </w:pPr>
    </w:p>
    <w:p w14:paraId="2ED5ACC8" w14:textId="3D8C79FE" w:rsidR="0090458D" w:rsidRP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prezen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public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municipiul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Chişinău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activează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0458D">
        <w:rPr>
          <w:rFonts w:ascii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organizat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conform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auto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bagaje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teritoriul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mun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Chișinău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aprobat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decizia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CMC nr.4/6 din 22.08.2000. </w:t>
      </w:r>
    </w:p>
    <w:p w14:paraId="565235FE" w14:textId="77777777" w:rsidR="0090458D" w:rsidRP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Avînd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2000 – 2022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legislative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normative ale 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Republicii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Moldova au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supuse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modificări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inclusiv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auto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bagaje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aprobat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HG 854/2006,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cît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aprobat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Rutiere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. 150/2014 cu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90458D">
        <w:rPr>
          <w:rFonts w:ascii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necesar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ajusta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stringent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normative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municipale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EE3A1A" w14:textId="77777777" w:rsidR="0090458D" w:rsidRP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contextul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dezvoltării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public din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municipiul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Chișinău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îmbunătățirii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calității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condițiilor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DGTPCC 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elaborat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auto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bagaje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teritoriul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Chișinău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ajustarea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legislative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normative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vigoare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cât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întru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executarea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recomandărilor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Curții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Conturi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ținând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deciziei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municipal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Chișinău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0458D">
        <w:rPr>
          <w:rFonts w:ascii="Times New Roman" w:hAnsi="Times New Roman" w:cs="Times New Roman"/>
          <w:sz w:val="26"/>
          <w:szCs w:val="26"/>
        </w:rPr>
        <w:t xml:space="preserve"> 6/10 din 22.07.2021 „Cu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privirea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Standardelor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public municipal”. </w:t>
      </w:r>
    </w:p>
    <w:p w14:paraId="1037AF58" w14:textId="77777777" w:rsidR="0090458D" w:rsidRP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Regulament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conține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regulile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public,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criterii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condiții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confort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față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serviciile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prestate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cît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condițiile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contractare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operatorilor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prestarea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serviciilor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>.</w:t>
      </w:r>
    </w:p>
    <w:p w14:paraId="434E89C7" w14:textId="77777777" w:rsidR="0090458D" w:rsidRP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Reieșind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cele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expuse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DGTPCC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prezintă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examinare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CMC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decizie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transporturilor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auto de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călători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bagaje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teritoriul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mun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Chișinău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redacție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sz w:val="26"/>
          <w:szCs w:val="26"/>
        </w:rPr>
        <w:t>nouă</w:t>
      </w:r>
      <w:proofErr w:type="spellEnd"/>
      <w:r w:rsidRPr="0090458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63ECF9" w14:textId="0F9AD399" w:rsid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458D">
        <w:rPr>
          <w:rFonts w:ascii="Times New Roman" w:hAnsi="Times New Roman" w:cs="Times New Roman"/>
          <w:sz w:val="26"/>
          <w:szCs w:val="26"/>
        </w:rPr>
        <w:tab/>
      </w:r>
    </w:p>
    <w:p w14:paraId="3CC732EA" w14:textId="77777777" w:rsidR="008942D4" w:rsidRPr="0090458D" w:rsidRDefault="008942D4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686C268" w14:textId="77777777" w:rsidR="0090458D" w:rsidRPr="0090458D" w:rsidRDefault="0090458D" w:rsidP="0090458D">
      <w:pPr>
        <w:tabs>
          <w:tab w:val="left" w:pos="993"/>
          <w:tab w:val="left" w:pos="1418"/>
          <w:tab w:val="left" w:pos="170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458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spellStart"/>
      <w:r w:rsidRPr="0090458D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Pr="0090458D">
        <w:rPr>
          <w:rFonts w:ascii="Times New Roman" w:hAnsi="Times New Roman" w:cs="Times New Roman"/>
          <w:b/>
          <w:sz w:val="26"/>
          <w:szCs w:val="26"/>
        </w:rPr>
        <w:t xml:space="preserve"> al DGTP </w:t>
      </w:r>
      <w:proofErr w:type="spellStart"/>
      <w:r w:rsidRPr="0090458D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90458D">
        <w:rPr>
          <w:rFonts w:ascii="Times New Roman" w:hAnsi="Times New Roman" w:cs="Times New Roman"/>
          <w:b/>
          <w:sz w:val="26"/>
          <w:szCs w:val="26"/>
        </w:rPr>
        <w:t xml:space="preserve"> CC</w:t>
      </w:r>
      <w:r w:rsidRPr="0090458D">
        <w:rPr>
          <w:rFonts w:ascii="Times New Roman" w:hAnsi="Times New Roman" w:cs="Times New Roman"/>
          <w:b/>
          <w:sz w:val="26"/>
          <w:szCs w:val="26"/>
        </w:rPr>
        <w:tab/>
      </w:r>
      <w:r w:rsidRPr="0090458D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90458D">
        <w:rPr>
          <w:rFonts w:ascii="Times New Roman" w:hAnsi="Times New Roman" w:cs="Times New Roman"/>
          <w:b/>
          <w:sz w:val="26"/>
          <w:szCs w:val="26"/>
        </w:rPr>
        <w:tab/>
      </w:r>
      <w:r w:rsidRPr="0090458D">
        <w:rPr>
          <w:rFonts w:ascii="Times New Roman" w:hAnsi="Times New Roman" w:cs="Times New Roman"/>
          <w:b/>
          <w:sz w:val="26"/>
          <w:szCs w:val="26"/>
        </w:rPr>
        <w:tab/>
      </w:r>
      <w:r w:rsidRPr="0090458D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90458D">
        <w:rPr>
          <w:rFonts w:ascii="Times New Roman" w:hAnsi="Times New Roman" w:cs="Times New Roman"/>
          <w:b/>
          <w:sz w:val="26"/>
          <w:szCs w:val="26"/>
        </w:rPr>
        <w:t>Vitalie</w:t>
      </w:r>
      <w:proofErr w:type="spellEnd"/>
      <w:r w:rsidRPr="0090458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58D">
        <w:rPr>
          <w:rFonts w:ascii="Times New Roman" w:hAnsi="Times New Roman" w:cs="Times New Roman"/>
          <w:b/>
          <w:sz w:val="26"/>
          <w:szCs w:val="26"/>
        </w:rPr>
        <w:t>Mihalache</w:t>
      </w:r>
      <w:proofErr w:type="spellEnd"/>
    </w:p>
    <w:p w14:paraId="213894C8" w14:textId="77777777" w:rsidR="001E6E26" w:rsidRPr="0090458D" w:rsidRDefault="001E6E26" w:rsidP="0090458D">
      <w:pPr>
        <w:pStyle w:val="a4"/>
        <w:rPr>
          <w:rFonts w:ascii="Times New Roman" w:hAnsi="Times New Roman" w:cs="Times New Roman"/>
          <w:lang w:val="en-US"/>
        </w:rPr>
      </w:pPr>
    </w:p>
    <w:p w14:paraId="79E135E1" w14:textId="77777777" w:rsidR="00B41FA8" w:rsidRDefault="00B41FA8" w:rsidP="000A571D">
      <w:pPr>
        <w:spacing w:after="0" w:line="240" w:lineRule="auto"/>
        <w:ind w:right="140"/>
        <w:rPr>
          <w:rFonts w:ascii="Times New Roman" w:hAnsi="Times New Roman" w:cs="Times New Roman"/>
          <w:sz w:val="20"/>
          <w:szCs w:val="20"/>
          <w:lang w:val="ro-RO"/>
        </w:rPr>
      </w:pPr>
    </w:p>
    <w:p w14:paraId="3DB7BC68" w14:textId="4508B3A9" w:rsidR="00B41FA8" w:rsidRPr="007859A8" w:rsidRDefault="00B41FA8" w:rsidP="00B41FA8">
      <w:pPr>
        <w:spacing w:after="0" w:line="240" w:lineRule="auto"/>
        <w:ind w:right="140"/>
        <w:jc w:val="center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7859A8">
        <w:rPr>
          <w:rFonts w:ascii="Times New Roman" w:hAnsi="Times New Roman" w:cs="Times New Roman"/>
          <w:sz w:val="20"/>
          <w:szCs w:val="20"/>
          <w:lang w:val="ro-RO"/>
        </w:rPr>
        <w:t>Str. Serghei Lazo, 18, municipiul Chişinău, Republica Moldova, MD-2004;</w:t>
      </w:r>
    </w:p>
    <w:p w14:paraId="503247FC" w14:textId="6BB3177A" w:rsidR="00B41FA8" w:rsidRPr="00B41FA8" w:rsidRDefault="00B41FA8" w:rsidP="00B41FA8">
      <w:pPr>
        <w:spacing w:after="0" w:line="240" w:lineRule="auto"/>
        <w:ind w:right="140"/>
        <w:jc w:val="center"/>
        <w:rPr>
          <w:lang w:val="ro-RO"/>
        </w:rPr>
      </w:pPr>
      <w:r w:rsidRPr="007859A8">
        <w:rPr>
          <w:rFonts w:ascii="Times New Roman" w:hAnsi="Times New Roman" w:cs="Times New Roman"/>
          <w:sz w:val="20"/>
          <w:szCs w:val="20"/>
          <w:lang w:val="ro-RO"/>
        </w:rPr>
        <w:t xml:space="preserve">tel: (022) 204-690, fax: (022) 204-658, e-mail: </w:t>
      </w:r>
      <w:hyperlink r:id="rId6" w:history="1">
        <w:r w:rsidRPr="00001191">
          <w:rPr>
            <w:rStyle w:val="a5"/>
            <w:rFonts w:ascii="Times New Roman" w:hAnsi="Times New Roman" w:cs="Times New Roman"/>
            <w:sz w:val="20"/>
            <w:szCs w:val="20"/>
            <w:lang w:val="ro-RO"/>
          </w:rPr>
          <w:t>dirtrans@pmc.md</w:t>
        </w:r>
      </w:hyperlink>
    </w:p>
    <w:sectPr w:rsidR="00B41FA8" w:rsidRPr="00B41FA8" w:rsidSect="00EA34E3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A8"/>
    <w:rsid w:val="000A571D"/>
    <w:rsid w:val="000F3217"/>
    <w:rsid w:val="001E6E26"/>
    <w:rsid w:val="00301E41"/>
    <w:rsid w:val="003872A7"/>
    <w:rsid w:val="00617431"/>
    <w:rsid w:val="008942D4"/>
    <w:rsid w:val="0090458D"/>
    <w:rsid w:val="00B41FA8"/>
    <w:rsid w:val="00B7742C"/>
    <w:rsid w:val="00C839D6"/>
    <w:rsid w:val="00D96609"/>
    <w:rsid w:val="00E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F995"/>
  <w15:docId w15:val="{8CC45B78-B582-4812-AE9C-1510EC42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41FA8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3">
    <w:name w:val="heading 3"/>
    <w:basedOn w:val="a"/>
    <w:next w:val="a"/>
    <w:link w:val="30"/>
    <w:qFormat/>
    <w:rsid w:val="00B41FA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FA8"/>
    <w:rPr>
      <w:rFonts w:ascii="Times New Roman" w:hAnsi="Times New Roman"/>
      <w:b/>
      <w:b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B41FA8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table" w:styleId="a3">
    <w:name w:val="Table Grid"/>
    <w:basedOn w:val="a1"/>
    <w:uiPriority w:val="59"/>
    <w:rsid w:val="00B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1FA8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unhideWhenUsed/>
    <w:rsid w:val="00B41F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FA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A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trans@pmc.m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2021-02-11T07:20:00Z</cp:lastPrinted>
  <dcterms:created xsi:type="dcterms:W3CDTF">2022-11-11T12:25:00Z</dcterms:created>
  <dcterms:modified xsi:type="dcterms:W3CDTF">2022-11-11T12:27:00Z</dcterms:modified>
</cp:coreProperties>
</file>