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55825" w14:textId="77777777" w:rsidR="00AF7040" w:rsidRPr="00BC00CF" w:rsidRDefault="00AF7040" w:rsidP="00BC00CF">
      <w:pPr>
        <w:spacing w:line="276" w:lineRule="auto"/>
        <w:rPr>
          <w:noProof/>
          <w:lang w:val="ro-RO"/>
        </w:rPr>
      </w:pPr>
    </w:p>
    <w:p w14:paraId="37C7852D" w14:textId="1E662710" w:rsidR="00CD1933" w:rsidRPr="00DB01C9" w:rsidRDefault="00CD1933" w:rsidP="00BC00CF">
      <w:pPr>
        <w:spacing w:line="276" w:lineRule="auto"/>
        <w:jc w:val="center"/>
        <w:rPr>
          <w:b/>
          <w:bCs/>
          <w:noProof/>
          <w:sz w:val="26"/>
          <w:szCs w:val="26"/>
          <w:lang w:val="ro-RO"/>
        </w:rPr>
      </w:pPr>
      <w:r w:rsidRPr="00DB01C9">
        <w:rPr>
          <w:b/>
          <w:bCs/>
          <w:noProof/>
          <w:sz w:val="26"/>
          <w:szCs w:val="26"/>
          <w:lang w:val="ro-RO"/>
        </w:rPr>
        <w:t>Notă informativă</w:t>
      </w:r>
    </w:p>
    <w:p w14:paraId="7C4CEAFB" w14:textId="103EA37A" w:rsidR="00CD1933" w:rsidRPr="00DB01C9" w:rsidRDefault="00CD1933" w:rsidP="00BC00CF">
      <w:pPr>
        <w:spacing w:line="276" w:lineRule="auto"/>
        <w:jc w:val="center"/>
        <w:rPr>
          <w:b/>
          <w:bCs/>
          <w:sz w:val="26"/>
          <w:szCs w:val="26"/>
          <w:lang w:val="en-US"/>
        </w:rPr>
      </w:pPr>
      <w:r w:rsidRPr="00DB01C9">
        <w:rPr>
          <w:b/>
          <w:bCs/>
          <w:noProof/>
          <w:sz w:val="26"/>
          <w:szCs w:val="26"/>
          <w:lang w:val="ro-RO"/>
        </w:rPr>
        <w:t xml:space="preserve">la proiectul </w:t>
      </w:r>
      <w:r w:rsidR="008B6937" w:rsidRPr="00DB01C9">
        <w:rPr>
          <w:b/>
          <w:bCs/>
          <w:noProof/>
          <w:sz w:val="26"/>
          <w:szCs w:val="26"/>
          <w:lang w:val="ro-RO"/>
        </w:rPr>
        <w:t>H</w:t>
      </w:r>
      <w:r w:rsidR="00431188" w:rsidRPr="00DB01C9">
        <w:rPr>
          <w:b/>
          <w:bCs/>
          <w:noProof/>
          <w:sz w:val="26"/>
          <w:szCs w:val="26"/>
          <w:lang w:val="ro-RO"/>
        </w:rPr>
        <w:t xml:space="preserve">otărârii de Guvern cu privire la </w:t>
      </w:r>
      <w:proofErr w:type="spellStart"/>
      <w:r w:rsidR="00DA7F94" w:rsidRPr="00DB01C9">
        <w:rPr>
          <w:b/>
          <w:bCs/>
          <w:sz w:val="26"/>
          <w:szCs w:val="26"/>
          <w:lang w:val="en-US"/>
        </w:rPr>
        <w:t>completarea</w:t>
      </w:r>
      <w:proofErr w:type="spellEnd"/>
      <w:r w:rsidR="00DA7F94" w:rsidRPr="00DB01C9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DA7F94" w:rsidRPr="00DB01C9">
        <w:rPr>
          <w:b/>
          <w:bCs/>
          <w:sz w:val="26"/>
          <w:szCs w:val="26"/>
          <w:lang w:val="en-US"/>
        </w:rPr>
        <w:t>Anexei</w:t>
      </w:r>
      <w:proofErr w:type="spellEnd"/>
      <w:r w:rsidR="00DA7F94" w:rsidRPr="00DB01C9">
        <w:rPr>
          <w:b/>
          <w:bCs/>
          <w:sz w:val="26"/>
          <w:szCs w:val="26"/>
          <w:lang w:val="en-US"/>
        </w:rPr>
        <w:t xml:space="preserve"> nr.</w:t>
      </w:r>
      <w:r w:rsidR="00EF50BA">
        <w:rPr>
          <w:b/>
          <w:bCs/>
          <w:sz w:val="26"/>
          <w:szCs w:val="26"/>
          <w:lang w:val="en-US"/>
        </w:rPr>
        <w:t xml:space="preserve"> </w:t>
      </w:r>
      <w:r w:rsidR="00DA7F94" w:rsidRPr="00DB01C9">
        <w:rPr>
          <w:b/>
          <w:bCs/>
          <w:sz w:val="26"/>
          <w:szCs w:val="26"/>
          <w:lang w:val="en-US"/>
        </w:rPr>
        <w:t xml:space="preserve">2 la </w:t>
      </w:r>
      <w:proofErr w:type="spellStart"/>
      <w:r w:rsidR="00DA7F94" w:rsidRPr="00DB01C9">
        <w:rPr>
          <w:b/>
          <w:bCs/>
          <w:sz w:val="26"/>
          <w:szCs w:val="26"/>
          <w:lang w:val="en-US"/>
        </w:rPr>
        <w:t>H</w:t>
      </w:r>
      <w:r w:rsidR="003B6C35" w:rsidRPr="00DB01C9">
        <w:rPr>
          <w:b/>
          <w:bCs/>
          <w:sz w:val="26"/>
          <w:szCs w:val="26"/>
          <w:lang w:val="en-US"/>
        </w:rPr>
        <w:t>otărârea</w:t>
      </w:r>
      <w:proofErr w:type="spellEnd"/>
      <w:r w:rsidR="003B6C35" w:rsidRPr="00DB01C9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DA7F94" w:rsidRPr="00DB01C9">
        <w:rPr>
          <w:b/>
          <w:bCs/>
          <w:sz w:val="26"/>
          <w:szCs w:val="26"/>
          <w:lang w:val="en-US"/>
        </w:rPr>
        <w:t>G</w:t>
      </w:r>
      <w:r w:rsidR="003B6C35" w:rsidRPr="00DB01C9">
        <w:rPr>
          <w:b/>
          <w:bCs/>
          <w:sz w:val="26"/>
          <w:szCs w:val="26"/>
          <w:lang w:val="en-US"/>
        </w:rPr>
        <w:t>uvernului</w:t>
      </w:r>
      <w:proofErr w:type="spellEnd"/>
      <w:r w:rsidR="00DA7F94" w:rsidRPr="00DB01C9">
        <w:rPr>
          <w:b/>
          <w:bCs/>
          <w:sz w:val="26"/>
          <w:szCs w:val="26"/>
          <w:lang w:val="en-US"/>
        </w:rPr>
        <w:t xml:space="preserve"> nr.</w:t>
      </w:r>
      <w:r w:rsidR="00EF50BA">
        <w:rPr>
          <w:b/>
          <w:bCs/>
          <w:sz w:val="26"/>
          <w:szCs w:val="26"/>
          <w:lang w:val="en-US"/>
        </w:rPr>
        <w:t xml:space="preserve"> </w:t>
      </w:r>
      <w:r w:rsidR="00DA7F94" w:rsidRPr="00DB01C9">
        <w:rPr>
          <w:b/>
          <w:bCs/>
          <w:sz w:val="26"/>
          <w:szCs w:val="26"/>
          <w:lang w:val="en-US"/>
        </w:rPr>
        <w:t>454</w:t>
      </w:r>
      <w:r w:rsidR="003B6C35" w:rsidRPr="00DB01C9">
        <w:rPr>
          <w:b/>
          <w:bCs/>
          <w:sz w:val="26"/>
          <w:szCs w:val="26"/>
          <w:lang w:val="en-US"/>
        </w:rPr>
        <w:t xml:space="preserve"> din 24 </w:t>
      </w:r>
      <w:proofErr w:type="spellStart"/>
      <w:r w:rsidR="003B6C35" w:rsidRPr="00DB01C9">
        <w:rPr>
          <w:b/>
          <w:bCs/>
          <w:sz w:val="26"/>
          <w:szCs w:val="26"/>
          <w:lang w:val="en-US"/>
        </w:rPr>
        <w:t>martie</w:t>
      </w:r>
      <w:proofErr w:type="spellEnd"/>
      <w:r w:rsidR="003B6C35" w:rsidRPr="00DB01C9">
        <w:rPr>
          <w:b/>
          <w:bCs/>
          <w:sz w:val="26"/>
          <w:szCs w:val="26"/>
          <w:lang w:val="en-US"/>
        </w:rPr>
        <w:t xml:space="preserve"> 2008</w:t>
      </w:r>
      <w:r w:rsidR="00AB6871" w:rsidRPr="00DB01C9">
        <w:rPr>
          <w:b/>
          <w:bCs/>
          <w:sz w:val="26"/>
          <w:szCs w:val="26"/>
          <w:lang w:val="en-US"/>
        </w:rPr>
        <w:t xml:space="preserve"> „Cu </w:t>
      </w:r>
      <w:proofErr w:type="spellStart"/>
      <w:r w:rsidR="00AB6871" w:rsidRPr="00DB01C9">
        <w:rPr>
          <w:b/>
          <w:bCs/>
          <w:sz w:val="26"/>
          <w:szCs w:val="26"/>
          <w:lang w:val="en-US"/>
        </w:rPr>
        <w:t>privire</w:t>
      </w:r>
      <w:proofErr w:type="spellEnd"/>
      <w:r w:rsidR="00AB6871" w:rsidRPr="00DB01C9">
        <w:rPr>
          <w:b/>
          <w:bCs/>
          <w:sz w:val="26"/>
          <w:szCs w:val="26"/>
          <w:lang w:val="en-US"/>
        </w:rPr>
        <w:t xml:space="preserve"> la </w:t>
      </w:r>
      <w:proofErr w:type="spellStart"/>
      <w:r w:rsidR="00AB6871" w:rsidRPr="00DB01C9">
        <w:rPr>
          <w:b/>
          <w:bCs/>
          <w:sz w:val="26"/>
          <w:szCs w:val="26"/>
          <w:lang w:val="en-US"/>
        </w:rPr>
        <w:t>optimizarea</w:t>
      </w:r>
      <w:proofErr w:type="spellEnd"/>
      <w:r w:rsidR="00AB6871" w:rsidRPr="00DB01C9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AB6871" w:rsidRPr="00DB01C9">
        <w:rPr>
          <w:b/>
          <w:bCs/>
          <w:sz w:val="26"/>
          <w:szCs w:val="26"/>
          <w:lang w:val="en-US"/>
        </w:rPr>
        <w:t>participării</w:t>
      </w:r>
      <w:proofErr w:type="spellEnd"/>
      <w:r w:rsidR="00AB6871" w:rsidRPr="00DB01C9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AB6871" w:rsidRPr="00DB01C9">
        <w:rPr>
          <w:b/>
          <w:bCs/>
          <w:sz w:val="26"/>
          <w:szCs w:val="26"/>
          <w:lang w:val="en-US"/>
        </w:rPr>
        <w:t>organelor</w:t>
      </w:r>
      <w:proofErr w:type="spellEnd"/>
      <w:r w:rsidR="00AB6871" w:rsidRPr="00DB01C9">
        <w:rPr>
          <w:b/>
          <w:bCs/>
          <w:sz w:val="26"/>
          <w:szCs w:val="26"/>
          <w:lang w:val="en-US"/>
        </w:rPr>
        <w:t xml:space="preserve"> centrale de </w:t>
      </w:r>
      <w:proofErr w:type="spellStart"/>
      <w:r w:rsidR="00AB6871" w:rsidRPr="00DB01C9">
        <w:rPr>
          <w:b/>
          <w:bCs/>
          <w:sz w:val="26"/>
          <w:szCs w:val="26"/>
          <w:lang w:val="en-US"/>
        </w:rPr>
        <w:t>specialitate</w:t>
      </w:r>
      <w:proofErr w:type="spellEnd"/>
      <w:r w:rsidR="00AB6871" w:rsidRPr="00DB01C9">
        <w:rPr>
          <w:b/>
          <w:bCs/>
          <w:sz w:val="26"/>
          <w:szCs w:val="26"/>
          <w:lang w:val="en-US"/>
        </w:rPr>
        <w:t xml:space="preserve"> ale </w:t>
      </w:r>
      <w:proofErr w:type="spellStart"/>
      <w:r w:rsidR="00AB6871" w:rsidRPr="00DB01C9">
        <w:rPr>
          <w:b/>
          <w:bCs/>
          <w:sz w:val="26"/>
          <w:szCs w:val="26"/>
          <w:lang w:val="en-US"/>
        </w:rPr>
        <w:t>administrației</w:t>
      </w:r>
      <w:proofErr w:type="spellEnd"/>
      <w:r w:rsidR="00AB6871" w:rsidRPr="00DB01C9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AB6871" w:rsidRPr="00DB01C9">
        <w:rPr>
          <w:b/>
          <w:bCs/>
          <w:sz w:val="26"/>
          <w:szCs w:val="26"/>
          <w:lang w:val="en-US"/>
        </w:rPr>
        <w:t>publice</w:t>
      </w:r>
      <w:proofErr w:type="spellEnd"/>
      <w:r w:rsidR="00AB6871" w:rsidRPr="00DB01C9">
        <w:rPr>
          <w:b/>
          <w:bCs/>
          <w:sz w:val="26"/>
          <w:szCs w:val="26"/>
          <w:lang w:val="en-US"/>
        </w:rPr>
        <w:t xml:space="preserve">, precum </w:t>
      </w:r>
      <w:proofErr w:type="spellStart"/>
      <w:r w:rsidR="00AB6871" w:rsidRPr="00DB01C9">
        <w:rPr>
          <w:b/>
          <w:bCs/>
          <w:sz w:val="26"/>
          <w:szCs w:val="26"/>
          <w:lang w:val="en-US"/>
        </w:rPr>
        <w:t>și</w:t>
      </w:r>
      <w:proofErr w:type="spellEnd"/>
      <w:r w:rsidR="00AB6871" w:rsidRPr="00DB01C9">
        <w:rPr>
          <w:b/>
          <w:bCs/>
          <w:sz w:val="26"/>
          <w:szCs w:val="26"/>
          <w:lang w:val="en-US"/>
        </w:rPr>
        <w:t xml:space="preserve"> </w:t>
      </w:r>
      <w:proofErr w:type="gramStart"/>
      <w:r w:rsidR="00AB6871" w:rsidRPr="00DB01C9">
        <w:rPr>
          <w:b/>
          <w:bCs/>
          <w:sz w:val="26"/>
          <w:szCs w:val="26"/>
          <w:lang w:val="en-US"/>
        </w:rPr>
        <w:t>a</w:t>
      </w:r>
      <w:proofErr w:type="gramEnd"/>
      <w:r w:rsidR="00AB6871" w:rsidRPr="00DB01C9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AB6871" w:rsidRPr="00DB01C9">
        <w:rPr>
          <w:b/>
          <w:bCs/>
          <w:sz w:val="26"/>
          <w:szCs w:val="26"/>
          <w:lang w:val="en-US"/>
        </w:rPr>
        <w:t>altor</w:t>
      </w:r>
      <w:proofErr w:type="spellEnd"/>
      <w:r w:rsidR="00AB6871" w:rsidRPr="00DB01C9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AB6871" w:rsidRPr="00DB01C9">
        <w:rPr>
          <w:b/>
          <w:bCs/>
          <w:sz w:val="26"/>
          <w:szCs w:val="26"/>
          <w:lang w:val="en-US"/>
        </w:rPr>
        <w:t>autorități</w:t>
      </w:r>
      <w:proofErr w:type="spellEnd"/>
      <w:r w:rsidR="00AB6871" w:rsidRPr="00DB01C9">
        <w:rPr>
          <w:b/>
          <w:bCs/>
          <w:sz w:val="26"/>
          <w:szCs w:val="26"/>
          <w:lang w:val="en-US"/>
        </w:rPr>
        <w:t xml:space="preserve"> administrative centrale la </w:t>
      </w:r>
      <w:proofErr w:type="spellStart"/>
      <w:r w:rsidR="00AB6871" w:rsidRPr="00DB01C9">
        <w:rPr>
          <w:b/>
          <w:bCs/>
          <w:sz w:val="26"/>
          <w:szCs w:val="26"/>
          <w:lang w:val="en-US"/>
        </w:rPr>
        <w:t>executarea</w:t>
      </w:r>
      <w:proofErr w:type="spellEnd"/>
      <w:r w:rsidR="00AB6871" w:rsidRPr="00DB01C9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AB6871" w:rsidRPr="00DB01C9">
        <w:rPr>
          <w:b/>
          <w:bCs/>
          <w:sz w:val="26"/>
          <w:szCs w:val="26"/>
          <w:lang w:val="en-US"/>
        </w:rPr>
        <w:t>angajamentelor</w:t>
      </w:r>
      <w:proofErr w:type="spellEnd"/>
      <w:r w:rsidR="00AB6871" w:rsidRPr="00DB01C9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AB6871" w:rsidRPr="00DB01C9">
        <w:rPr>
          <w:b/>
          <w:bCs/>
          <w:sz w:val="26"/>
          <w:szCs w:val="26"/>
          <w:lang w:val="en-US"/>
        </w:rPr>
        <w:t>asumate</w:t>
      </w:r>
      <w:proofErr w:type="spellEnd"/>
      <w:r w:rsidR="00AB6871" w:rsidRPr="00DB01C9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AB6871" w:rsidRPr="00DB01C9">
        <w:rPr>
          <w:b/>
          <w:bCs/>
          <w:sz w:val="26"/>
          <w:szCs w:val="26"/>
          <w:lang w:val="en-US"/>
        </w:rPr>
        <w:t>față</w:t>
      </w:r>
      <w:proofErr w:type="spellEnd"/>
      <w:r w:rsidR="00AB6871" w:rsidRPr="00DB01C9">
        <w:rPr>
          <w:b/>
          <w:bCs/>
          <w:sz w:val="26"/>
          <w:szCs w:val="26"/>
          <w:lang w:val="en-US"/>
        </w:rPr>
        <w:t xml:space="preserve"> de </w:t>
      </w:r>
      <w:proofErr w:type="spellStart"/>
      <w:r w:rsidR="00AB6871" w:rsidRPr="00DB01C9">
        <w:rPr>
          <w:b/>
          <w:bCs/>
          <w:sz w:val="26"/>
          <w:szCs w:val="26"/>
          <w:lang w:val="en-US"/>
        </w:rPr>
        <w:t>organizațiile</w:t>
      </w:r>
      <w:proofErr w:type="spellEnd"/>
      <w:r w:rsidR="00AB6871" w:rsidRPr="00DB01C9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AB6871" w:rsidRPr="00DB01C9">
        <w:rPr>
          <w:b/>
          <w:bCs/>
          <w:sz w:val="26"/>
          <w:szCs w:val="26"/>
          <w:lang w:val="en-US"/>
        </w:rPr>
        <w:t>internaționale</w:t>
      </w:r>
      <w:proofErr w:type="spellEnd"/>
      <w:r w:rsidR="00AB6871" w:rsidRPr="00DB01C9">
        <w:rPr>
          <w:b/>
          <w:bCs/>
          <w:sz w:val="26"/>
          <w:szCs w:val="26"/>
          <w:lang w:val="en-US"/>
        </w:rPr>
        <w:t>”</w:t>
      </w:r>
    </w:p>
    <w:p w14:paraId="028A0941" w14:textId="77777777" w:rsidR="00AC3E76" w:rsidRPr="00AB6871" w:rsidRDefault="00AC3E76" w:rsidP="00BC00CF">
      <w:pPr>
        <w:spacing w:line="276" w:lineRule="auto"/>
        <w:jc w:val="center"/>
        <w:rPr>
          <w:b/>
          <w:bCs/>
          <w:sz w:val="26"/>
          <w:szCs w:val="26"/>
          <w:lang w:val="en-US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D1933" w:rsidRPr="00B71407" w14:paraId="77CA0116" w14:textId="77777777" w:rsidTr="001262CE">
        <w:tc>
          <w:tcPr>
            <w:tcW w:w="10490" w:type="dxa"/>
            <w:shd w:val="clear" w:color="auto" w:fill="auto"/>
          </w:tcPr>
          <w:p w14:paraId="2DDFA502" w14:textId="36F143DF" w:rsidR="00CD1933" w:rsidRPr="00D24F48" w:rsidRDefault="00CD1933" w:rsidP="00BC00CF">
            <w:pPr>
              <w:spacing w:line="276" w:lineRule="auto"/>
              <w:rPr>
                <w:b/>
                <w:bCs/>
                <w:noProof/>
                <w:sz w:val="26"/>
                <w:szCs w:val="26"/>
                <w:lang w:val="en-US"/>
              </w:rPr>
            </w:pPr>
            <w:r w:rsidRPr="00D24F48">
              <w:rPr>
                <w:b/>
                <w:bCs/>
                <w:noProof/>
                <w:sz w:val="26"/>
                <w:szCs w:val="26"/>
                <w:lang w:val="en-US"/>
              </w:rPr>
              <w:t>1. Denumirea autorului și, după caz, a participanților la elaborarea proiectului</w:t>
            </w:r>
          </w:p>
        </w:tc>
      </w:tr>
      <w:tr w:rsidR="00CD1933" w:rsidRPr="00B71407" w14:paraId="469203AC" w14:textId="77777777" w:rsidTr="001262CE">
        <w:tc>
          <w:tcPr>
            <w:tcW w:w="10490" w:type="dxa"/>
            <w:shd w:val="clear" w:color="auto" w:fill="auto"/>
          </w:tcPr>
          <w:p w14:paraId="1B988E26" w14:textId="3F6E6D02" w:rsidR="00CD1933" w:rsidRPr="003724D7" w:rsidRDefault="00567AC6" w:rsidP="00BC00CF">
            <w:pPr>
              <w:spacing w:line="276" w:lineRule="auto"/>
              <w:rPr>
                <w:noProof/>
                <w:sz w:val="26"/>
                <w:szCs w:val="26"/>
                <w:lang w:val="en-US"/>
              </w:rPr>
            </w:pPr>
            <w:r w:rsidRPr="00D24F48">
              <w:rPr>
                <w:noProof/>
                <w:sz w:val="26"/>
                <w:szCs w:val="26"/>
                <w:lang w:val="en-US"/>
              </w:rPr>
              <w:t xml:space="preserve">    </w:t>
            </w:r>
            <w:r w:rsidR="00CD1933" w:rsidRPr="003724D7">
              <w:rPr>
                <w:noProof/>
                <w:sz w:val="26"/>
                <w:szCs w:val="26"/>
                <w:lang w:val="en-US"/>
              </w:rPr>
              <w:t>Agenția Relații Funciare și Cadastru</w:t>
            </w:r>
          </w:p>
        </w:tc>
      </w:tr>
      <w:tr w:rsidR="00CD1933" w:rsidRPr="00B71407" w14:paraId="267D5429" w14:textId="77777777" w:rsidTr="001262CE">
        <w:tc>
          <w:tcPr>
            <w:tcW w:w="10490" w:type="dxa"/>
            <w:shd w:val="clear" w:color="auto" w:fill="auto"/>
          </w:tcPr>
          <w:p w14:paraId="6AA3BC57" w14:textId="314ECBE8" w:rsidR="00CD1933" w:rsidRPr="003724D7" w:rsidRDefault="00CD1933" w:rsidP="00BC00CF">
            <w:pPr>
              <w:spacing w:line="276" w:lineRule="auto"/>
              <w:rPr>
                <w:b/>
                <w:bCs/>
                <w:noProof/>
                <w:sz w:val="26"/>
                <w:szCs w:val="26"/>
                <w:lang w:val="en-US"/>
              </w:rPr>
            </w:pPr>
            <w:r w:rsidRPr="003724D7">
              <w:rPr>
                <w:b/>
                <w:bCs/>
                <w:noProof/>
                <w:sz w:val="26"/>
                <w:szCs w:val="26"/>
                <w:lang w:val="en-US"/>
              </w:rPr>
              <w:t>2. Condiţiile ce au impus elaborarea proiectului şi finalităţile urmărite</w:t>
            </w:r>
          </w:p>
        </w:tc>
      </w:tr>
      <w:tr w:rsidR="00CD1933" w:rsidRPr="00B71407" w14:paraId="54617011" w14:textId="77777777" w:rsidTr="001262CE">
        <w:tc>
          <w:tcPr>
            <w:tcW w:w="10490" w:type="dxa"/>
            <w:shd w:val="clear" w:color="auto" w:fill="auto"/>
          </w:tcPr>
          <w:p w14:paraId="6486E772" w14:textId="4E123950" w:rsidR="005036F4" w:rsidRDefault="008979C2" w:rsidP="00D24F48">
            <w:pPr>
              <w:spacing w:line="276" w:lineRule="auto"/>
              <w:jc w:val="both"/>
              <w:rPr>
                <w:noProof/>
                <w:sz w:val="26"/>
                <w:szCs w:val="26"/>
                <w:lang w:val="ro-RO"/>
              </w:rPr>
            </w:pPr>
            <w:r w:rsidRPr="00E325E4">
              <w:rPr>
                <w:noProof/>
                <w:sz w:val="26"/>
                <w:szCs w:val="26"/>
                <w:lang w:val="ro-RO"/>
              </w:rPr>
              <w:t xml:space="preserve">    </w:t>
            </w:r>
            <w:r w:rsidR="00CD1933" w:rsidRPr="00E325E4">
              <w:rPr>
                <w:noProof/>
                <w:sz w:val="26"/>
                <w:szCs w:val="26"/>
                <w:lang w:val="ro-RO"/>
              </w:rPr>
              <w:t xml:space="preserve">Prezentul proiect de </w:t>
            </w:r>
            <w:r w:rsidR="00F252DD" w:rsidRPr="00E325E4">
              <w:rPr>
                <w:noProof/>
                <w:sz w:val="26"/>
                <w:szCs w:val="26"/>
                <w:lang w:val="ro-RO"/>
              </w:rPr>
              <w:t xml:space="preserve">hotărâre </w:t>
            </w:r>
            <w:r w:rsidR="00CD1933" w:rsidRPr="00E325E4">
              <w:rPr>
                <w:noProof/>
                <w:sz w:val="26"/>
                <w:szCs w:val="26"/>
                <w:lang w:val="ro-RO"/>
              </w:rPr>
              <w:t>vizează</w:t>
            </w:r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completarea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Anexei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nr.</w:t>
            </w:r>
            <w:r w:rsidR="00EF50BA">
              <w:rPr>
                <w:sz w:val="26"/>
                <w:szCs w:val="26"/>
                <w:lang w:val="en-US"/>
              </w:rPr>
              <w:t xml:space="preserve"> </w:t>
            </w:r>
            <w:r w:rsidRPr="00E325E4">
              <w:rPr>
                <w:sz w:val="26"/>
                <w:szCs w:val="26"/>
                <w:lang w:val="en-US"/>
              </w:rPr>
              <w:t xml:space="preserve">2 la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Hotărârea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Guvernului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nr. 454/2008 „Cu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privire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la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optimizarea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participării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organelor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centrale de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specialitate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ale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administrației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publice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, precum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și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gramStart"/>
            <w:r w:rsidRPr="00E325E4">
              <w:rPr>
                <w:sz w:val="26"/>
                <w:szCs w:val="26"/>
                <w:lang w:val="en-US"/>
              </w:rPr>
              <w:t>a</w:t>
            </w:r>
            <w:proofErr w:type="gram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altor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autorități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administrative centrale la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executarea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angajamentelor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asumate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față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organizațiile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internaționale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>”.</w:t>
            </w:r>
            <w:r w:rsidRPr="00E325E4">
              <w:rPr>
                <w:noProof/>
                <w:sz w:val="26"/>
                <w:szCs w:val="26"/>
                <w:lang w:val="ro-RO"/>
              </w:rPr>
              <w:t xml:space="preserve">  </w:t>
            </w:r>
          </w:p>
          <w:p w14:paraId="642D6F96" w14:textId="2C2DA288" w:rsidR="008979C2" w:rsidRPr="00E325E4" w:rsidRDefault="005036F4" w:rsidP="005036F4">
            <w:pPr>
              <w:tabs>
                <w:tab w:val="left" w:pos="264"/>
              </w:tabs>
              <w:spacing w:line="276" w:lineRule="auto"/>
              <w:jc w:val="both"/>
              <w:rPr>
                <w:noProof/>
                <w:sz w:val="26"/>
                <w:szCs w:val="26"/>
                <w:lang w:val="ro-RO"/>
              </w:rPr>
            </w:pPr>
            <w:r>
              <w:rPr>
                <w:noProof/>
                <w:sz w:val="26"/>
                <w:szCs w:val="26"/>
                <w:lang w:val="ro-RO"/>
              </w:rPr>
              <w:t xml:space="preserve">    În conformitate cu prevederile Hotărârii Guvernului nr.</w:t>
            </w:r>
            <w:r w:rsidR="00EF50BA">
              <w:rPr>
                <w:noProof/>
                <w:sz w:val="26"/>
                <w:szCs w:val="26"/>
                <w:lang w:val="ro-RO"/>
              </w:rPr>
              <w:t xml:space="preserve"> </w:t>
            </w:r>
            <w:r>
              <w:rPr>
                <w:noProof/>
                <w:sz w:val="26"/>
                <w:szCs w:val="26"/>
                <w:lang w:val="ro-RO"/>
              </w:rPr>
              <w:t>494/2022, Agenția Relații Funciare și Cadastru a aderat la Consiliul Standardelor Internaționale de Evaluare</w:t>
            </w:r>
            <w:r w:rsidR="00B30755">
              <w:rPr>
                <w:noProof/>
                <w:sz w:val="26"/>
                <w:szCs w:val="26"/>
                <w:lang w:val="ro-RO"/>
              </w:rPr>
              <w:t xml:space="preserve"> și începând cu anul 2024, plata anuală a cotizațiilor de membru se va efectua în limitele mijloacelor financiare aprobate în legea bugetului de stat pe anul respectiv.</w:t>
            </w:r>
          </w:p>
          <w:p w14:paraId="2E2DCAF0" w14:textId="748CC3C8" w:rsidR="008979C2" w:rsidRPr="00E325E4" w:rsidRDefault="008979C2" w:rsidP="005036F4">
            <w:pPr>
              <w:tabs>
                <w:tab w:val="left" w:pos="144"/>
                <w:tab w:val="left" w:pos="208"/>
              </w:tabs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E325E4">
              <w:rPr>
                <w:sz w:val="26"/>
                <w:szCs w:val="26"/>
                <w:lang w:val="en-US"/>
              </w:rPr>
              <w:t xml:space="preserve">   </w:t>
            </w:r>
            <w:r w:rsidR="005036F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036F4">
              <w:rPr>
                <w:sz w:val="26"/>
                <w:szCs w:val="26"/>
                <w:lang w:val="en-US"/>
              </w:rPr>
              <w:t>Totodată</w:t>
            </w:r>
            <w:proofErr w:type="spellEnd"/>
            <w:r w:rsidR="005036F4">
              <w:rPr>
                <w:sz w:val="26"/>
                <w:szCs w:val="26"/>
                <w:lang w:val="en-US"/>
              </w:rPr>
              <w:t>,</w:t>
            </w:r>
            <w:r w:rsidRPr="00E325E4">
              <w:rPr>
                <w:sz w:val="26"/>
                <w:szCs w:val="26"/>
                <w:lang w:val="en-US"/>
              </w:rPr>
              <w:t xml:space="preserve"> pct.3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alin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. (1) al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Hotărârii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036F4">
              <w:rPr>
                <w:sz w:val="26"/>
                <w:szCs w:val="26"/>
                <w:lang w:val="en-US"/>
              </w:rPr>
              <w:t>Guvernului</w:t>
            </w:r>
            <w:proofErr w:type="spellEnd"/>
            <w:r w:rsidR="005036F4">
              <w:rPr>
                <w:sz w:val="26"/>
                <w:szCs w:val="26"/>
                <w:lang w:val="en-US"/>
              </w:rPr>
              <w:t xml:space="preserve"> nr.</w:t>
            </w:r>
            <w:r w:rsidR="00EF50BA">
              <w:rPr>
                <w:sz w:val="26"/>
                <w:szCs w:val="26"/>
                <w:lang w:val="en-US"/>
              </w:rPr>
              <w:t xml:space="preserve"> </w:t>
            </w:r>
            <w:r w:rsidR="005036F4">
              <w:rPr>
                <w:sz w:val="26"/>
                <w:szCs w:val="26"/>
                <w:lang w:val="en-US"/>
              </w:rPr>
              <w:t xml:space="preserve">454/2008 </w:t>
            </w:r>
            <w:proofErr w:type="spellStart"/>
            <w:r w:rsidR="005036F4">
              <w:rPr>
                <w:sz w:val="26"/>
                <w:szCs w:val="26"/>
                <w:lang w:val="en-US"/>
              </w:rPr>
              <w:t>stipulează</w:t>
            </w:r>
            <w:proofErr w:type="spellEnd"/>
            <w:r w:rsidR="005036F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036F4">
              <w:rPr>
                <w:sz w:val="26"/>
                <w:szCs w:val="26"/>
                <w:lang w:val="en-US"/>
              </w:rPr>
              <w:t>că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în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cazul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aderării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la o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organizație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internațională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autoritatea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administrativă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centrală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responsabilă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pentru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participarea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Republicii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Moldova la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activitatea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organizaţiei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internaţionale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respective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va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înainta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Guvernului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propunerile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privind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completarea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Schemei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repartizare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responsabilităţii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faţă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organizaţia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internaţională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cărei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membră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este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, conform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Anexei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nr.</w:t>
            </w:r>
            <w:r w:rsidR="00EE7595">
              <w:rPr>
                <w:sz w:val="26"/>
                <w:szCs w:val="26"/>
                <w:lang w:val="en-US"/>
              </w:rPr>
              <w:t xml:space="preserve"> </w:t>
            </w:r>
            <w:r w:rsidRPr="00E325E4">
              <w:rPr>
                <w:sz w:val="26"/>
                <w:szCs w:val="26"/>
                <w:lang w:val="en-US"/>
              </w:rPr>
              <w:t xml:space="preserve">2 la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Hotărârea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Guvernului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menționată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supra.</w:t>
            </w:r>
          </w:p>
          <w:p w14:paraId="332D04CF" w14:textId="0689EE6F" w:rsidR="005036F4" w:rsidRDefault="005036F4" w:rsidP="00D24F48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ro-RO"/>
              </w:rPr>
              <w:t>Propunerile de completare a Anexei nr.</w:t>
            </w:r>
            <w:r w:rsidR="00EE7595">
              <w:rPr>
                <w:noProof/>
                <w:sz w:val="26"/>
                <w:szCs w:val="26"/>
                <w:lang w:val="ro-RO"/>
              </w:rPr>
              <w:t xml:space="preserve"> </w:t>
            </w:r>
            <w:r>
              <w:rPr>
                <w:noProof/>
                <w:sz w:val="26"/>
                <w:szCs w:val="26"/>
                <w:lang w:val="ro-RO"/>
              </w:rPr>
              <w:t>2 la Hotărârea Guvernului nr.</w:t>
            </w:r>
            <w:r w:rsidR="00EE7595">
              <w:rPr>
                <w:noProof/>
                <w:sz w:val="26"/>
                <w:szCs w:val="26"/>
                <w:lang w:val="ro-RO"/>
              </w:rPr>
              <w:t xml:space="preserve"> </w:t>
            </w:r>
            <w:r>
              <w:rPr>
                <w:noProof/>
                <w:sz w:val="26"/>
                <w:szCs w:val="26"/>
                <w:lang w:val="ro-RO"/>
              </w:rPr>
              <w:t xml:space="preserve">454/2008 sunt reglementate și în </w:t>
            </w:r>
            <w:r w:rsidR="00C31FD4">
              <w:rPr>
                <w:noProof/>
                <w:sz w:val="26"/>
                <w:szCs w:val="26"/>
                <w:lang w:val="ro-RO"/>
              </w:rPr>
              <w:t>scrisoarea</w:t>
            </w:r>
            <w:r w:rsidR="00DA7F94" w:rsidRPr="00E325E4">
              <w:rPr>
                <w:noProof/>
                <w:sz w:val="26"/>
                <w:szCs w:val="26"/>
                <w:lang w:val="ro-RO"/>
              </w:rPr>
              <w:t xml:space="preserve"> Ministerului Afacerilor Externe și Integrării Europene (nr.DI/</w:t>
            </w:r>
            <w:r w:rsidR="00C31FD4">
              <w:rPr>
                <w:noProof/>
                <w:sz w:val="26"/>
                <w:szCs w:val="26"/>
                <w:lang w:val="ro-RO"/>
              </w:rPr>
              <w:t>1</w:t>
            </w:r>
            <w:r w:rsidR="00DA7F94" w:rsidRPr="00E325E4">
              <w:rPr>
                <w:noProof/>
                <w:sz w:val="26"/>
                <w:szCs w:val="26"/>
                <w:lang w:val="ro-RO"/>
              </w:rPr>
              <w:t>/</w:t>
            </w:r>
            <w:r w:rsidR="00C31FD4">
              <w:rPr>
                <w:noProof/>
                <w:sz w:val="26"/>
                <w:szCs w:val="26"/>
                <w:lang w:val="ro-RO"/>
              </w:rPr>
              <w:t>391</w:t>
            </w:r>
            <w:r w:rsidR="00DA7F94" w:rsidRPr="00E325E4">
              <w:rPr>
                <w:noProof/>
                <w:sz w:val="26"/>
                <w:szCs w:val="26"/>
                <w:lang w:val="ro-RO"/>
              </w:rPr>
              <w:t>-</w:t>
            </w:r>
            <w:r w:rsidR="00C31FD4">
              <w:rPr>
                <w:noProof/>
                <w:sz w:val="26"/>
                <w:szCs w:val="26"/>
                <w:lang w:val="ro-RO"/>
              </w:rPr>
              <w:t>837</w:t>
            </w:r>
            <w:r w:rsidR="00DA7F94" w:rsidRPr="00E325E4">
              <w:rPr>
                <w:noProof/>
                <w:sz w:val="26"/>
                <w:szCs w:val="26"/>
                <w:lang w:val="ro-RO"/>
              </w:rPr>
              <w:t xml:space="preserve"> din </w:t>
            </w:r>
            <w:r w:rsidR="00304B4C">
              <w:rPr>
                <w:noProof/>
                <w:sz w:val="26"/>
                <w:szCs w:val="26"/>
                <w:lang w:val="ro-RO"/>
              </w:rPr>
              <w:t>24 ianuarie 2022</w:t>
            </w:r>
            <w:r w:rsidR="00DA7F94" w:rsidRPr="00E325E4">
              <w:rPr>
                <w:noProof/>
                <w:sz w:val="26"/>
                <w:szCs w:val="26"/>
                <w:lang w:val="ro-RO"/>
              </w:rPr>
              <w:t xml:space="preserve">)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potrivit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căr</w:t>
            </w:r>
            <w:r w:rsidR="00C31FD4">
              <w:rPr>
                <w:sz w:val="26"/>
                <w:szCs w:val="26"/>
                <w:lang w:val="en-US"/>
              </w:rPr>
              <w:t>ee</w:t>
            </w:r>
            <w:r w:rsidR="00DA7F94" w:rsidRPr="00E325E4">
              <w:rPr>
                <w:sz w:val="26"/>
                <w:szCs w:val="26"/>
                <w:lang w:val="en-US"/>
              </w:rPr>
              <w:t>a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, ulterior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aderării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Agenției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Relații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Funciare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și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Cadastru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la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Consiliul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Standardelor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Internaționale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de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Evaluare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Agenția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Relații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Funciare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și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Cadastru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urmează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să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înainteze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Guvernului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propunerile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respective.</w:t>
            </w:r>
          </w:p>
          <w:p w14:paraId="4460E5EC" w14:textId="4A05672F" w:rsidR="00BD7EE7" w:rsidRPr="00E325E4" w:rsidRDefault="00845340" w:rsidP="00D24F48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  <w:r w:rsidRPr="00E325E4">
              <w:rPr>
                <w:sz w:val="26"/>
                <w:szCs w:val="26"/>
                <w:lang w:val="ro-RO"/>
              </w:rPr>
              <w:t xml:space="preserve">    </w:t>
            </w:r>
            <w:r w:rsidR="00EA58FE" w:rsidRPr="00E325E4">
              <w:rPr>
                <w:sz w:val="26"/>
                <w:szCs w:val="26"/>
                <w:lang w:val="ro-RO"/>
              </w:rPr>
              <w:t>În acest context</w:t>
            </w:r>
            <w:r w:rsidR="00CE67EB" w:rsidRPr="00E325E4">
              <w:rPr>
                <w:sz w:val="26"/>
                <w:szCs w:val="26"/>
                <w:lang w:val="ro-RO"/>
              </w:rPr>
              <w:t>,</w:t>
            </w:r>
            <w:r w:rsidR="00EA58FE" w:rsidRPr="00E325E4">
              <w:rPr>
                <w:sz w:val="26"/>
                <w:szCs w:val="26"/>
                <w:lang w:val="ro-RO"/>
              </w:rPr>
              <w:t xml:space="preserve"> Agenția Relații Funciare și Cadastru a elaborat </w:t>
            </w:r>
            <w:r w:rsidR="004E15B5" w:rsidRPr="00E325E4">
              <w:rPr>
                <w:sz w:val="26"/>
                <w:szCs w:val="26"/>
                <w:lang w:val="ro-RO"/>
              </w:rPr>
              <w:t xml:space="preserve">proiectul </w:t>
            </w:r>
            <w:r w:rsidR="0080562B">
              <w:rPr>
                <w:sz w:val="26"/>
                <w:szCs w:val="26"/>
                <w:lang w:val="ro-RO"/>
              </w:rPr>
              <w:t>acestei Hotărâri de Guvern</w:t>
            </w:r>
            <w:r w:rsidR="00EA58FE" w:rsidRPr="00E325E4">
              <w:rPr>
                <w:sz w:val="26"/>
                <w:szCs w:val="26"/>
                <w:lang w:val="ro-RO"/>
              </w:rPr>
              <w:t>.</w:t>
            </w:r>
          </w:p>
        </w:tc>
      </w:tr>
      <w:tr w:rsidR="00CD1933" w:rsidRPr="00B71407" w14:paraId="78B28C5B" w14:textId="77777777" w:rsidTr="001262CE">
        <w:tc>
          <w:tcPr>
            <w:tcW w:w="10490" w:type="dxa"/>
            <w:shd w:val="clear" w:color="auto" w:fill="auto"/>
          </w:tcPr>
          <w:p w14:paraId="39151424" w14:textId="2DABC26E" w:rsidR="00CD1933" w:rsidRPr="00D24F48" w:rsidRDefault="00CD1933" w:rsidP="00BC00CF">
            <w:pPr>
              <w:spacing w:line="276" w:lineRule="auto"/>
              <w:rPr>
                <w:bCs/>
                <w:noProof/>
                <w:sz w:val="26"/>
                <w:szCs w:val="26"/>
                <w:lang w:val="ro-RO" w:eastAsia="ro-RO"/>
              </w:rPr>
            </w:pPr>
            <w:r w:rsidRPr="00D24F48">
              <w:rPr>
                <w:b/>
                <w:bCs/>
                <w:noProof/>
                <w:sz w:val="26"/>
                <w:szCs w:val="26"/>
                <w:lang w:val="ro-RO" w:eastAsia="ro-RO"/>
              </w:rPr>
              <w:t>3</w:t>
            </w:r>
            <w:r w:rsidRPr="00D24F48">
              <w:rPr>
                <w:noProof/>
                <w:sz w:val="26"/>
                <w:szCs w:val="26"/>
                <w:lang w:val="ro-RO" w:eastAsia="ro-RO"/>
              </w:rPr>
              <w:t xml:space="preserve">. </w:t>
            </w:r>
            <w:r w:rsidRPr="00D24F48">
              <w:rPr>
                <w:b/>
                <w:bCs/>
                <w:noProof/>
                <w:sz w:val="26"/>
                <w:szCs w:val="26"/>
                <w:lang w:val="ro-RO"/>
              </w:rPr>
              <w:t>Descrierea gradului de compatibilitate pentru proiectele care au ca scop armonizarea legislaţiei naţionale cu legislaţia Uniunii Europene</w:t>
            </w:r>
          </w:p>
        </w:tc>
      </w:tr>
      <w:tr w:rsidR="00CD1933" w:rsidRPr="00B71407" w14:paraId="6FA1F49B" w14:textId="77777777" w:rsidTr="001262CE">
        <w:tc>
          <w:tcPr>
            <w:tcW w:w="10490" w:type="dxa"/>
            <w:shd w:val="clear" w:color="auto" w:fill="auto"/>
          </w:tcPr>
          <w:p w14:paraId="74BF72BF" w14:textId="0F63181A" w:rsidR="00CD1933" w:rsidRPr="00D24F48" w:rsidRDefault="0096487A" w:rsidP="00BC00CF">
            <w:pPr>
              <w:spacing w:line="276" w:lineRule="auto"/>
              <w:rPr>
                <w:bCs/>
                <w:noProof/>
                <w:sz w:val="26"/>
                <w:szCs w:val="26"/>
                <w:lang w:val="ro-RO" w:eastAsia="ro-RO"/>
              </w:rPr>
            </w:pPr>
            <w:r w:rsidRPr="00D24F48">
              <w:rPr>
                <w:noProof/>
                <w:sz w:val="26"/>
                <w:szCs w:val="26"/>
                <w:lang w:val="ro-RO" w:eastAsia="ro-RO"/>
              </w:rPr>
              <w:t xml:space="preserve">    </w:t>
            </w:r>
            <w:r w:rsidR="00CD1933" w:rsidRPr="00D24F48">
              <w:rPr>
                <w:noProof/>
                <w:sz w:val="26"/>
                <w:szCs w:val="26"/>
                <w:lang w:val="ro-RO" w:eastAsia="ro-RO"/>
              </w:rPr>
              <w:t>Proiectul nu necesită armonizarea legislației naționale cu legislația UE.</w:t>
            </w:r>
          </w:p>
        </w:tc>
      </w:tr>
      <w:tr w:rsidR="00CD1933" w:rsidRPr="00B71407" w14:paraId="1ACA9DFF" w14:textId="77777777" w:rsidTr="001262CE">
        <w:tc>
          <w:tcPr>
            <w:tcW w:w="10490" w:type="dxa"/>
            <w:shd w:val="clear" w:color="auto" w:fill="auto"/>
          </w:tcPr>
          <w:p w14:paraId="3331DBD1" w14:textId="36EC98B9" w:rsidR="00CD1933" w:rsidRPr="003724D7" w:rsidRDefault="00CD1933" w:rsidP="00BC00CF">
            <w:pPr>
              <w:spacing w:line="276" w:lineRule="auto"/>
              <w:rPr>
                <w:b/>
                <w:bCs/>
                <w:noProof/>
                <w:sz w:val="26"/>
                <w:szCs w:val="26"/>
                <w:lang w:val="en-US"/>
              </w:rPr>
            </w:pPr>
            <w:r w:rsidRPr="003724D7">
              <w:rPr>
                <w:b/>
                <w:bCs/>
                <w:noProof/>
                <w:sz w:val="26"/>
                <w:szCs w:val="26"/>
                <w:lang w:val="en-US"/>
              </w:rPr>
              <w:t>4. Principalele prevederi ale proiectului şi evidenţierea elementelor noi</w:t>
            </w:r>
          </w:p>
        </w:tc>
      </w:tr>
      <w:tr w:rsidR="00CD1933" w:rsidRPr="00B71407" w14:paraId="75D301F8" w14:textId="77777777" w:rsidTr="001262CE">
        <w:tc>
          <w:tcPr>
            <w:tcW w:w="10490" w:type="dxa"/>
            <w:shd w:val="clear" w:color="auto" w:fill="auto"/>
          </w:tcPr>
          <w:p w14:paraId="4ED03586" w14:textId="2A71B12C" w:rsidR="00CD1933" w:rsidRDefault="0096487A" w:rsidP="00BC00CF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D24F48">
              <w:rPr>
                <w:sz w:val="26"/>
                <w:szCs w:val="26"/>
                <w:lang w:val="en-US"/>
              </w:rPr>
              <w:t xml:space="preserve"> </w:t>
            </w:r>
            <w:r w:rsidR="00FF7281" w:rsidRPr="00D24F48">
              <w:rPr>
                <w:sz w:val="26"/>
                <w:szCs w:val="26"/>
                <w:lang w:val="en-US"/>
              </w:rPr>
              <w:t xml:space="preserve"> </w:t>
            </w:r>
            <w:r w:rsidRPr="00D24F48">
              <w:rPr>
                <w:sz w:val="26"/>
                <w:szCs w:val="26"/>
                <w:lang w:val="en-US"/>
              </w:rPr>
              <w:t xml:space="preserve">  </w:t>
            </w:r>
            <w:proofErr w:type="spellStart"/>
            <w:r w:rsidR="009A0704" w:rsidRPr="00D24F48">
              <w:rPr>
                <w:sz w:val="26"/>
                <w:szCs w:val="26"/>
                <w:lang w:val="en-US"/>
              </w:rPr>
              <w:t>Proiectul</w:t>
            </w:r>
            <w:proofErr w:type="spellEnd"/>
            <w:r w:rsidR="009A0704" w:rsidRPr="00D24F4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9A0704" w:rsidRPr="00D24F48">
              <w:rPr>
                <w:sz w:val="26"/>
                <w:szCs w:val="26"/>
                <w:lang w:val="en-US"/>
              </w:rPr>
              <w:t>prevede</w:t>
            </w:r>
            <w:proofErr w:type="spellEnd"/>
            <w:r w:rsidR="009A0704" w:rsidRPr="00D24F4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A831BD" w:rsidRPr="00D24F48">
              <w:rPr>
                <w:sz w:val="26"/>
                <w:szCs w:val="26"/>
                <w:lang w:val="en-US"/>
              </w:rPr>
              <w:t>completarea</w:t>
            </w:r>
            <w:proofErr w:type="spellEnd"/>
            <w:r w:rsidR="00A831BD" w:rsidRPr="00D24F4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A831BD" w:rsidRPr="00D24F48">
              <w:rPr>
                <w:sz w:val="26"/>
                <w:szCs w:val="26"/>
                <w:lang w:val="en-US"/>
              </w:rPr>
              <w:t>Anexei</w:t>
            </w:r>
            <w:proofErr w:type="spellEnd"/>
            <w:r w:rsidR="00A831BD" w:rsidRPr="00D24F48">
              <w:rPr>
                <w:sz w:val="26"/>
                <w:szCs w:val="26"/>
                <w:lang w:val="en-US"/>
              </w:rPr>
              <w:t xml:space="preserve"> nr.</w:t>
            </w:r>
            <w:r w:rsidR="0065244E">
              <w:rPr>
                <w:sz w:val="26"/>
                <w:szCs w:val="26"/>
                <w:lang w:val="en-US"/>
              </w:rPr>
              <w:t xml:space="preserve"> </w:t>
            </w:r>
            <w:r w:rsidR="00A831BD" w:rsidRPr="00D24F48">
              <w:rPr>
                <w:sz w:val="26"/>
                <w:szCs w:val="26"/>
                <w:lang w:val="en-US"/>
              </w:rPr>
              <w:t xml:space="preserve">2 la </w:t>
            </w:r>
            <w:proofErr w:type="spellStart"/>
            <w:r w:rsidR="00A831BD" w:rsidRPr="00D24F48">
              <w:rPr>
                <w:sz w:val="26"/>
                <w:szCs w:val="26"/>
                <w:lang w:val="en-US"/>
              </w:rPr>
              <w:t>H</w:t>
            </w:r>
            <w:r w:rsidR="004B4498">
              <w:rPr>
                <w:sz w:val="26"/>
                <w:szCs w:val="26"/>
                <w:lang w:val="en-US"/>
              </w:rPr>
              <w:t>otărârea</w:t>
            </w:r>
            <w:proofErr w:type="spellEnd"/>
            <w:r w:rsidR="004B449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A831BD" w:rsidRPr="00D24F48">
              <w:rPr>
                <w:sz w:val="26"/>
                <w:szCs w:val="26"/>
                <w:lang w:val="en-US"/>
              </w:rPr>
              <w:t>G</w:t>
            </w:r>
            <w:r w:rsidR="004B4498">
              <w:rPr>
                <w:sz w:val="26"/>
                <w:szCs w:val="26"/>
                <w:lang w:val="en-US"/>
              </w:rPr>
              <w:t>uvernului</w:t>
            </w:r>
            <w:proofErr w:type="spellEnd"/>
            <w:r w:rsidR="00A831BD" w:rsidRPr="00D24F48">
              <w:rPr>
                <w:sz w:val="26"/>
                <w:szCs w:val="26"/>
                <w:lang w:val="en-US"/>
              </w:rPr>
              <w:t xml:space="preserve"> nr. 454/2008</w:t>
            </w:r>
            <w:r w:rsidR="004B4498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="004B4498">
              <w:rPr>
                <w:sz w:val="26"/>
                <w:szCs w:val="26"/>
                <w:lang w:val="en-US"/>
              </w:rPr>
              <w:t>litera</w:t>
            </w:r>
            <w:proofErr w:type="spellEnd"/>
            <w:r w:rsidR="004B4498">
              <w:rPr>
                <w:sz w:val="26"/>
                <w:szCs w:val="26"/>
                <w:lang w:val="en-US"/>
              </w:rPr>
              <w:t xml:space="preserve"> </w:t>
            </w:r>
            <w:r w:rsidR="00EF50BA">
              <w:rPr>
                <w:sz w:val="26"/>
                <w:szCs w:val="26"/>
                <w:lang w:val="en-US"/>
              </w:rPr>
              <w:t>b</w:t>
            </w:r>
            <w:r w:rsidR="004B4498">
              <w:rPr>
                <w:sz w:val="26"/>
                <w:szCs w:val="26"/>
                <w:lang w:val="en-US"/>
              </w:rPr>
              <w:t xml:space="preserve">) cu </w:t>
            </w:r>
            <w:proofErr w:type="spellStart"/>
            <w:r w:rsidR="004B4498">
              <w:rPr>
                <w:sz w:val="26"/>
                <w:szCs w:val="26"/>
                <w:lang w:val="en-US"/>
              </w:rPr>
              <w:t>următorul</w:t>
            </w:r>
            <w:proofErr w:type="spellEnd"/>
            <w:r w:rsidR="004B449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4B4498">
              <w:rPr>
                <w:sz w:val="26"/>
                <w:szCs w:val="26"/>
                <w:lang w:val="en-US"/>
              </w:rPr>
              <w:t>cuprins</w:t>
            </w:r>
            <w:proofErr w:type="spellEnd"/>
            <w:r w:rsidR="004B4498">
              <w:rPr>
                <w:sz w:val="26"/>
                <w:szCs w:val="26"/>
                <w:lang w:val="en-US"/>
              </w:rPr>
              <w:t>:</w:t>
            </w:r>
          </w:p>
          <w:tbl>
            <w:tblPr>
              <w:tblW w:w="9430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7"/>
              <w:gridCol w:w="4100"/>
              <w:gridCol w:w="4793"/>
            </w:tblGrid>
            <w:tr w:rsidR="004B4498" w:rsidRPr="00B71407" w14:paraId="596A3A05" w14:textId="77777777" w:rsidTr="00B71407">
              <w:trPr>
                <w:trHeight w:val="499"/>
                <w:tblCellSpacing w:w="0" w:type="dxa"/>
              </w:trPr>
              <w:tc>
                <w:tcPr>
                  <w:tcW w:w="537" w:type="dxa"/>
                  <w:vAlign w:val="center"/>
                </w:tcPr>
                <w:p w14:paraId="08D18020" w14:textId="29151840" w:rsidR="004B4498" w:rsidRPr="00775A7A" w:rsidRDefault="00EF50BA" w:rsidP="00B71407">
                  <w:pPr>
                    <w:jc w:val="center"/>
                    <w:rPr>
                      <w:sz w:val="28"/>
                      <w:szCs w:val="28"/>
                      <w:lang w:val="ro-RO"/>
                    </w:rPr>
                  </w:pPr>
                  <w:r>
                    <w:rPr>
                      <w:sz w:val="28"/>
                      <w:szCs w:val="28"/>
                      <w:lang w:val="ro-RO"/>
                    </w:rPr>
                    <w:t>90</w:t>
                  </w:r>
                  <w:r w:rsidR="004B4498" w:rsidRPr="00775A7A">
                    <w:rPr>
                      <w:sz w:val="28"/>
                      <w:szCs w:val="28"/>
                      <w:lang w:val="ro-RO"/>
                    </w:rPr>
                    <w:t>.</w:t>
                  </w:r>
                </w:p>
              </w:tc>
              <w:tc>
                <w:tcPr>
                  <w:tcW w:w="4100" w:type="dxa"/>
                  <w:vAlign w:val="center"/>
                </w:tcPr>
                <w:p w14:paraId="682CF86E" w14:textId="7F1E4198" w:rsidR="004B4498" w:rsidRPr="00775A7A" w:rsidRDefault="004B4498" w:rsidP="00B71407">
                  <w:pPr>
                    <w:ind w:left="224"/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proofErr w:type="spellStart"/>
                  <w:r w:rsidRPr="00775A7A">
                    <w:rPr>
                      <w:sz w:val="28"/>
                      <w:szCs w:val="28"/>
                      <w:lang w:val="en-GB"/>
                    </w:rPr>
                    <w:t>Consiliul</w:t>
                  </w:r>
                  <w:proofErr w:type="spellEnd"/>
                  <w:r w:rsidRPr="00775A7A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 w:rsidRPr="00775A7A">
                    <w:rPr>
                      <w:sz w:val="28"/>
                      <w:szCs w:val="28"/>
                      <w:lang w:val="en-GB"/>
                    </w:rPr>
                    <w:t>Standardelor</w:t>
                  </w:r>
                  <w:proofErr w:type="spellEnd"/>
                  <w:r w:rsidRPr="00775A7A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r w:rsidR="0026508B">
                    <w:rPr>
                      <w:sz w:val="28"/>
                      <w:szCs w:val="28"/>
                      <w:lang w:val="en-GB"/>
                    </w:rPr>
                    <w:t xml:space="preserve">       </w:t>
                  </w:r>
                  <w:proofErr w:type="spellStart"/>
                  <w:r w:rsidRPr="00775A7A">
                    <w:rPr>
                      <w:sz w:val="28"/>
                      <w:szCs w:val="28"/>
                      <w:lang w:val="en-GB"/>
                    </w:rPr>
                    <w:t>Internaționale</w:t>
                  </w:r>
                  <w:proofErr w:type="spellEnd"/>
                  <w:r w:rsidRPr="00775A7A">
                    <w:rPr>
                      <w:sz w:val="28"/>
                      <w:szCs w:val="28"/>
                      <w:lang w:val="en-GB"/>
                    </w:rPr>
                    <w:t xml:space="preserve"> de </w:t>
                  </w:r>
                  <w:proofErr w:type="spellStart"/>
                  <w:r w:rsidRPr="00775A7A">
                    <w:rPr>
                      <w:sz w:val="28"/>
                      <w:szCs w:val="28"/>
                      <w:lang w:val="en-GB"/>
                    </w:rPr>
                    <w:t>Evaluare</w:t>
                  </w:r>
                  <w:proofErr w:type="spellEnd"/>
                </w:p>
              </w:tc>
              <w:tc>
                <w:tcPr>
                  <w:tcW w:w="4793" w:type="dxa"/>
                  <w:vAlign w:val="center"/>
                </w:tcPr>
                <w:p w14:paraId="204385A1" w14:textId="39215574" w:rsidR="004B4498" w:rsidRPr="00775A7A" w:rsidRDefault="004B4498" w:rsidP="00B71407">
                  <w:pPr>
                    <w:jc w:val="center"/>
                    <w:rPr>
                      <w:sz w:val="28"/>
                      <w:szCs w:val="28"/>
                      <w:lang w:val="ro-RO"/>
                    </w:rPr>
                  </w:pPr>
                  <w:r w:rsidRPr="00775A7A">
                    <w:rPr>
                      <w:sz w:val="28"/>
                      <w:szCs w:val="28"/>
                      <w:lang w:val="ro-RO"/>
                    </w:rPr>
                    <w:t>Agenția Relații Funciare și Cadastru</w:t>
                  </w:r>
                </w:p>
              </w:tc>
            </w:tr>
          </w:tbl>
          <w:p w14:paraId="637E0D59" w14:textId="68B0FDD4" w:rsidR="004B4498" w:rsidRPr="004B4498" w:rsidRDefault="004B4498" w:rsidP="00BC00CF">
            <w:pPr>
              <w:spacing w:line="276" w:lineRule="auto"/>
              <w:rPr>
                <w:rStyle w:val="FontStyle13"/>
                <w:noProof/>
                <w:sz w:val="26"/>
                <w:szCs w:val="26"/>
                <w:lang w:val="en-US"/>
              </w:rPr>
            </w:pPr>
          </w:p>
        </w:tc>
      </w:tr>
      <w:tr w:rsidR="00CD1933" w:rsidRPr="00D24F48" w14:paraId="7772064D" w14:textId="77777777" w:rsidTr="001262CE">
        <w:tc>
          <w:tcPr>
            <w:tcW w:w="10490" w:type="dxa"/>
            <w:shd w:val="clear" w:color="auto" w:fill="auto"/>
          </w:tcPr>
          <w:p w14:paraId="3AFF83DA" w14:textId="6131ED6E" w:rsidR="00CD1933" w:rsidRPr="00D24F48" w:rsidRDefault="00CD1933" w:rsidP="00BC00CF">
            <w:pPr>
              <w:spacing w:line="276" w:lineRule="auto"/>
              <w:rPr>
                <w:b/>
                <w:bCs/>
                <w:noProof/>
                <w:sz w:val="26"/>
                <w:szCs w:val="26"/>
              </w:rPr>
            </w:pPr>
            <w:r w:rsidRPr="00D24F48">
              <w:rPr>
                <w:b/>
                <w:bCs/>
                <w:noProof/>
                <w:sz w:val="26"/>
                <w:szCs w:val="26"/>
              </w:rPr>
              <w:t xml:space="preserve">5. Fundamentarea economico </w:t>
            </w:r>
            <w:r w:rsidR="00AA36AF" w:rsidRPr="00D24F48">
              <w:rPr>
                <w:b/>
                <w:bCs/>
                <w:noProof/>
                <w:sz w:val="26"/>
                <w:szCs w:val="26"/>
              </w:rPr>
              <w:t>–</w:t>
            </w:r>
            <w:r w:rsidRPr="00D24F48">
              <w:rPr>
                <w:b/>
                <w:bCs/>
                <w:noProof/>
                <w:sz w:val="26"/>
                <w:szCs w:val="26"/>
              </w:rPr>
              <w:t xml:space="preserve"> financiară</w:t>
            </w:r>
          </w:p>
        </w:tc>
      </w:tr>
      <w:tr w:rsidR="00CD1933" w:rsidRPr="00B71407" w14:paraId="1C46F50D" w14:textId="77777777" w:rsidTr="000D5C54">
        <w:trPr>
          <w:trHeight w:val="704"/>
        </w:trPr>
        <w:tc>
          <w:tcPr>
            <w:tcW w:w="10490" w:type="dxa"/>
            <w:shd w:val="clear" w:color="auto" w:fill="auto"/>
          </w:tcPr>
          <w:p w14:paraId="091240A7" w14:textId="19B4C310" w:rsidR="00CD1933" w:rsidRPr="00D24F48" w:rsidRDefault="00FF7281" w:rsidP="00FF7281">
            <w:pPr>
              <w:pStyle w:val="NormalWeb"/>
              <w:shd w:val="clear" w:color="auto" w:fill="FFFFFF"/>
              <w:ind w:firstLine="0"/>
              <w:rPr>
                <w:color w:val="333333"/>
                <w:sz w:val="26"/>
                <w:szCs w:val="26"/>
                <w:lang w:val="ro-MD" w:eastAsia="ro-MD"/>
              </w:rPr>
            </w:pPr>
            <w:r w:rsidRPr="00D24F48">
              <w:rPr>
                <w:color w:val="333333"/>
                <w:sz w:val="26"/>
                <w:szCs w:val="26"/>
                <w:lang w:val="ro-MD" w:eastAsia="ro-MD"/>
              </w:rPr>
              <w:t xml:space="preserve">    </w:t>
            </w:r>
            <w:r w:rsidRPr="00D24F48">
              <w:rPr>
                <w:sz w:val="26"/>
                <w:szCs w:val="26"/>
                <w:lang w:val="ro-MD" w:eastAsia="ro-MD"/>
              </w:rPr>
              <w:t xml:space="preserve">Plata anuală a cotizațiilor de membru al Consiliului Standardelor Internaționale de Evaluare se va efectua în conformitate cu prevederile HG 494/2022. Astfel, pentru perioada 2022-2023 se va efectua din contul mijloacelor financiare ale Proiectului de înregistrare și evaluare funciară (Partea B. </w:t>
            </w:r>
            <w:r w:rsidRPr="00FF7281">
              <w:rPr>
                <w:sz w:val="26"/>
                <w:szCs w:val="26"/>
                <w:lang w:val="ro-MD" w:eastAsia="ro-MD"/>
              </w:rPr>
              <w:t>Evaluarea bunurilor imobile și Partea D. Consolidarea capacității și managementul de proiect). Începând cu anul 2024, plata anuală a cotizațiilor de membru se va efectua în limitele mijloacelor financiare aprobate în legea bugetului de stat pe anul respectiv.</w:t>
            </w:r>
            <w:r w:rsidR="00FC4C93">
              <w:rPr>
                <w:sz w:val="26"/>
                <w:szCs w:val="26"/>
                <w:lang w:val="ro-MD" w:eastAsia="ro-MD"/>
              </w:rPr>
              <w:t xml:space="preserve"> Menționăm</w:t>
            </w:r>
            <w:r w:rsidR="008B6DFB">
              <w:rPr>
                <w:sz w:val="26"/>
                <w:szCs w:val="26"/>
                <w:lang w:val="ro-MD" w:eastAsia="ro-MD"/>
              </w:rPr>
              <w:t xml:space="preserve"> </w:t>
            </w:r>
            <w:r w:rsidR="00FC4C93">
              <w:rPr>
                <w:sz w:val="26"/>
                <w:szCs w:val="26"/>
                <w:lang w:val="ro-MD" w:eastAsia="ro-MD"/>
              </w:rPr>
              <w:t>că</w:t>
            </w:r>
            <w:r w:rsidR="008B6DFB">
              <w:rPr>
                <w:sz w:val="26"/>
                <w:szCs w:val="26"/>
                <w:lang w:val="ro-MD" w:eastAsia="ro-MD"/>
              </w:rPr>
              <w:t>,</w:t>
            </w:r>
            <w:r w:rsidR="00FC4C93">
              <w:rPr>
                <w:sz w:val="26"/>
                <w:szCs w:val="26"/>
                <w:lang w:val="ro-MD" w:eastAsia="ro-MD"/>
              </w:rPr>
              <w:t xml:space="preserve"> la momentul actual, </w:t>
            </w:r>
            <w:r w:rsidR="00FC4C93">
              <w:rPr>
                <w:sz w:val="26"/>
                <w:szCs w:val="26"/>
                <w:lang w:val="ro-MD" w:eastAsia="ro-MD"/>
              </w:rPr>
              <w:lastRenderedPageBreak/>
              <w:t xml:space="preserve">cotizația de membru constituie 2 140 lire sterline anual, însă aceasta poate fi actualizată de către </w:t>
            </w:r>
            <w:r w:rsidR="00FC4C93" w:rsidRPr="00D24F48">
              <w:rPr>
                <w:sz w:val="26"/>
                <w:szCs w:val="26"/>
                <w:lang w:val="ro-MD" w:eastAsia="ro-MD"/>
              </w:rPr>
              <w:t>Consiliul Standardelor Internaționale de Evaluare</w:t>
            </w:r>
            <w:r w:rsidR="00FC4C93">
              <w:rPr>
                <w:sz w:val="26"/>
                <w:szCs w:val="26"/>
                <w:lang w:val="ro-MD" w:eastAsia="ro-MD"/>
              </w:rPr>
              <w:t>.</w:t>
            </w:r>
          </w:p>
        </w:tc>
      </w:tr>
      <w:tr w:rsidR="00CD1933" w:rsidRPr="00B71407" w14:paraId="0023245D" w14:textId="77777777" w:rsidTr="00BC00CF">
        <w:trPr>
          <w:trHeight w:val="151"/>
        </w:trPr>
        <w:tc>
          <w:tcPr>
            <w:tcW w:w="10490" w:type="dxa"/>
            <w:shd w:val="clear" w:color="auto" w:fill="auto"/>
          </w:tcPr>
          <w:p w14:paraId="6933B7E8" w14:textId="41E1C00A" w:rsidR="00CD1933" w:rsidRPr="00D24F48" w:rsidRDefault="00CD1933" w:rsidP="00BC00CF">
            <w:pPr>
              <w:spacing w:line="276" w:lineRule="auto"/>
              <w:rPr>
                <w:b/>
                <w:bCs/>
                <w:noProof/>
                <w:sz w:val="26"/>
                <w:szCs w:val="26"/>
                <w:lang w:val="en-US"/>
              </w:rPr>
            </w:pPr>
            <w:r w:rsidRPr="00D24F48">
              <w:rPr>
                <w:b/>
                <w:bCs/>
                <w:noProof/>
                <w:sz w:val="26"/>
                <w:szCs w:val="26"/>
                <w:lang w:val="en-US"/>
              </w:rPr>
              <w:lastRenderedPageBreak/>
              <w:t>6. Modul de încorporare a actului în cadrul normativ în vigoare</w:t>
            </w:r>
          </w:p>
        </w:tc>
      </w:tr>
      <w:tr w:rsidR="00CD1933" w:rsidRPr="00B71407" w14:paraId="515234D0" w14:textId="77777777" w:rsidTr="001262CE">
        <w:tc>
          <w:tcPr>
            <w:tcW w:w="10490" w:type="dxa"/>
            <w:shd w:val="clear" w:color="auto" w:fill="auto"/>
          </w:tcPr>
          <w:p w14:paraId="5F36B888" w14:textId="1B3FC74F" w:rsidR="00CD1933" w:rsidRPr="003724D7" w:rsidRDefault="0096487A" w:rsidP="00BC00CF">
            <w:pPr>
              <w:spacing w:line="276" w:lineRule="auto"/>
              <w:rPr>
                <w:noProof/>
                <w:sz w:val="26"/>
                <w:szCs w:val="26"/>
                <w:lang w:val="en-US"/>
              </w:rPr>
            </w:pPr>
            <w:r w:rsidRPr="00D24F48">
              <w:rPr>
                <w:sz w:val="26"/>
                <w:szCs w:val="26"/>
                <w:lang w:val="en-US"/>
              </w:rPr>
              <w:t xml:space="preserve">    </w:t>
            </w:r>
            <w:proofErr w:type="spellStart"/>
            <w:r w:rsidR="006C5D6A" w:rsidRPr="003724D7">
              <w:rPr>
                <w:sz w:val="26"/>
                <w:szCs w:val="26"/>
                <w:lang w:val="en-US"/>
              </w:rPr>
              <w:t>Proiectul</w:t>
            </w:r>
            <w:proofErr w:type="spellEnd"/>
            <w:r w:rsidR="006C5D6A" w:rsidRPr="003724D7">
              <w:rPr>
                <w:sz w:val="26"/>
                <w:szCs w:val="26"/>
                <w:lang w:val="en-US"/>
              </w:rPr>
              <w:t xml:space="preserve"> se </w:t>
            </w:r>
            <w:proofErr w:type="spellStart"/>
            <w:r w:rsidR="006C5D6A" w:rsidRPr="003724D7">
              <w:rPr>
                <w:sz w:val="26"/>
                <w:szCs w:val="26"/>
                <w:lang w:val="en-US"/>
              </w:rPr>
              <w:t>încorporează</w:t>
            </w:r>
            <w:proofErr w:type="spellEnd"/>
            <w:r w:rsidR="006C5D6A" w:rsidRPr="003724D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6C5D6A" w:rsidRPr="003724D7">
              <w:rPr>
                <w:sz w:val="26"/>
                <w:szCs w:val="26"/>
                <w:lang w:val="en-US"/>
              </w:rPr>
              <w:t>în</w:t>
            </w:r>
            <w:proofErr w:type="spellEnd"/>
            <w:r w:rsidR="006C5D6A" w:rsidRPr="003724D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6C5D6A" w:rsidRPr="003724D7">
              <w:rPr>
                <w:sz w:val="26"/>
                <w:szCs w:val="26"/>
                <w:lang w:val="en-US"/>
              </w:rPr>
              <w:t>sistemul</w:t>
            </w:r>
            <w:proofErr w:type="spellEnd"/>
            <w:r w:rsidR="006C5D6A" w:rsidRPr="003724D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6C5D6A" w:rsidRPr="003724D7">
              <w:rPr>
                <w:sz w:val="26"/>
                <w:szCs w:val="26"/>
                <w:lang w:val="en-US"/>
              </w:rPr>
              <w:t>actelor</w:t>
            </w:r>
            <w:proofErr w:type="spellEnd"/>
            <w:r w:rsidR="006C5D6A" w:rsidRPr="003724D7">
              <w:rPr>
                <w:sz w:val="26"/>
                <w:szCs w:val="26"/>
                <w:lang w:val="en-US"/>
              </w:rPr>
              <w:t xml:space="preserve"> normative </w:t>
            </w:r>
            <w:proofErr w:type="spellStart"/>
            <w:r w:rsidR="006C5D6A" w:rsidRPr="003724D7">
              <w:rPr>
                <w:sz w:val="26"/>
                <w:szCs w:val="26"/>
                <w:lang w:val="en-US"/>
              </w:rPr>
              <w:t>și</w:t>
            </w:r>
            <w:proofErr w:type="spellEnd"/>
            <w:r w:rsidR="006C5D6A" w:rsidRPr="003724D7">
              <w:rPr>
                <w:sz w:val="26"/>
                <w:szCs w:val="26"/>
                <w:lang w:val="en-US"/>
              </w:rPr>
              <w:t xml:space="preserve"> nu </w:t>
            </w:r>
            <w:proofErr w:type="spellStart"/>
            <w:r w:rsidR="006C5D6A" w:rsidRPr="003724D7">
              <w:rPr>
                <w:sz w:val="26"/>
                <w:szCs w:val="26"/>
                <w:lang w:val="en-US"/>
              </w:rPr>
              <w:t>necesită</w:t>
            </w:r>
            <w:proofErr w:type="spellEnd"/>
            <w:r w:rsidR="006C5D6A" w:rsidRPr="003724D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6C5D6A" w:rsidRPr="003724D7">
              <w:rPr>
                <w:sz w:val="26"/>
                <w:szCs w:val="26"/>
                <w:lang w:val="en-US"/>
              </w:rPr>
              <w:t>modificarea</w:t>
            </w:r>
            <w:proofErr w:type="spellEnd"/>
            <w:r w:rsidR="006C5D6A" w:rsidRPr="003724D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6C5D6A" w:rsidRPr="003724D7">
              <w:rPr>
                <w:sz w:val="26"/>
                <w:szCs w:val="26"/>
                <w:lang w:val="en-US"/>
              </w:rPr>
              <w:t>altor</w:t>
            </w:r>
            <w:proofErr w:type="spellEnd"/>
            <w:r w:rsidR="006C5D6A" w:rsidRPr="003724D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6C5D6A" w:rsidRPr="003724D7">
              <w:rPr>
                <w:sz w:val="26"/>
                <w:szCs w:val="26"/>
                <w:lang w:val="en-US"/>
              </w:rPr>
              <w:t>acte</w:t>
            </w:r>
            <w:proofErr w:type="spellEnd"/>
            <w:r w:rsidR="006C5D6A" w:rsidRPr="003724D7">
              <w:rPr>
                <w:sz w:val="26"/>
                <w:szCs w:val="26"/>
                <w:lang w:val="en-US"/>
              </w:rPr>
              <w:t xml:space="preserve"> legislative </w:t>
            </w:r>
            <w:proofErr w:type="spellStart"/>
            <w:r w:rsidR="006C5D6A" w:rsidRPr="003724D7">
              <w:rPr>
                <w:sz w:val="26"/>
                <w:szCs w:val="26"/>
                <w:lang w:val="en-US"/>
              </w:rPr>
              <w:t>sau</w:t>
            </w:r>
            <w:proofErr w:type="spellEnd"/>
            <w:r w:rsidR="006C5D6A" w:rsidRPr="003724D7">
              <w:rPr>
                <w:sz w:val="26"/>
                <w:szCs w:val="26"/>
                <w:lang w:val="en-US"/>
              </w:rPr>
              <w:t xml:space="preserve"> normative.</w:t>
            </w:r>
          </w:p>
        </w:tc>
      </w:tr>
      <w:tr w:rsidR="00CD1933" w:rsidRPr="00B71407" w14:paraId="5BDD6286" w14:textId="77777777" w:rsidTr="001262CE">
        <w:tc>
          <w:tcPr>
            <w:tcW w:w="10490" w:type="dxa"/>
            <w:shd w:val="clear" w:color="auto" w:fill="auto"/>
          </w:tcPr>
          <w:p w14:paraId="59C0FE01" w14:textId="77777777" w:rsidR="00CD1933" w:rsidRPr="003724D7" w:rsidRDefault="00CD1933" w:rsidP="00BC00CF">
            <w:pPr>
              <w:spacing w:line="276" w:lineRule="auto"/>
              <w:rPr>
                <w:b/>
                <w:bCs/>
                <w:noProof/>
                <w:sz w:val="26"/>
                <w:szCs w:val="26"/>
                <w:lang w:val="en-US"/>
              </w:rPr>
            </w:pPr>
            <w:r w:rsidRPr="003724D7">
              <w:rPr>
                <w:b/>
                <w:bCs/>
                <w:noProof/>
                <w:sz w:val="26"/>
                <w:szCs w:val="26"/>
                <w:lang w:val="en-US"/>
              </w:rPr>
              <w:t>7. Avizarea și consultarea publică a proiectului</w:t>
            </w:r>
          </w:p>
        </w:tc>
      </w:tr>
      <w:tr w:rsidR="00CD1933" w:rsidRPr="00B71407" w14:paraId="2BE2A743" w14:textId="77777777" w:rsidTr="001262CE">
        <w:tc>
          <w:tcPr>
            <w:tcW w:w="10490" w:type="dxa"/>
            <w:shd w:val="clear" w:color="auto" w:fill="auto"/>
          </w:tcPr>
          <w:p w14:paraId="0C296A60" w14:textId="66A6B60E" w:rsidR="004B75B0" w:rsidRPr="00D24F48" w:rsidRDefault="0096487A" w:rsidP="00BC00CF">
            <w:pPr>
              <w:spacing w:line="276" w:lineRule="auto"/>
              <w:rPr>
                <w:iCs/>
                <w:noProof/>
                <w:sz w:val="26"/>
                <w:szCs w:val="26"/>
                <w:lang w:val="en-US"/>
              </w:rPr>
            </w:pPr>
            <w:r w:rsidRPr="00D24F48">
              <w:rPr>
                <w:noProof/>
                <w:sz w:val="26"/>
                <w:szCs w:val="26"/>
                <w:lang w:val="ro-RO"/>
              </w:rPr>
              <w:t xml:space="preserve">    </w:t>
            </w:r>
            <w:r w:rsidR="005C050B" w:rsidRPr="00D24F48">
              <w:rPr>
                <w:noProof/>
                <w:sz w:val="26"/>
                <w:szCs w:val="26"/>
                <w:lang w:val="ro-RO"/>
              </w:rPr>
              <w:t>În scopul respectării prevederilor Legii nr.</w:t>
            </w:r>
            <w:r w:rsidR="0065244E">
              <w:rPr>
                <w:noProof/>
                <w:sz w:val="26"/>
                <w:szCs w:val="26"/>
                <w:lang w:val="ro-RO"/>
              </w:rPr>
              <w:t xml:space="preserve"> </w:t>
            </w:r>
            <w:r w:rsidR="005C050B" w:rsidRPr="00D24F48">
              <w:rPr>
                <w:noProof/>
                <w:sz w:val="26"/>
                <w:szCs w:val="26"/>
                <w:lang w:val="ro-RO"/>
              </w:rPr>
              <w:t xml:space="preserve">239/2008 privind transparenţa în procesul decizional, proiectul </w:t>
            </w:r>
            <w:r w:rsidR="00DA10FB" w:rsidRPr="00D24F48">
              <w:rPr>
                <w:noProof/>
                <w:sz w:val="26"/>
                <w:szCs w:val="26"/>
                <w:lang w:val="ro-RO"/>
              </w:rPr>
              <w:t xml:space="preserve">hotărârii </w:t>
            </w:r>
            <w:proofErr w:type="spellStart"/>
            <w:r w:rsidR="00832A94" w:rsidRPr="00D24F48">
              <w:rPr>
                <w:sz w:val="26"/>
                <w:szCs w:val="26"/>
                <w:lang w:val="en-US"/>
              </w:rPr>
              <w:t>poate</w:t>
            </w:r>
            <w:proofErr w:type="spellEnd"/>
            <w:r w:rsidR="00832A94" w:rsidRPr="00D24F48">
              <w:rPr>
                <w:sz w:val="26"/>
                <w:szCs w:val="26"/>
                <w:lang w:val="en-US"/>
              </w:rPr>
              <w:t xml:space="preserve"> fi </w:t>
            </w:r>
            <w:proofErr w:type="spellStart"/>
            <w:r w:rsidR="00832A94" w:rsidRPr="00D24F48">
              <w:rPr>
                <w:sz w:val="26"/>
                <w:szCs w:val="26"/>
                <w:lang w:val="en-US"/>
              </w:rPr>
              <w:t>accesat</w:t>
            </w:r>
            <w:proofErr w:type="spellEnd"/>
            <w:r w:rsidR="00832A94" w:rsidRPr="00D24F48">
              <w:rPr>
                <w:sz w:val="26"/>
                <w:szCs w:val="26"/>
                <w:lang w:val="en-US"/>
              </w:rPr>
              <w:t xml:space="preserve"> pe </w:t>
            </w:r>
            <w:proofErr w:type="spellStart"/>
            <w:r w:rsidR="00832A94" w:rsidRPr="00D24F48">
              <w:rPr>
                <w:sz w:val="26"/>
                <w:szCs w:val="26"/>
                <w:lang w:val="en-US"/>
              </w:rPr>
              <w:t>pagina</w:t>
            </w:r>
            <w:proofErr w:type="spellEnd"/>
            <w:r w:rsidR="00832A94" w:rsidRPr="00D24F48">
              <w:rPr>
                <w:sz w:val="26"/>
                <w:szCs w:val="26"/>
                <w:lang w:val="en-US"/>
              </w:rPr>
              <w:t xml:space="preserve"> web </w:t>
            </w:r>
            <w:proofErr w:type="spellStart"/>
            <w:r w:rsidR="00832A94" w:rsidRPr="00D24F48">
              <w:rPr>
                <w:sz w:val="26"/>
                <w:szCs w:val="26"/>
                <w:lang w:val="en-US"/>
              </w:rPr>
              <w:t>oficială</w:t>
            </w:r>
            <w:proofErr w:type="spellEnd"/>
            <w:r w:rsidR="00DA10FB" w:rsidRPr="00D24F48">
              <w:rPr>
                <w:sz w:val="26"/>
                <w:szCs w:val="26"/>
                <w:lang w:val="en-US"/>
              </w:rPr>
              <w:t xml:space="preserve"> pe </w:t>
            </w:r>
            <w:proofErr w:type="spellStart"/>
            <w:r w:rsidR="00DA10FB" w:rsidRPr="00D24F48">
              <w:rPr>
                <w:sz w:val="26"/>
                <w:szCs w:val="26"/>
                <w:lang w:val="en-US"/>
              </w:rPr>
              <w:t>portalul</w:t>
            </w:r>
            <w:proofErr w:type="spellEnd"/>
            <w:r w:rsidR="00DA10FB" w:rsidRPr="00D24F48">
              <w:rPr>
                <w:sz w:val="26"/>
                <w:szCs w:val="26"/>
                <w:lang w:val="en-US"/>
              </w:rPr>
              <w:t xml:space="preserve"> </w:t>
            </w:r>
            <w:hyperlink r:id="rId8" w:history="1">
              <w:r w:rsidR="00D507C6" w:rsidRPr="00D24F48">
                <w:rPr>
                  <w:rStyle w:val="Hyperlink"/>
                  <w:sz w:val="26"/>
                  <w:szCs w:val="26"/>
                  <w:lang w:val="en-US"/>
                </w:rPr>
                <w:t>www.particip.gov.md</w:t>
              </w:r>
            </w:hyperlink>
            <w:r w:rsidR="00D507C6" w:rsidRPr="00D24F48">
              <w:rPr>
                <w:sz w:val="26"/>
                <w:szCs w:val="26"/>
                <w:lang w:val="en-US"/>
              </w:rPr>
              <w:t xml:space="preserve">, precum </w:t>
            </w:r>
            <w:proofErr w:type="spellStart"/>
            <w:r w:rsidR="00D507C6" w:rsidRPr="00D24F48">
              <w:rPr>
                <w:sz w:val="26"/>
                <w:szCs w:val="26"/>
                <w:lang w:val="en-US"/>
              </w:rPr>
              <w:t>și</w:t>
            </w:r>
            <w:proofErr w:type="spellEnd"/>
            <w:r w:rsidR="00D507C6" w:rsidRPr="00D24F48">
              <w:rPr>
                <w:sz w:val="26"/>
                <w:szCs w:val="26"/>
                <w:lang w:val="en-US"/>
              </w:rPr>
              <w:t xml:space="preserve"> </w:t>
            </w:r>
            <w:r w:rsidR="005C050B" w:rsidRPr="00D24F48">
              <w:rPr>
                <w:noProof/>
                <w:sz w:val="26"/>
                <w:szCs w:val="26"/>
                <w:lang w:val="ro-RO"/>
              </w:rPr>
              <w:t xml:space="preserve">pe pagina web oficială a </w:t>
            </w:r>
            <w:r w:rsidR="00750F59" w:rsidRPr="00D24F48">
              <w:rPr>
                <w:noProof/>
                <w:sz w:val="26"/>
                <w:szCs w:val="26"/>
                <w:lang w:val="ro-RO"/>
              </w:rPr>
              <w:t>ARFC</w:t>
            </w:r>
            <w:r w:rsidR="005C050B" w:rsidRPr="00D24F48">
              <w:rPr>
                <w:noProof/>
                <w:sz w:val="26"/>
                <w:szCs w:val="26"/>
                <w:lang w:val="ro-RO"/>
              </w:rPr>
              <w:t xml:space="preserve">, </w:t>
            </w:r>
            <w:hyperlink r:id="rId9" w:history="1">
              <w:r w:rsidR="005C050B" w:rsidRPr="00D24F48">
                <w:rPr>
                  <w:noProof/>
                  <w:sz w:val="26"/>
                  <w:szCs w:val="26"/>
                  <w:u w:val="single"/>
                  <w:lang w:val="ro-RO"/>
                </w:rPr>
                <w:t>www.arfc.gov.md</w:t>
              </w:r>
            </w:hyperlink>
            <w:r w:rsidR="005C050B" w:rsidRPr="00D24F48">
              <w:rPr>
                <w:noProof/>
                <w:sz w:val="26"/>
                <w:szCs w:val="26"/>
                <w:lang w:val="ro-RO"/>
              </w:rPr>
              <w:t xml:space="preserve">, la directoriul </w:t>
            </w:r>
            <w:r w:rsidR="005C050B" w:rsidRPr="00D24F48">
              <w:rPr>
                <w:i/>
                <w:noProof/>
                <w:sz w:val="26"/>
                <w:szCs w:val="26"/>
                <w:lang w:val="ro-RO"/>
              </w:rPr>
              <w:t>Transparenţa decizională</w:t>
            </w:r>
            <w:r w:rsidR="005C050B" w:rsidRPr="00D24F48">
              <w:rPr>
                <w:noProof/>
                <w:sz w:val="26"/>
                <w:szCs w:val="26"/>
                <w:lang w:val="ro-RO"/>
              </w:rPr>
              <w:t xml:space="preserve">, secţiunea </w:t>
            </w:r>
            <w:r w:rsidR="005C050B" w:rsidRPr="00D24F48">
              <w:rPr>
                <w:i/>
                <w:noProof/>
                <w:sz w:val="26"/>
                <w:szCs w:val="26"/>
                <w:lang w:val="ro-RO"/>
              </w:rPr>
              <w:t>Proiecte de acte legislative și normativ</w:t>
            </w:r>
            <w:r w:rsidR="00E004FD" w:rsidRPr="00D24F48">
              <w:rPr>
                <w:i/>
                <w:noProof/>
                <w:sz w:val="26"/>
                <w:szCs w:val="26"/>
                <w:lang w:val="ro-RO"/>
              </w:rPr>
              <w:t>e</w:t>
            </w:r>
            <w:r w:rsidR="005C050B" w:rsidRPr="00D24F48">
              <w:rPr>
                <w:i/>
                <w:noProof/>
                <w:sz w:val="26"/>
                <w:szCs w:val="26"/>
                <w:lang w:val="ro-RO"/>
              </w:rPr>
              <w:t>.</w:t>
            </w:r>
            <w:r w:rsidR="004640F0" w:rsidRPr="00D24F48">
              <w:rPr>
                <w:i/>
                <w:noProof/>
                <w:sz w:val="26"/>
                <w:szCs w:val="26"/>
                <w:lang w:val="ro-RO"/>
              </w:rPr>
              <w:t xml:space="preserve"> </w:t>
            </w:r>
          </w:p>
        </w:tc>
      </w:tr>
      <w:tr w:rsidR="0065244E" w:rsidRPr="00EF50BA" w14:paraId="058816FA" w14:textId="77777777" w:rsidTr="001262CE">
        <w:tc>
          <w:tcPr>
            <w:tcW w:w="10490" w:type="dxa"/>
            <w:shd w:val="clear" w:color="auto" w:fill="auto"/>
          </w:tcPr>
          <w:p w14:paraId="44D39F03" w14:textId="5B1C1DCD" w:rsidR="0065244E" w:rsidRPr="0065244E" w:rsidRDefault="0065244E" w:rsidP="0065244E">
            <w:pPr>
              <w:spacing w:line="276" w:lineRule="auto"/>
              <w:rPr>
                <w:noProof/>
                <w:sz w:val="26"/>
                <w:szCs w:val="26"/>
                <w:lang w:val="ro-RO"/>
              </w:rPr>
            </w:pPr>
            <w:r w:rsidRPr="0065244E">
              <w:rPr>
                <w:b/>
                <w:noProof/>
                <w:sz w:val="26"/>
                <w:szCs w:val="26"/>
                <w:lang w:val="ro-RO"/>
              </w:rPr>
              <w:t>8. Consultările expertizei anticorupție</w:t>
            </w:r>
          </w:p>
        </w:tc>
      </w:tr>
      <w:tr w:rsidR="0065244E" w:rsidRPr="00B71407" w14:paraId="63528501" w14:textId="77777777" w:rsidTr="001262CE">
        <w:tc>
          <w:tcPr>
            <w:tcW w:w="10490" w:type="dxa"/>
            <w:shd w:val="clear" w:color="auto" w:fill="auto"/>
          </w:tcPr>
          <w:p w14:paraId="3F560D8C" w14:textId="5FADABE0" w:rsidR="0065244E" w:rsidRPr="0065244E" w:rsidRDefault="0065244E" w:rsidP="0065244E">
            <w:pPr>
              <w:spacing w:line="276" w:lineRule="auto"/>
              <w:rPr>
                <w:noProof/>
                <w:sz w:val="26"/>
                <w:szCs w:val="26"/>
                <w:lang w:val="ro-RO"/>
              </w:rPr>
            </w:pPr>
            <w:r w:rsidRPr="0065244E">
              <w:rPr>
                <w:noProof/>
                <w:sz w:val="26"/>
                <w:szCs w:val="26"/>
                <w:lang w:val="en-US"/>
              </w:rPr>
              <w:t xml:space="preserve">     Proiectul urmează a fi supus expertizei anticorupție</w:t>
            </w:r>
          </w:p>
        </w:tc>
      </w:tr>
      <w:tr w:rsidR="0065244E" w:rsidRPr="00EF50BA" w14:paraId="3D76EE4F" w14:textId="77777777" w:rsidTr="001262CE">
        <w:tc>
          <w:tcPr>
            <w:tcW w:w="10490" w:type="dxa"/>
            <w:shd w:val="clear" w:color="auto" w:fill="auto"/>
          </w:tcPr>
          <w:p w14:paraId="27D8A677" w14:textId="5EDB2052" w:rsidR="0065244E" w:rsidRPr="0065244E" w:rsidRDefault="0065244E" w:rsidP="0065244E">
            <w:pPr>
              <w:spacing w:line="276" w:lineRule="auto"/>
              <w:rPr>
                <w:noProof/>
                <w:sz w:val="26"/>
                <w:szCs w:val="26"/>
                <w:lang w:val="ro-RO"/>
              </w:rPr>
            </w:pPr>
            <w:r w:rsidRPr="0065244E">
              <w:rPr>
                <w:b/>
                <w:noProof/>
                <w:sz w:val="26"/>
                <w:szCs w:val="26"/>
              </w:rPr>
              <w:t>9. Constatările expertizei de compatibilitate</w:t>
            </w:r>
          </w:p>
        </w:tc>
      </w:tr>
      <w:tr w:rsidR="0065244E" w:rsidRPr="00B71407" w14:paraId="757280A6" w14:textId="77777777" w:rsidTr="001262CE">
        <w:tc>
          <w:tcPr>
            <w:tcW w:w="10490" w:type="dxa"/>
            <w:shd w:val="clear" w:color="auto" w:fill="auto"/>
          </w:tcPr>
          <w:p w14:paraId="03E7FA1B" w14:textId="1773C8E0" w:rsidR="0065244E" w:rsidRPr="0065244E" w:rsidRDefault="0065244E" w:rsidP="0065244E">
            <w:pPr>
              <w:spacing w:line="276" w:lineRule="auto"/>
              <w:rPr>
                <w:noProof/>
                <w:sz w:val="26"/>
                <w:szCs w:val="26"/>
                <w:lang w:val="ro-RO"/>
              </w:rPr>
            </w:pPr>
            <w:r w:rsidRPr="0065244E">
              <w:rPr>
                <w:sz w:val="26"/>
                <w:szCs w:val="26"/>
                <w:lang w:val="en-US"/>
              </w:rPr>
              <w:t xml:space="preserve">    </w:t>
            </w:r>
            <w:proofErr w:type="spellStart"/>
            <w:r w:rsidRPr="0065244E">
              <w:rPr>
                <w:sz w:val="26"/>
                <w:szCs w:val="26"/>
                <w:lang w:val="en-US"/>
              </w:rPr>
              <w:t>Proiectul</w:t>
            </w:r>
            <w:proofErr w:type="spellEnd"/>
            <w:r w:rsidRPr="0065244E">
              <w:rPr>
                <w:sz w:val="26"/>
                <w:szCs w:val="26"/>
                <w:lang w:val="en-US"/>
              </w:rPr>
              <w:t xml:space="preserve"> nu are ca scop </w:t>
            </w:r>
            <w:proofErr w:type="spellStart"/>
            <w:r w:rsidRPr="0065244E">
              <w:rPr>
                <w:sz w:val="26"/>
                <w:szCs w:val="26"/>
                <w:lang w:val="en-US"/>
              </w:rPr>
              <w:t>armonizarea</w:t>
            </w:r>
            <w:proofErr w:type="spellEnd"/>
            <w:r w:rsidRPr="0065244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5244E">
              <w:rPr>
                <w:sz w:val="26"/>
                <w:szCs w:val="26"/>
                <w:lang w:val="en-US"/>
              </w:rPr>
              <w:t>legislației</w:t>
            </w:r>
            <w:proofErr w:type="spellEnd"/>
            <w:r w:rsidRPr="0065244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5244E">
              <w:rPr>
                <w:sz w:val="26"/>
                <w:szCs w:val="26"/>
                <w:lang w:val="en-US"/>
              </w:rPr>
              <w:t>naționale</w:t>
            </w:r>
            <w:proofErr w:type="spellEnd"/>
            <w:r w:rsidRPr="0065244E">
              <w:rPr>
                <w:sz w:val="26"/>
                <w:szCs w:val="26"/>
                <w:lang w:val="en-US"/>
              </w:rPr>
              <w:t xml:space="preserve"> cu </w:t>
            </w:r>
            <w:proofErr w:type="spellStart"/>
            <w:r w:rsidRPr="0065244E">
              <w:rPr>
                <w:sz w:val="26"/>
                <w:szCs w:val="26"/>
                <w:lang w:val="en-US"/>
              </w:rPr>
              <w:t>legislația</w:t>
            </w:r>
            <w:proofErr w:type="spellEnd"/>
            <w:r w:rsidRPr="0065244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5244E">
              <w:rPr>
                <w:sz w:val="26"/>
                <w:szCs w:val="26"/>
                <w:lang w:val="en-US"/>
              </w:rPr>
              <w:t>Uniunii</w:t>
            </w:r>
            <w:proofErr w:type="spellEnd"/>
            <w:r w:rsidRPr="0065244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5244E">
              <w:rPr>
                <w:sz w:val="26"/>
                <w:szCs w:val="26"/>
                <w:lang w:val="en-US"/>
              </w:rPr>
              <w:t>Europene</w:t>
            </w:r>
            <w:proofErr w:type="spellEnd"/>
            <w:r w:rsidRPr="0065244E">
              <w:rPr>
                <w:sz w:val="26"/>
                <w:szCs w:val="26"/>
                <w:lang w:val="en-US"/>
              </w:rPr>
              <w:t>.</w:t>
            </w:r>
          </w:p>
        </w:tc>
      </w:tr>
      <w:tr w:rsidR="0065244E" w:rsidRPr="00EF50BA" w14:paraId="6CD6C3F0" w14:textId="77777777" w:rsidTr="001262CE">
        <w:tc>
          <w:tcPr>
            <w:tcW w:w="10490" w:type="dxa"/>
            <w:shd w:val="clear" w:color="auto" w:fill="auto"/>
          </w:tcPr>
          <w:p w14:paraId="7886F7A1" w14:textId="0627B01F" w:rsidR="0065244E" w:rsidRPr="0065244E" w:rsidRDefault="0065244E" w:rsidP="0065244E">
            <w:pPr>
              <w:spacing w:line="276" w:lineRule="auto"/>
              <w:rPr>
                <w:sz w:val="26"/>
                <w:szCs w:val="26"/>
              </w:rPr>
            </w:pPr>
            <w:r w:rsidRPr="0065244E">
              <w:rPr>
                <w:b/>
                <w:noProof/>
                <w:sz w:val="26"/>
                <w:szCs w:val="26"/>
              </w:rPr>
              <w:t>10. Constatările expertizei juridice</w:t>
            </w:r>
          </w:p>
        </w:tc>
      </w:tr>
      <w:tr w:rsidR="0065244E" w:rsidRPr="00B71407" w14:paraId="14763B87" w14:textId="77777777" w:rsidTr="001262CE">
        <w:tc>
          <w:tcPr>
            <w:tcW w:w="10490" w:type="dxa"/>
            <w:shd w:val="clear" w:color="auto" w:fill="auto"/>
          </w:tcPr>
          <w:p w14:paraId="77F5316E" w14:textId="2603C0E4" w:rsidR="0065244E" w:rsidRPr="0065244E" w:rsidRDefault="0065244E" w:rsidP="0065244E">
            <w:pPr>
              <w:spacing w:line="276" w:lineRule="auto"/>
              <w:rPr>
                <w:b/>
                <w:noProof/>
                <w:sz w:val="26"/>
                <w:szCs w:val="26"/>
                <w:lang w:val="en-US"/>
              </w:rPr>
            </w:pPr>
            <w:r w:rsidRPr="0065244E">
              <w:rPr>
                <w:noProof/>
                <w:sz w:val="26"/>
                <w:szCs w:val="26"/>
                <w:lang w:val="en-US"/>
              </w:rPr>
              <w:t xml:space="preserve">    Potrivit expertizei juridice (scrisoarea nr.04/9609 din 04.11.2022) au fost înaintate recomandări și propuneri de tehnică legislativă care au fost luate în considerație în totalitate la definitivarea proiectului.</w:t>
            </w:r>
          </w:p>
        </w:tc>
      </w:tr>
      <w:tr w:rsidR="0065244E" w:rsidRPr="00EF50BA" w14:paraId="63892308" w14:textId="77777777" w:rsidTr="001262CE">
        <w:tc>
          <w:tcPr>
            <w:tcW w:w="10490" w:type="dxa"/>
            <w:shd w:val="clear" w:color="auto" w:fill="auto"/>
          </w:tcPr>
          <w:p w14:paraId="0148DE69" w14:textId="3E3B3779" w:rsidR="0065244E" w:rsidRPr="0065244E" w:rsidRDefault="0065244E" w:rsidP="0065244E">
            <w:pPr>
              <w:pStyle w:val="BodyText2"/>
              <w:ind w:firstLine="142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65244E">
              <w:rPr>
                <w:rFonts w:ascii="Times New Roman" w:hAnsi="Times New Roman"/>
                <w:b/>
                <w:noProof/>
                <w:sz w:val="26"/>
                <w:szCs w:val="26"/>
              </w:rPr>
              <w:t>11.Consultările altor expertize</w:t>
            </w:r>
          </w:p>
        </w:tc>
      </w:tr>
      <w:tr w:rsidR="0065244E" w:rsidRPr="00B71407" w14:paraId="76DFC036" w14:textId="77777777" w:rsidTr="001262CE">
        <w:tc>
          <w:tcPr>
            <w:tcW w:w="10490" w:type="dxa"/>
            <w:shd w:val="clear" w:color="auto" w:fill="auto"/>
          </w:tcPr>
          <w:p w14:paraId="0949FF9C" w14:textId="00CBEDE2" w:rsidR="0065244E" w:rsidRPr="0065244E" w:rsidRDefault="0065244E" w:rsidP="0065244E">
            <w:pPr>
              <w:spacing w:line="276" w:lineRule="auto"/>
              <w:rPr>
                <w:noProof/>
                <w:sz w:val="26"/>
                <w:szCs w:val="26"/>
                <w:lang w:val="en-US"/>
              </w:rPr>
            </w:pPr>
            <w:r w:rsidRPr="0065244E">
              <w:rPr>
                <w:noProof/>
                <w:sz w:val="26"/>
                <w:szCs w:val="26"/>
                <w:lang w:val="ro-RO"/>
              </w:rPr>
              <w:t xml:space="preserve">    Proiectul nu conține prevederi de reglementare a activității de întreprinzător în sensul Legii nr. 235/2006 cu privire la principiile de bază de reglementare a activității de întreprinzător, astfel decăzând necesitatea examinării acestuia de către Grupul de lucru pentru reglementarea activității de întreprinzător.</w:t>
            </w:r>
          </w:p>
        </w:tc>
      </w:tr>
    </w:tbl>
    <w:p w14:paraId="0CC211E7" w14:textId="77777777" w:rsidR="00CD1933" w:rsidRPr="00D24F48" w:rsidRDefault="00CD1933" w:rsidP="00BC00CF">
      <w:pPr>
        <w:spacing w:line="276" w:lineRule="auto"/>
        <w:rPr>
          <w:noProof/>
          <w:sz w:val="26"/>
          <w:szCs w:val="26"/>
          <w:lang w:val="ro-RO"/>
        </w:rPr>
      </w:pPr>
    </w:p>
    <w:p w14:paraId="0C357BED" w14:textId="77777777" w:rsidR="00CD1933" w:rsidRPr="00D24F48" w:rsidRDefault="00CD1933" w:rsidP="00BC00CF">
      <w:pPr>
        <w:spacing w:line="276" w:lineRule="auto"/>
        <w:rPr>
          <w:noProof/>
          <w:sz w:val="26"/>
          <w:szCs w:val="26"/>
          <w:lang w:val="ro-RO"/>
        </w:rPr>
      </w:pPr>
    </w:p>
    <w:p w14:paraId="7ADFDEA1" w14:textId="1764B319" w:rsidR="00CD1933" w:rsidRPr="00D24F48" w:rsidRDefault="00CD1933" w:rsidP="00BC00CF">
      <w:pPr>
        <w:spacing w:line="276" w:lineRule="auto"/>
        <w:rPr>
          <w:noProof/>
          <w:sz w:val="26"/>
          <w:szCs w:val="26"/>
          <w:lang w:val="ro-RO"/>
        </w:rPr>
      </w:pPr>
    </w:p>
    <w:p w14:paraId="0D379330" w14:textId="28164865" w:rsidR="00500734" w:rsidRPr="00D24F48" w:rsidRDefault="00500734" w:rsidP="00BC00CF">
      <w:pPr>
        <w:spacing w:line="276" w:lineRule="auto"/>
        <w:rPr>
          <w:noProof/>
          <w:sz w:val="26"/>
          <w:szCs w:val="26"/>
          <w:lang w:val="ro-RO"/>
        </w:rPr>
      </w:pPr>
    </w:p>
    <w:p w14:paraId="79E407C1" w14:textId="77777777" w:rsidR="00500734" w:rsidRPr="00D24F48" w:rsidRDefault="00500734" w:rsidP="00BC00CF">
      <w:pPr>
        <w:spacing w:line="276" w:lineRule="auto"/>
        <w:rPr>
          <w:noProof/>
          <w:sz w:val="26"/>
          <w:szCs w:val="26"/>
          <w:lang w:val="ro-RO"/>
        </w:rPr>
      </w:pPr>
    </w:p>
    <w:p w14:paraId="796CB4C8" w14:textId="77777777" w:rsidR="00CD1933" w:rsidRPr="00D24F48" w:rsidRDefault="00CD1933" w:rsidP="00BC00CF">
      <w:pPr>
        <w:spacing w:line="276" w:lineRule="auto"/>
        <w:rPr>
          <w:noProof/>
          <w:sz w:val="26"/>
          <w:szCs w:val="26"/>
          <w:lang w:val="ro-RO"/>
        </w:rPr>
      </w:pPr>
    </w:p>
    <w:p w14:paraId="5A6044E1" w14:textId="301828FB" w:rsidR="00CD1933" w:rsidRPr="00D24F48" w:rsidRDefault="00CD1933" w:rsidP="00BC00CF">
      <w:pPr>
        <w:spacing w:line="276" w:lineRule="auto"/>
        <w:rPr>
          <w:b/>
          <w:bCs/>
          <w:noProof/>
          <w:sz w:val="26"/>
          <w:szCs w:val="26"/>
          <w:lang w:val="ro-RO"/>
        </w:rPr>
      </w:pPr>
      <w:r w:rsidRPr="00D24F48">
        <w:rPr>
          <w:b/>
          <w:bCs/>
          <w:noProof/>
          <w:sz w:val="26"/>
          <w:szCs w:val="26"/>
          <w:lang w:val="ro-RO"/>
        </w:rPr>
        <w:t>Director general adjunct</w:t>
      </w:r>
      <w:r w:rsidRPr="00D24F48">
        <w:rPr>
          <w:b/>
          <w:bCs/>
          <w:noProof/>
          <w:sz w:val="26"/>
          <w:szCs w:val="26"/>
          <w:lang w:val="ro-RO"/>
        </w:rPr>
        <w:tab/>
      </w:r>
      <w:r w:rsidRPr="00D24F48">
        <w:rPr>
          <w:b/>
          <w:bCs/>
          <w:noProof/>
          <w:sz w:val="26"/>
          <w:szCs w:val="26"/>
          <w:lang w:val="ro-RO"/>
        </w:rPr>
        <w:tab/>
      </w:r>
      <w:r w:rsidRPr="00D24F48">
        <w:rPr>
          <w:b/>
          <w:bCs/>
          <w:noProof/>
          <w:sz w:val="26"/>
          <w:szCs w:val="26"/>
          <w:lang w:val="ro-RO"/>
        </w:rPr>
        <w:tab/>
      </w:r>
      <w:r w:rsidRPr="00D24F48">
        <w:rPr>
          <w:b/>
          <w:bCs/>
          <w:noProof/>
          <w:sz w:val="26"/>
          <w:szCs w:val="26"/>
          <w:lang w:val="ro-RO"/>
        </w:rPr>
        <w:tab/>
      </w:r>
      <w:r w:rsidRPr="00D24F48">
        <w:rPr>
          <w:b/>
          <w:bCs/>
          <w:noProof/>
          <w:sz w:val="26"/>
          <w:szCs w:val="26"/>
          <w:lang w:val="ro-RO"/>
        </w:rPr>
        <w:tab/>
        <w:t>Ștefan CRIGAN</w:t>
      </w:r>
    </w:p>
    <w:p w14:paraId="3A3F5F0E" w14:textId="77777777" w:rsidR="00CD1933" w:rsidRPr="00D24F48" w:rsidRDefault="00CD1933" w:rsidP="00BC00CF">
      <w:pPr>
        <w:spacing w:line="276" w:lineRule="auto"/>
        <w:rPr>
          <w:noProof/>
          <w:sz w:val="26"/>
          <w:szCs w:val="26"/>
          <w:lang w:val="ro-RO"/>
        </w:rPr>
      </w:pPr>
    </w:p>
    <w:p w14:paraId="2C2E6478" w14:textId="77777777" w:rsidR="00CD1933" w:rsidRPr="00D24F48" w:rsidRDefault="00CD1933" w:rsidP="00BC00CF">
      <w:pPr>
        <w:spacing w:line="276" w:lineRule="auto"/>
        <w:rPr>
          <w:noProof/>
          <w:sz w:val="26"/>
          <w:szCs w:val="26"/>
          <w:lang w:val="ro-RO"/>
        </w:rPr>
      </w:pPr>
    </w:p>
    <w:p w14:paraId="0AD114E8" w14:textId="77777777" w:rsidR="00CD1933" w:rsidRPr="00D24F48" w:rsidRDefault="00CD1933" w:rsidP="00BC00CF">
      <w:pPr>
        <w:spacing w:line="276" w:lineRule="auto"/>
        <w:rPr>
          <w:noProof/>
          <w:sz w:val="26"/>
          <w:szCs w:val="26"/>
          <w:lang w:val="ro-RO"/>
        </w:rPr>
      </w:pPr>
    </w:p>
    <w:p w14:paraId="566B3867" w14:textId="77777777" w:rsidR="00CD1933" w:rsidRPr="00D24F48" w:rsidRDefault="00CD1933" w:rsidP="00BC00CF">
      <w:pPr>
        <w:spacing w:line="276" w:lineRule="auto"/>
        <w:rPr>
          <w:noProof/>
          <w:sz w:val="26"/>
          <w:szCs w:val="26"/>
          <w:lang w:val="ro-RO"/>
        </w:rPr>
      </w:pPr>
    </w:p>
    <w:p w14:paraId="6A5F99C3" w14:textId="77777777" w:rsidR="00CD1933" w:rsidRPr="00D24F48" w:rsidRDefault="00CD1933" w:rsidP="00BC00CF">
      <w:pPr>
        <w:spacing w:line="276" w:lineRule="auto"/>
        <w:rPr>
          <w:noProof/>
          <w:sz w:val="26"/>
          <w:szCs w:val="26"/>
          <w:lang w:val="ro-RO"/>
        </w:rPr>
      </w:pPr>
    </w:p>
    <w:p w14:paraId="709ABF94" w14:textId="77777777" w:rsidR="00CD1933" w:rsidRPr="00BC00CF" w:rsidRDefault="00CD1933" w:rsidP="00BC00CF">
      <w:pPr>
        <w:spacing w:line="276" w:lineRule="auto"/>
        <w:rPr>
          <w:noProof/>
          <w:lang w:val="ro-RO"/>
        </w:rPr>
      </w:pPr>
    </w:p>
    <w:p w14:paraId="579D9DB0" w14:textId="77777777" w:rsidR="00CD1933" w:rsidRPr="00BC00CF" w:rsidRDefault="00CD1933" w:rsidP="00BC00CF">
      <w:pPr>
        <w:spacing w:line="276" w:lineRule="auto"/>
        <w:rPr>
          <w:noProof/>
          <w:lang w:val="ro-RO"/>
        </w:rPr>
      </w:pPr>
    </w:p>
    <w:p w14:paraId="3ED4F94B" w14:textId="0B6C9AB3" w:rsidR="0076380E" w:rsidRDefault="0076380E" w:rsidP="00BC00CF">
      <w:pPr>
        <w:spacing w:line="276" w:lineRule="auto"/>
        <w:rPr>
          <w:noProof/>
          <w:lang w:val="ro-RO"/>
        </w:rPr>
      </w:pPr>
    </w:p>
    <w:p w14:paraId="60778072" w14:textId="77777777" w:rsidR="0076380E" w:rsidRPr="00BC00CF" w:rsidRDefault="0076380E" w:rsidP="00BC00CF">
      <w:pPr>
        <w:spacing w:line="276" w:lineRule="auto"/>
        <w:rPr>
          <w:noProof/>
          <w:lang w:val="ro-RO"/>
        </w:rPr>
      </w:pPr>
    </w:p>
    <w:p w14:paraId="7B8A9E10" w14:textId="0FDEBF48" w:rsidR="00664C22" w:rsidRPr="00BC00CF" w:rsidRDefault="00664C22" w:rsidP="00BC00CF">
      <w:pPr>
        <w:spacing w:line="276" w:lineRule="auto"/>
        <w:rPr>
          <w:noProof/>
          <w:lang w:val="ro-RO"/>
        </w:rPr>
      </w:pPr>
    </w:p>
    <w:p w14:paraId="6F5CDD2F" w14:textId="589E3E79" w:rsidR="00664C22" w:rsidRPr="00BC00CF" w:rsidRDefault="00664C22" w:rsidP="00BC00CF">
      <w:pPr>
        <w:spacing w:line="276" w:lineRule="auto"/>
        <w:rPr>
          <w:noProof/>
          <w:lang w:val="ro-RO"/>
        </w:rPr>
      </w:pPr>
      <w:bookmarkStart w:id="0" w:name="_Hlk119935553"/>
    </w:p>
    <w:p w14:paraId="49CF7F19" w14:textId="5CDBD37D" w:rsidR="00664C22" w:rsidRPr="0076380E" w:rsidRDefault="00664C22" w:rsidP="00BC00CF">
      <w:pPr>
        <w:spacing w:line="276" w:lineRule="auto"/>
        <w:rPr>
          <w:noProof/>
          <w:sz w:val="20"/>
          <w:szCs w:val="20"/>
          <w:lang w:val="ro-RO"/>
        </w:rPr>
      </w:pPr>
      <w:r w:rsidRPr="0076380E">
        <w:rPr>
          <w:noProof/>
          <w:sz w:val="20"/>
          <w:szCs w:val="20"/>
          <w:lang w:val="ro-RO"/>
        </w:rPr>
        <w:t>Ex</w:t>
      </w:r>
      <w:r w:rsidR="00482ED8" w:rsidRPr="0076380E">
        <w:rPr>
          <w:noProof/>
          <w:sz w:val="20"/>
          <w:szCs w:val="20"/>
          <w:lang w:val="ro-RO"/>
        </w:rPr>
        <w:t>:</w:t>
      </w:r>
      <w:r w:rsidRPr="0076380E">
        <w:rPr>
          <w:noProof/>
          <w:sz w:val="20"/>
          <w:szCs w:val="20"/>
          <w:lang w:val="ro-RO"/>
        </w:rPr>
        <w:t xml:space="preserve"> Livia GADJIU</w:t>
      </w:r>
    </w:p>
    <w:p w14:paraId="784D4516" w14:textId="60167231" w:rsidR="00482ED8" w:rsidRPr="0076380E" w:rsidRDefault="00482ED8" w:rsidP="00BC00CF">
      <w:pPr>
        <w:spacing w:line="276" w:lineRule="auto"/>
        <w:rPr>
          <w:noProof/>
          <w:sz w:val="20"/>
          <w:szCs w:val="20"/>
          <w:lang w:val="ro-RO"/>
        </w:rPr>
      </w:pPr>
      <w:r w:rsidRPr="0076380E">
        <w:rPr>
          <w:noProof/>
          <w:sz w:val="20"/>
          <w:szCs w:val="20"/>
          <w:lang w:val="ro-RO"/>
        </w:rPr>
        <w:t>Tel. 022 88 12 65</w:t>
      </w:r>
    </w:p>
    <w:p w14:paraId="5827ABF9" w14:textId="78308019" w:rsidR="00482ED8" w:rsidRDefault="00482ED8" w:rsidP="00BC00CF">
      <w:pPr>
        <w:spacing w:line="276" w:lineRule="auto"/>
        <w:rPr>
          <w:noProof/>
          <w:sz w:val="20"/>
          <w:szCs w:val="20"/>
          <w:lang w:val="ro-RO"/>
        </w:rPr>
      </w:pPr>
      <w:r w:rsidRPr="0076380E">
        <w:rPr>
          <w:noProof/>
          <w:sz w:val="20"/>
          <w:szCs w:val="20"/>
          <w:lang w:val="ro-RO"/>
        </w:rPr>
        <w:t xml:space="preserve">Email: </w:t>
      </w:r>
      <w:hyperlink r:id="rId10" w:history="1">
        <w:r w:rsidR="0076380E" w:rsidRPr="00D504E3">
          <w:rPr>
            <w:rStyle w:val="Hyperlink"/>
            <w:noProof/>
            <w:sz w:val="20"/>
            <w:szCs w:val="20"/>
            <w:lang w:val="ro-RO"/>
          </w:rPr>
          <w:t>livia.gadjiu@asp.gov.md</w:t>
        </w:r>
      </w:hyperlink>
    </w:p>
    <w:bookmarkEnd w:id="0"/>
    <w:p w14:paraId="5E003F91" w14:textId="77777777" w:rsidR="0076380E" w:rsidRPr="0076380E" w:rsidRDefault="0076380E" w:rsidP="00BC00CF">
      <w:pPr>
        <w:spacing w:line="276" w:lineRule="auto"/>
        <w:rPr>
          <w:noProof/>
          <w:sz w:val="20"/>
          <w:szCs w:val="20"/>
          <w:lang w:val="ro-RO"/>
        </w:rPr>
      </w:pPr>
    </w:p>
    <w:p w14:paraId="4254C794" w14:textId="77777777" w:rsidR="00664C22" w:rsidRPr="00BC00CF" w:rsidRDefault="00664C22" w:rsidP="00BC00CF">
      <w:pPr>
        <w:spacing w:line="276" w:lineRule="auto"/>
        <w:rPr>
          <w:noProof/>
          <w:lang w:val="ro-RO"/>
        </w:rPr>
      </w:pPr>
    </w:p>
    <w:p w14:paraId="47B12E52" w14:textId="519291BB" w:rsidR="00664C22" w:rsidRDefault="00664C22" w:rsidP="00BC00CF">
      <w:pPr>
        <w:spacing w:line="276" w:lineRule="auto"/>
        <w:rPr>
          <w:noProof/>
          <w:lang w:val="ro-RO"/>
        </w:rPr>
      </w:pPr>
    </w:p>
    <w:p w14:paraId="744CA383" w14:textId="3B29D499" w:rsidR="00482ED8" w:rsidRDefault="00482ED8" w:rsidP="00BC00CF">
      <w:pPr>
        <w:spacing w:line="276" w:lineRule="auto"/>
        <w:rPr>
          <w:noProof/>
          <w:lang w:val="ro-RO"/>
        </w:rPr>
      </w:pPr>
    </w:p>
    <w:p w14:paraId="4ECDBCBC" w14:textId="45CE5941" w:rsidR="00482ED8" w:rsidRDefault="00482ED8" w:rsidP="00BC00CF">
      <w:pPr>
        <w:spacing w:line="276" w:lineRule="auto"/>
        <w:rPr>
          <w:noProof/>
          <w:lang w:val="ro-RO"/>
        </w:rPr>
      </w:pPr>
    </w:p>
    <w:p w14:paraId="1842EE1A" w14:textId="5AB52CF7" w:rsidR="00482ED8" w:rsidRDefault="00482ED8" w:rsidP="00BC00CF">
      <w:pPr>
        <w:spacing w:line="276" w:lineRule="auto"/>
        <w:rPr>
          <w:noProof/>
          <w:lang w:val="ro-RO"/>
        </w:rPr>
      </w:pPr>
    </w:p>
    <w:p w14:paraId="577F05CA" w14:textId="73B9E22F" w:rsidR="00482ED8" w:rsidRDefault="00482ED8" w:rsidP="00BC00CF">
      <w:pPr>
        <w:spacing w:line="276" w:lineRule="auto"/>
        <w:rPr>
          <w:noProof/>
          <w:lang w:val="ro-RO"/>
        </w:rPr>
      </w:pPr>
      <w:r>
        <w:rPr>
          <w:noProof/>
          <w:lang w:val="ro-RO"/>
        </w:rPr>
        <w:t>Executor:           Livia GADJIU</w:t>
      </w:r>
    </w:p>
    <w:p w14:paraId="1EEFE1E5" w14:textId="77777777" w:rsidR="009F035B" w:rsidRPr="00BC00CF" w:rsidRDefault="009F035B" w:rsidP="00BC00CF">
      <w:pPr>
        <w:spacing w:line="276" w:lineRule="auto"/>
        <w:rPr>
          <w:noProof/>
          <w:lang w:val="ro-RO"/>
        </w:rPr>
      </w:pPr>
    </w:p>
    <w:p w14:paraId="17837E92" w14:textId="5518F9B2" w:rsidR="00664C22" w:rsidRPr="00BC00CF" w:rsidRDefault="00664C22" w:rsidP="00BC00CF">
      <w:pPr>
        <w:spacing w:line="276" w:lineRule="auto"/>
        <w:rPr>
          <w:noProof/>
          <w:lang w:val="ro-RO"/>
        </w:rPr>
      </w:pPr>
      <w:r w:rsidRPr="00BC00CF">
        <w:rPr>
          <w:noProof/>
          <w:lang w:val="ro-RO"/>
        </w:rPr>
        <w:t>Coordonat:        Olga BUZU</w:t>
      </w:r>
    </w:p>
    <w:p w14:paraId="3A300731" w14:textId="77777777" w:rsidR="00664C22" w:rsidRPr="00BC00CF" w:rsidRDefault="00664C22" w:rsidP="00BC00CF">
      <w:pPr>
        <w:spacing w:line="276" w:lineRule="auto"/>
        <w:rPr>
          <w:noProof/>
          <w:lang w:val="ro-RO"/>
        </w:rPr>
      </w:pPr>
    </w:p>
    <w:p w14:paraId="379A4C0C" w14:textId="5F90C15C" w:rsidR="00664C22" w:rsidRPr="00BC00CF" w:rsidRDefault="00664C22" w:rsidP="00BC00CF">
      <w:pPr>
        <w:spacing w:line="276" w:lineRule="auto"/>
        <w:rPr>
          <w:noProof/>
          <w:lang w:val="ro-RO"/>
        </w:rPr>
      </w:pPr>
      <w:r w:rsidRPr="00BC00CF">
        <w:rPr>
          <w:noProof/>
          <w:lang w:val="ro-RO"/>
        </w:rPr>
        <w:tab/>
        <w:t xml:space="preserve">              Albina NAZARCIUC</w:t>
      </w:r>
    </w:p>
    <w:p w14:paraId="4F56C91A" w14:textId="77777777" w:rsidR="00664C22" w:rsidRPr="00BC00CF" w:rsidRDefault="00664C22" w:rsidP="00BC00CF">
      <w:pPr>
        <w:spacing w:line="276" w:lineRule="auto"/>
        <w:rPr>
          <w:noProof/>
          <w:lang w:val="ro-RO"/>
        </w:rPr>
      </w:pPr>
    </w:p>
    <w:p w14:paraId="0EA8F38A" w14:textId="6BFFF2F8" w:rsidR="00664C22" w:rsidRPr="00BC00CF" w:rsidRDefault="00664C22" w:rsidP="00BC00CF">
      <w:pPr>
        <w:spacing w:line="276" w:lineRule="auto"/>
        <w:rPr>
          <w:noProof/>
          <w:lang w:val="ro-RO"/>
        </w:rPr>
      </w:pPr>
      <w:r w:rsidRPr="00BC00CF">
        <w:rPr>
          <w:noProof/>
          <w:lang w:val="ro-RO"/>
        </w:rPr>
        <w:tab/>
      </w:r>
      <w:r w:rsidRPr="00BC00CF">
        <w:rPr>
          <w:noProof/>
          <w:lang w:val="ro-RO"/>
        </w:rPr>
        <w:tab/>
        <w:t xml:space="preserve">  Valeri PERCEAMLÎ</w:t>
      </w:r>
    </w:p>
    <w:p w14:paraId="1F890ACD" w14:textId="77777777" w:rsidR="00664C22" w:rsidRPr="00BC00CF" w:rsidRDefault="00664C22" w:rsidP="00BC00CF">
      <w:pPr>
        <w:spacing w:line="276" w:lineRule="auto"/>
        <w:rPr>
          <w:noProof/>
          <w:lang w:val="ro-RO"/>
        </w:rPr>
      </w:pPr>
    </w:p>
    <w:sectPr w:rsidR="00664C22" w:rsidRPr="00BC00CF" w:rsidSect="00CE4330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B6435"/>
    <w:multiLevelType w:val="hybridMultilevel"/>
    <w:tmpl w:val="E1E4748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31A1A"/>
    <w:multiLevelType w:val="hybridMultilevel"/>
    <w:tmpl w:val="72966354"/>
    <w:lvl w:ilvl="0" w:tplc="E28EE248">
      <w:start w:val="1"/>
      <w:numFmt w:val="decimal"/>
      <w:lvlText w:val="(%1)"/>
      <w:lvlJc w:val="left"/>
      <w:pPr>
        <w:ind w:left="5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55" w:hanging="360"/>
      </w:pPr>
    </w:lvl>
    <w:lvl w:ilvl="2" w:tplc="1009001B" w:tentative="1">
      <w:start w:val="1"/>
      <w:numFmt w:val="lowerRoman"/>
      <w:lvlText w:val="%3."/>
      <w:lvlJc w:val="right"/>
      <w:pPr>
        <w:ind w:left="1975" w:hanging="180"/>
      </w:pPr>
    </w:lvl>
    <w:lvl w:ilvl="3" w:tplc="1009000F" w:tentative="1">
      <w:start w:val="1"/>
      <w:numFmt w:val="decimal"/>
      <w:lvlText w:val="%4."/>
      <w:lvlJc w:val="left"/>
      <w:pPr>
        <w:ind w:left="2695" w:hanging="360"/>
      </w:pPr>
    </w:lvl>
    <w:lvl w:ilvl="4" w:tplc="10090019" w:tentative="1">
      <w:start w:val="1"/>
      <w:numFmt w:val="lowerLetter"/>
      <w:lvlText w:val="%5."/>
      <w:lvlJc w:val="left"/>
      <w:pPr>
        <w:ind w:left="3415" w:hanging="360"/>
      </w:pPr>
    </w:lvl>
    <w:lvl w:ilvl="5" w:tplc="1009001B" w:tentative="1">
      <w:start w:val="1"/>
      <w:numFmt w:val="lowerRoman"/>
      <w:lvlText w:val="%6."/>
      <w:lvlJc w:val="right"/>
      <w:pPr>
        <w:ind w:left="4135" w:hanging="180"/>
      </w:pPr>
    </w:lvl>
    <w:lvl w:ilvl="6" w:tplc="1009000F" w:tentative="1">
      <w:start w:val="1"/>
      <w:numFmt w:val="decimal"/>
      <w:lvlText w:val="%7."/>
      <w:lvlJc w:val="left"/>
      <w:pPr>
        <w:ind w:left="4855" w:hanging="360"/>
      </w:pPr>
    </w:lvl>
    <w:lvl w:ilvl="7" w:tplc="10090019" w:tentative="1">
      <w:start w:val="1"/>
      <w:numFmt w:val="lowerLetter"/>
      <w:lvlText w:val="%8."/>
      <w:lvlJc w:val="left"/>
      <w:pPr>
        <w:ind w:left="5575" w:hanging="360"/>
      </w:pPr>
    </w:lvl>
    <w:lvl w:ilvl="8" w:tplc="10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4CDF5BA3"/>
    <w:multiLevelType w:val="hybridMultilevel"/>
    <w:tmpl w:val="1602C934"/>
    <w:lvl w:ilvl="0" w:tplc="D01AF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7458BB"/>
    <w:multiLevelType w:val="hybridMultilevel"/>
    <w:tmpl w:val="E08AADBA"/>
    <w:lvl w:ilvl="0" w:tplc="963058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8" w:hanging="360"/>
      </w:pPr>
    </w:lvl>
    <w:lvl w:ilvl="2" w:tplc="0818001B" w:tentative="1">
      <w:start w:val="1"/>
      <w:numFmt w:val="lowerRoman"/>
      <w:lvlText w:val="%3."/>
      <w:lvlJc w:val="right"/>
      <w:pPr>
        <w:ind w:left="2508" w:hanging="180"/>
      </w:pPr>
    </w:lvl>
    <w:lvl w:ilvl="3" w:tplc="0818000F" w:tentative="1">
      <w:start w:val="1"/>
      <w:numFmt w:val="decimal"/>
      <w:lvlText w:val="%4."/>
      <w:lvlJc w:val="left"/>
      <w:pPr>
        <w:ind w:left="3228" w:hanging="360"/>
      </w:pPr>
    </w:lvl>
    <w:lvl w:ilvl="4" w:tplc="08180019" w:tentative="1">
      <w:start w:val="1"/>
      <w:numFmt w:val="lowerLetter"/>
      <w:lvlText w:val="%5."/>
      <w:lvlJc w:val="left"/>
      <w:pPr>
        <w:ind w:left="3948" w:hanging="360"/>
      </w:pPr>
    </w:lvl>
    <w:lvl w:ilvl="5" w:tplc="0818001B" w:tentative="1">
      <w:start w:val="1"/>
      <w:numFmt w:val="lowerRoman"/>
      <w:lvlText w:val="%6."/>
      <w:lvlJc w:val="right"/>
      <w:pPr>
        <w:ind w:left="4668" w:hanging="180"/>
      </w:pPr>
    </w:lvl>
    <w:lvl w:ilvl="6" w:tplc="0818000F" w:tentative="1">
      <w:start w:val="1"/>
      <w:numFmt w:val="decimal"/>
      <w:lvlText w:val="%7."/>
      <w:lvlJc w:val="left"/>
      <w:pPr>
        <w:ind w:left="5388" w:hanging="360"/>
      </w:pPr>
    </w:lvl>
    <w:lvl w:ilvl="7" w:tplc="08180019" w:tentative="1">
      <w:start w:val="1"/>
      <w:numFmt w:val="lowerLetter"/>
      <w:lvlText w:val="%8."/>
      <w:lvlJc w:val="left"/>
      <w:pPr>
        <w:ind w:left="6108" w:hanging="360"/>
      </w:pPr>
    </w:lvl>
    <w:lvl w:ilvl="8" w:tplc="08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17E3F9D"/>
    <w:multiLevelType w:val="hybridMultilevel"/>
    <w:tmpl w:val="60D6737C"/>
    <w:lvl w:ilvl="0" w:tplc="E25EF5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27055067">
    <w:abstractNumId w:val="4"/>
  </w:num>
  <w:num w:numId="2" w16cid:durableId="1015884388">
    <w:abstractNumId w:val="2"/>
  </w:num>
  <w:num w:numId="3" w16cid:durableId="460345428">
    <w:abstractNumId w:val="0"/>
  </w:num>
  <w:num w:numId="4" w16cid:durableId="587732787">
    <w:abstractNumId w:val="1"/>
  </w:num>
  <w:num w:numId="5" w16cid:durableId="2011836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76"/>
    <w:rsid w:val="00006352"/>
    <w:rsid w:val="00015B97"/>
    <w:rsid w:val="00065DA6"/>
    <w:rsid w:val="00086B34"/>
    <w:rsid w:val="00090253"/>
    <w:rsid w:val="000949B1"/>
    <w:rsid w:val="000A32D4"/>
    <w:rsid w:val="000C0C04"/>
    <w:rsid w:val="000C2224"/>
    <w:rsid w:val="000C7CEA"/>
    <w:rsid w:val="000D5C54"/>
    <w:rsid w:val="000D7C71"/>
    <w:rsid w:val="000F213E"/>
    <w:rsid w:val="00111391"/>
    <w:rsid w:val="00114944"/>
    <w:rsid w:val="00122F65"/>
    <w:rsid w:val="00123ABD"/>
    <w:rsid w:val="00173C8D"/>
    <w:rsid w:val="00175B26"/>
    <w:rsid w:val="00180334"/>
    <w:rsid w:val="00186840"/>
    <w:rsid w:val="00186E5E"/>
    <w:rsid w:val="0019051E"/>
    <w:rsid w:val="00190BB2"/>
    <w:rsid w:val="0019503F"/>
    <w:rsid w:val="001A0768"/>
    <w:rsid w:val="001B7926"/>
    <w:rsid w:val="001C287A"/>
    <w:rsid w:val="001D54E3"/>
    <w:rsid w:val="001F3219"/>
    <w:rsid w:val="002121B7"/>
    <w:rsid w:val="0021347D"/>
    <w:rsid w:val="002246B1"/>
    <w:rsid w:val="00245F32"/>
    <w:rsid w:val="0026508B"/>
    <w:rsid w:val="00265476"/>
    <w:rsid w:val="00291FD6"/>
    <w:rsid w:val="002A5C31"/>
    <w:rsid w:val="002A7B80"/>
    <w:rsid w:val="002C576A"/>
    <w:rsid w:val="002E2F83"/>
    <w:rsid w:val="002F62C9"/>
    <w:rsid w:val="0030242D"/>
    <w:rsid w:val="00304B4C"/>
    <w:rsid w:val="00306EC3"/>
    <w:rsid w:val="003508DF"/>
    <w:rsid w:val="00364E21"/>
    <w:rsid w:val="003724D7"/>
    <w:rsid w:val="00380538"/>
    <w:rsid w:val="00382C13"/>
    <w:rsid w:val="00387816"/>
    <w:rsid w:val="003A229E"/>
    <w:rsid w:val="003B6C35"/>
    <w:rsid w:val="003B7EED"/>
    <w:rsid w:val="003C187C"/>
    <w:rsid w:val="003D0ABD"/>
    <w:rsid w:val="003E219C"/>
    <w:rsid w:val="00406BBE"/>
    <w:rsid w:val="0041283D"/>
    <w:rsid w:val="0042063F"/>
    <w:rsid w:val="0042490B"/>
    <w:rsid w:val="00431188"/>
    <w:rsid w:val="00436549"/>
    <w:rsid w:val="0044101B"/>
    <w:rsid w:val="00457BE4"/>
    <w:rsid w:val="004640F0"/>
    <w:rsid w:val="004755CD"/>
    <w:rsid w:val="0048205A"/>
    <w:rsid w:val="00482ED8"/>
    <w:rsid w:val="004A1C30"/>
    <w:rsid w:val="004B4498"/>
    <w:rsid w:val="004B75B0"/>
    <w:rsid w:val="004E15B5"/>
    <w:rsid w:val="004E15E2"/>
    <w:rsid w:val="004E2EFB"/>
    <w:rsid w:val="004F4156"/>
    <w:rsid w:val="004F54CD"/>
    <w:rsid w:val="004F6DEF"/>
    <w:rsid w:val="00500734"/>
    <w:rsid w:val="00500F15"/>
    <w:rsid w:val="00502CDB"/>
    <w:rsid w:val="005036F4"/>
    <w:rsid w:val="00511ECC"/>
    <w:rsid w:val="005359C7"/>
    <w:rsid w:val="00536A94"/>
    <w:rsid w:val="0054361A"/>
    <w:rsid w:val="00560D50"/>
    <w:rsid w:val="005667F2"/>
    <w:rsid w:val="00567AC6"/>
    <w:rsid w:val="005741CA"/>
    <w:rsid w:val="00581EEA"/>
    <w:rsid w:val="00582B0E"/>
    <w:rsid w:val="0058698E"/>
    <w:rsid w:val="005874B1"/>
    <w:rsid w:val="00595201"/>
    <w:rsid w:val="005B53BD"/>
    <w:rsid w:val="005C050B"/>
    <w:rsid w:val="005C1D6B"/>
    <w:rsid w:val="005C5B72"/>
    <w:rsid w:val="005E3CBF"/>
    <w:rsid w:val="00605616"/>
    <w:rsid w:val="006137C7"/>
    <w:rsid w:val="00615B4F"/>
    <w:rsid w:val="006418F4"/>
    <w:rsid w:val="0065244E"/>
    <w:rsid w:val="0065707A"/>
    <w:rsid w:val="0066398C"/>
    <w:rsid w:val="00664C22"/>
    <w:rsid w:val="00675E89"/>
    <w:rsid w:val="006959AA"/>
    <w:rsid w:val="006A4A97"/>
    <w:rsid w:val="006C5D6A"/>
    <w:rsid w:val="006E094B"/>
    <w:rsid w:val="006E331D"/>
    <w:rsid w:val="006E7951"/>
    <w:rsid w:val="00706516"/>
    <w:rsid w:val="00710A0D"/>
    <w:rsid w:val="00711ABF"/>
    <w:rsid w:val="00715BB9"/>
    <w:rsid w:val="00724F1A"/>
    <w:rsid w:val="00731D79"/>
    <w:rsid w:val="00741465"/>
    <w:rsid w:val="00750F59"/>
    <w:rsid w:val="0076380E"/>
    <w:rsid w:val="00765904"/>
    <w:rsid w:val="00766ECB"/>
    <w:rsid w:val="007C44C6"/>
    <w:rsid w:val="007D52E7"/>
    <w:rsid w:val="007D55F5"/>
    <w:rsid w:val="007E0733"/>
    <w:rsid w:val="007E464F"/>
    <w:rsid w:val="007E4DA2"/>
    <w:rsid w:val="007F14ED"/>
    <w:rsid w:val="007F4A78"/>
    <w:rsid w:val="00800BA1"/>
    <w:rsid w:val="00801B5C"/>
    <w:rsid w:val="0080562B"/>
    <w:rsid w:val="0080635C"/>
    <w:rsid w:val="00832A94"/>
    <w:rsid w:val="00845340"/>
    <w:rsid w:val="00847395"/>
    <w:rsid w:val="00850F42"/>
    <w:rsid w:val="008549CB"/>
    <w:rsid w:val="00861FA6"/>
    <w:rsid w:val="008719A4"/>
    <w:rsid w:val="0087470F"/>
    <w:rsid w:val="008756B1"/>
    <w:rsid w:val="0087719F"/>
    <w:rsid w:val="00885CF3"/>
    <w:rsid w:val="00890C07"/>
    <w:rsid w:val="008979C2"/>
    <w:rsid w:val="008B41CB"/>
    <w:rsid w:val="008B6937"/>
    <w:rsid w:val="008B6CA8"/>
    <w:rsid w:val="008B6DFB"/>
    <w:rsid w:val="008D13C6"/>
    <w:rsid w:val="008D7E9A"/>
    <w:rsid w:val="008E162C"/>
    <w:rsid w:val="008E51B2"/>
    <w:rsid w:val="008F2690"/>
    <w:rsid w:val="00906962"/>
    <w:rsid w:val="00912AD2"/>
    <w:rsid w:val="009165FA"/>
    <w:rsid w:val="00922A04"/>
    <w:rsid w:val="00922CDD"/>
    <w:rsid w:val="00927085"/>
    <w:rsid w:val="009300B1"/>
    <w:rsid w:val="009566C3"/>
    <w:rsid w:val="0096487A"/>
    <w:rsid w:val="00994BCB"/>
    <w:rsid w:val="009A0704"/>
    <w:rsid w:val="009A6416"/>
    <w:rsid w:val="009B0BA5"/>
    <w:rsid w:val="009B4ED1"/>
    <w:rsid w:val="009C5B6E"/>
    <w:rsid w:val="009F035B"/>
    <w:rsid w:val="009F1F6B"/>
    <w:rsid w:val="009F3B18"/>
    <w:rsid w:val="009F65E8"/>
    <w:rsid w:val="00A01E76"/>
    <w:rsid w:val="00A21566"/>
    <w:rsid w:val="00A41189"/>
    <w:rsid w:val="00A44F7B"/>
    <w:rsid w:val="00A452BD"/>
    <w:rsid w:val="00A46993"/>
    <w:rsid w:val="00A46FDF"/>
    <w:rsid w:val="00A52303"/>
    <w:rsid w:val="00A53A84"/>
    <w:rsid w:val="00A831BD"/>
    <w:rsid w:val="00A83C09"/>
    <w:rsid w:val="00A978C3"/>
    <w:rsid w:val="00AA36AF"/>
    <w:rsid w:val="00AA3A60"/>
    <w:rsid w:val="00AB03A0"/>
    <w:rsid w:val="00AB28B6"/>
    <w:rsid w:val="00AB387B"/>
    <w:rsid w:val="00AB6871"/>
    <w:rsid w:val="00AC3E76"/>
    <w:rsid w:val="00AC5B3F"/>
    <w:rsid w:val="00AC68CE"/>
    <w:rsid w:val="00AE1891"/>
    <w:rsid w:val="00AE4954"/>
    <w:rsid w:val="00AF7040"/>
    <w:rsid w:val="00B0240D"/>
    <w:rsid w:val="00B04C8A"/>
    <w:rsid w:val="00B077AE"/>
    <w:rsid w:val="00B24392"/>
    <w:rsid w:val="00B27944"/>
    <w:rsid w:val="00B30755"/>
    <w:rsid w:val="00B34F8A"/>
    <w:rsid w:val="00B56896"/>
    <w:rsid w:val="00B61438"/>
    <w:rsid w:val="00B6266B"/>
    <w:rsid w:val="00B65FD8"/>
    <w:rsid w:val="00B70350"/>
    <w:rsid w:val="00B71407"/>
    <w:rsid w:val="00B87ABB"/>
    <w:rsid w:val="00BB21DD"/>
    <w:rsid w:val="00BC00CF"/>
    <w:rsid w:val="00BC21A8"/>
    <w:rsid w:val="00BD38DD"/>
    <w:rsid w:val="00BD7EE7"/>
    <w:rsid w:val="00BE4BD1"/>
    <w:rsid w:val="00BE58D1"/>
    <w:rsid w:val="00BF73AA"/>
    <w:rsid w:val="00C11EDF"/>
    <w:rsid w:val="00C22637"/>
    <w:rsid w:val="00C229CB"/>
    <w:rsid w:val="00C31FD4"/>
    <w:rsid w:val="00C462DB"/>
    <w:rsid w:val="00C53B56"/>
    <w:rsid w:val="00C577A2"/>
    <w:rsid w:val="00C737E6"/>
    <w:rsid w:val="00CB640A"/>
    <w:rsid w:val="00CB6445"/>
    <w:rsid w:val="00CD1933"/>
    <w:rsid w:val="00CD6C4A"/>
    <w:rsid w:val="00CE67EB"/>
    <w:rsid w:val="00CE7042"/>
    <w:rsid w:val="00D00B1A"/>
    <w:rsid w:val="00D24F48"/>
    <w:rsid w:val="00D40ABB"/>
    <w:rsid w:val="00D44A3D"/>
    <w:rsid w:val="00D507C6"/>
    <w:rsid w:val="00D529E0"/>
    <w:rsid w:val="00D54FB8"/>
    <w:rsid w:val="00D568A4"/>
    <w:rsid w:val="00D64E69"/>
    <w:rsid w:val="00D65530"/>
    <w:rsid w:val="00D759DD"/>
    <w:rsid w:val="00D90004"/>
    <w:rsid w:val="00D90F24"/>
    <w:rsid w:val="00DA0ECD"/>
    <w:rsid w:val="00DA10FB"/>
    <w:rsid w:val="00DA7F94"/>
    <w:rsid w:val="00DB01C9"/>
    <w:rsid w:val="00DB7639"/>
    <w:rsid w:val="00DC0A2E"/>
    <w:rsid w:val="00DC67D8"/>
    <w:rsid w:val="00DD34DA"/>
    <w:rsid w:val="00DD5B78"/>
    <w:rsid w:val="00DD61CE"/>
    <w:rsid w:val="00DE1BF9"/>
    <w:rsid w:val="00DF7302"/>
    <w:rsid w:val="00E004FD"/>
    <w:rsid w:val="00E025AF"/>
    <w:rsid w:val="00E06C06"/>
    <w:rsid w:val="00E1656E"/>
    <w:rsid w:val="00E22706"/>
    <w:rsid w:val="00E325E4"/>
    <w:rsid w:val="00E47A10"/>
    <w:rsid w:val="00E61B29"/>
    <w:rsid w:val="00E90FFB"/>
    <w:rsid w:val="00EA1EAC"/>
    <w:rsid w:val="00EA2A23"/>
    <w:rsid w:val="00EA58FE"/>
    <w:rsid w:val="00EE7595"/>
    <w:rsid w:val="00EF351C"/>
    <w:rsid w:val="00EF50BA"/>
    <w:rsid w:val="00EF576D"/>
    <w:rsid w:val="00EF7225"/>
    <w:rsid w:val="00F252DD"/>
    <w:rsid w:val="00F2537B"/>
    <w:rsid w:val="00F5470E"/>
    <w:rsid w:val="00F5517B"/>
    <w:rsid w:val="00F670AA"/>
    <w:rsid w:val="00F71AB2"/>
    <w:rsid w:val="00F83998"/>
    <w:rsid w:val="00FA01CF"/>
    <w:rsid w:val="00FB6509"/>
    <w:rsid w:val="00FC4C93"/>
    <w:rsid w:val="00FD142B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466F"/>
  <w15:chartTrackingRefBased/>
  <w15:docId w15:val="{9C166DBE-7BC8-4ABC-9BAB-ADFA0920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1933"/>
    <w:pPr>
      <w:ind w:right="-398"/>
      <w:jc w:val="both"/>
    </w:pPr>
    <w:rPr>
      <w:rFonts w:ascii="Arial" w:hAnsi="Arial"/>
      <w:szCs w:val="20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CD1933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NormalWeb">
    <w:name w:val="Normal (Web)"/>
    <w:basedOn w:val="Normal"/>
    <w:uiPriority w:val="99"/>
    <w:rsid w:val="00CD1933"/>
    <w:pPr>
      <w:ind w:firstLine="567"/>
      <w:jc w:val="both"/>
    </w:pPr>
  </w:style>
  <w:style w:type="character" w:customStyle="1" w:styleId="FontStyle13">
    <w:name w:val="Font Style13"/>
    <w:rsid w:val="00CD1933"/>
    <w:rPr>
      <w:rFonts w:ascii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CD1933"/>
    <w:pPr>
      <w:jc w:val="center"/>
    </w:pPr>
    <w:rPr>
      <w:rFonts w:ascii="Calibri" w:hAnsi="Calibri" w:cs="Calibri"/>
      <w:b/>
      <w:bCs/>
    </w:rPr>
  </w:style>
  <w:style w:type="paragraph" w:styleId="NoSpacing">
    <w:name w:val="No Spacing"/>
    <w:uiPriority w:val="1"/>
    <w:qFormat/>
    <w:rsid w:val="00CD193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Emphasis">
    <w:name w:val="Emphasis"/>
    <w:uiPriority w:val="20"/>
    <w:qFormat/>
    <w:rsid w:val="00CD1933"/>
    <w:rPr>
      <w:i/>
      <w:iCs/>
    </w:rPr>
  </w:style>
  <w:style w:type="paragraph" w:styleId="ListParagraph">
    <w:name w:val="List Paragraph"/>
    <w:basedOn w:val="Normal"/>
    <w:uiPriority w:val="34"/>
    <w:qFormat/>
    <w:rsid w:val="006E09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MD" w:eastAsia="en-US"/>
    </w:rPr>
  </w:style>
  <w:style w:type="character" w:styleId="Hyperlink">
    <w:name w:val="Hyperlink"/>
    <w:basedOn w:val="DefaultParagraphFont"/>
    <w:uiPriority w:val="99"/>
    <w:unhideWhenUsed/>
    <w:rsid w:val="00D507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07C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905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2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icip.gov.m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livia.gadjiu@asp.gov.m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arfc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D8E24D4170B4FA27692581FD6469C" ma:contentTypeVersion="4" ma:contentTypeDescription="Create a new document." ma:contentTypeScope="" ma:versionID="46b706483ca88d8354f7ccc17daf51fd">
  <xsd:schema xmlns:xsd="http://www.w3.org/2001/XMLSchema" xmlns:xs="http://www.w3.org/2001/XMLSchema" xmlns:p="http://schemas.microsoft.com/office/2006/metadata/properties" xmlns:ns3="255d8c38-cd5a-410c-a9a7-ad5dfaff951e" targetNamespace="http://schemas.microsoft.com/office/2006/metadata/properties" ma:root="true" ma:fieldsID="90aa3fe48c3516337e1a90df632d31dc" ns3:_="">
    <xsd:import namespace="255d8c38-cd5a-410c-a9a7-ad5dfaff95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d8c38-cd5a-410c-a9a7-ad5dfaff9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12B24E-C1BB-4AB1-AE42-D803E52F3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d8c38-cd5a-410c-a9a7-ad5dfaff9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378B3D-2A08-47D5-A2DD-478505475C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86523-6815-4D5D-89CD-21B9EFE832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3</Pages>
  <Words>793</Words>
  <Characters>4604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Gadjiu Livia</dc:creator>
  <cp:keywords/>
  <dc:description/>
  <cp:lastModifiedBy>Gadjiu Livia</cp:lastModifiedBy>
  <cp:revision>83</cp:revision>
  <cp:lastPrinted>2022-11-21T13:39:00Z</cp:lastPrinted>
  <dcterms:created xsi:type="dcterms:W3CDTF">2022-02-14T10:43:00Z</dcterms:created>
  <dcterms:modified xsi:type="dcterms:W3CDTF">2022-11-21T13:42:00Z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0x01010022ED8E24D4170B4FA27692581FD6469C</vt:lpwstr>
  </property>
</Properties>
</file>