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719" w:rsidRPr="00851BFF" w:rsidRDefault="00870719" w:rsidP="0087071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MD"/>
        </w:rPr>
      </w:pPr>
      <w:r w:rsidRPr="00851BFF">
        <w:rPr>
          <w:rFonts w:ascii="Times New Roman" w:hAnsi="Times New Roman"/>
          <w:b/>
          <w:sz w:val="26"/>
          <w:szCs w:val="26"/>
          <w:lang w:val="ro-MD"/>
        </w:rPr>
        <w:t>SINTEZA</w:t>
      </w:r>
    </w:p>
    <w:p w:rsidR="00870719" w:rsidRPr="00851BFF" w:rsidRDefault="00870719" w:rsidP="0087071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MD"/>
        </w:rPr>
      </w:pPr>
      <w:r w:rsidRPr="00851BFF">
        <w:rPr>
          <w:rFonts w:ascii="Times New Roman" w:hAnsi="Times New Roman"/>
          <w:b/>
          <w:sz w:val="26"/>
          <w:szCs w:val="26"/>
          <w:lang w:val="ro-MD"/>
        </w:rPr>
        <w:t xml:space="preserve">obiecțiilor </w:t>
      </w:r>
      <w:proofErr w:type="spellStart"/>
      <w:r w:rsidRPr="00851BFF">
        <w:rPr>
          <w:rFonts w:ascii="Times New Roman" w:hAnsi="Times New Roman"/>
          <w:b/>
          <w:sz w:val="26"/>
          <w:szCs w:val="26"/>
          <w:lang w:val="ro-MD"/>
        </w:rPr>
        <w:t>şi</w:t>
      </w:r>
      <w:proofErr w:type="spellEnd"/>
      <w:r w:rsidRPr="00851BFF">
        <w:rPr>
          <w:rFonts w:ascii="Times New Roman" w:hAnsi="Times New Roman"/>
          <w:b/>
          <w:sz w:val="26"/>
          <w:szCs w:val="26"/>
          <w:lang w:val="ro-MD"/>
        </w:rPr>
        <w:t xml:space="preserve"> propunerilor (recomandărilor)</w:t>
      </w:r>
    </w:p>
    <w:p w:rsidR="005970B0" w:rsidRPr="00851BFF" w:rsidRDefault="00870719" w:rsidP="0087071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MD"/>
        </w:rPr>
      </w:pPr>
      <w:r w:rsidRPr="00851BFF">
        <w:rPr>
          <w:rFonts w:ascii="Times New Roman" w:hAnsi="Times New Roman"/>
          <w:b/>
          <w:sz w:val="26"/>
          <w:szCs w:val="26"/>
          <w:lang w:val="ro-MD"/>
        </w:rPr>
        <w:t>la proiectul hotărârii Guvernului cu privire la transmiterea un</w:t>
      </w:r>
      <w:r w:rsidR="00224685" w:rsidRPr="00851BFF">
        <w:rPr>
          <w:rFonts w:ascii="Times New Roman" w:hAnsi="Times New Roman"/>
          <w:b/>
          <w:sz w:val="26"/>
          <w:szCs w:val="26"/>
          <w:lang w:val="ro-MD"/>
        </w:rPr>
        <w:t>ui</w:t>
      </w:r>
      <w:r w:rsidRPr="00851BFF">
        <w:rPr>
          <w:rFonts w:ascii="Times New Roman" w:hAnsi="Times New Roman"/>
          <w:b/>
          <w:sz w:val="26"/>
          <w:szCs w:val="26"/>
          <w:lang w:val="ro-MD"/>
        </w:rPr>
        <w:t xml:space="preserve"> bun imobil </w:t>
      </w:r>
    </w:p>
    <w:p w:rsidR="00224685" w:rsidRPr="00851BFF" w:rsidRDefault="00224685" w:rsidP="0087071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MD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1"/>
        <w:gridCol w:w="8958"/>
        <w:gridCol w:w="3402"/>
      </w:tblGrid>
      <w:tr w:rsidR="00870719" w:rsidRPr="00851BFF" w:rsidTr="00DC3C1D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70719" w:rsidRPr="00851BFF" w:rsidRDefault="00870719" w:rsidP="005C033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>Participantul la avizare (expertizare)/</w:t>
            </w:r>
          </w:p>
          <w:p w:rsidR="00870719" w:rsidRPr="00851BFF" w:rsidRDefault="00870719" w:rsidP="005C033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 xml:space="preserve">consultare publică 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70719" w:rsidRPr="00851BFF" w:rsidRDefault="00870719" w:rsidP="005C033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 xml:space="preserve">Conținutul </w:t>
            </w:r>
            <w:proofErr w:type="spellStart"/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>obiecţiei</w:t>
            </w:r>
            <w:proofErr w:type="spellEnd"/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>/</w:t>
            </w:r>
          </w:p>
          <w:p w:rsidR="00870719" w:rsidRPr="00851BFF" w:rsidRDefault="00870719" w:rsidP="005C033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>propunerii (recomandării)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70719" w:rsidRPr="00851BFF" w:rsidRDefault="00870719" w:rsidP="005C033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 xml:space="preserve">Argumentarea </w:t>
            </w:r>
          </w:p>
          <w:p w:rsidR="00870719" w:rsidRPr="00851BFF" w:rsidRDefault="00870719" w:rsidP="005C033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>autorului proiectului</w:t>
            </w:r>
          </w:p>
        </w:tc>
      </w:tr>
      <w:tr w:rsidR="00870719" w:rsidRPr="00851BFF" w:rsidTr="00DC3C1D">
        <w:trPr>
          <w:trHeight w:val="1253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19" w:rsidRPr="00851BFF" w:rsidRDefault="0059677C" w:rsidP="005C0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proofErr w:type="spellStart"/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>Agenţia</w:t>
            </w:r>
            <w:proofErr w:type="spellEnd"/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 xml:space="preserve"> </w:t>
            </w:r>
            <w:r w:rsidR="00224685"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>Servicii Publice</w:t>
            </w:r>
          </w:p>
          <w:p w:rsidR="00870719" w:rsidRPr="00851BFF" w:rsidRDefault="00870719" w:rsidP="00224685">
            <w:pPr>
              <w:spacing w:after="0" w:line="256" w:lineRule="auto"/>
              <w:jc w:val="center"/>
              <w:rPr>
                <w:rFonts w:ascii="Times New Roman" w:hAnsi="Times New Roman"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(nr.</w:t>
            </w:r>
            <w:r w:rsidR="00A77468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 xml:space="preserve"> </w:t>
            </w:r>
            <w:r w:rsidR="00224685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01/8165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 xml:space="preserve"> din </w:t>
            </w:r>
            <w:r w:rsidR="00224685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15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.</w:t>
            </w:r>
            <w:r w:rsidR="0059677C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1</w:t>
            </w:r>
            <w:r w:rsidR="00224685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1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.202</w:t>
            </w:r>
            <w:r w:rsidR="00224685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2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)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19" w:rsidRPr="00851BFF" w:rsidRDefault="00870719" w:rsidP="00FE45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 xml:space="preserve">    Lipsă de </w:t>
            </w:r>
            <w:r w:rsidR="0059677C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 xml:space="preserve">propuneri </w:t>
            </w:r>
            <w:proofErr w:type="spellStart"/>
            <w:r w:rsidR="0059677C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şi</w:t>
            </w:r>
            <w:proofErr w:type="spellEnd"/>
            <w:r w:rsidR="0059677C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 xml:space="preserve"> 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obiecții.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19" w:rsidRPr="00851BFF" w:rsidRDefault="00870719" w:rsidP="005C03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D" w:eastAsia="en-US"/>
              </w:rPr>
            </w:pPr>
          </w:p>
        </w:tc>
      </w:tr>
      <w:tr w:rsidR="0076294A" w:rsidRPr="00851BFF" w:rsidTr="00851BFF">
        <w:trPr>
          <w:trHeight w:val="1301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A" w:rsidRPr="00851BFF" w:rsidRDefault="0076294A" w:rsidP="0076294A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>Agenția Proprietății Publice</w:t>
            </w:r>
          </w:p>
          <w:p w:rsidR="0076294A" w:rsidRPr="00851BFF" w:rsidRDefault="0076294A" w:rsidP="00224685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(</w:t>
            </w:r>
            <w:r w:rsidR="00A77468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 xml:space="preserve">nr. 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0</w:t>
            </w:r>
            <w:r w:rsidR="00224685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5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-0</w:t>
            </w:r>
            <w:r w:rsidR="00224685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3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-</w:t>
            </w:r>
            <w:r w:rsidR="00224685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7147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 xml:space="preserve"> din 1</w:t>
            </w:r>
            <w:r w:rsidR="00224685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5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.1</w:t>
            </w:r>
            <w:r w:rsidR="00224685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1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.202</w:t>
            </w:r>
            <w:r w:rsidR="00224685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2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)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1D" w:rsidRPr="00851BFF" w:rsidRDefault="0076294A" w:rsidP="00DC3C1D">
            <w:pPr>
              <w:pStyle w:val="a4"/>
              <w:spacing w:after="0" w:line="240" w:lineRule="auto"/>
              <w:ind w:left="34"/>
              <w:jc w:val="both"/>
              <w:rPr>
                <w:sz w:val="26"/>
                <w:szCs w:val="26"/>
                <w:lang w:val="ro-RO" w:eastAsia="en-US"/>
              </w:rPr>
            </w:pPr>
            <w:r w:rsidRPr="00851BFF">
              <w:rPr>
                <w:sz w:val="26"/>
                <w:szCs w:val="26"/>
                <w:lang w:val="ro-RO"/>
              </w:rPr>
              <w:t xml:space="preserve">    </w:t>
            </w:r>
            <w:r w:rsidR="00DC3C1D" w:rsidRPr="00851BFF">
              <w:rPr>
                <w:sz w:val="26"/>
                <w:szCs w:val="26"/>
                <w:lang w:val="ro-MD" w:eastAsia="en-US"/>
              </w:rPr>
              <w:t xml:space="preserve">Lipsă de propuneri </w:t>
            </w:r>
            <w:proofErr w:type="spellStart"/>
            <w:r w:rsidR="00DC3C1D" w:rsidRPr="00851BFF">
              <w:rPr>
                <w:sz w:val="26"/>
                <w:szCs w:val="26"/>
                <w:lang w:val="ro-MD" w:eastAsia="en-US"/>
              </w:rPr>
              <w:t>şi</w:t>
            </w:r>
            <w:proofErr w:type="spellEnd"/>
            <w:r w:rsidR="00DC3C1D" w:rsidRPr="00851BFF">
              <w:rPr>
                <w:sz w:val="26"/>
                <w:szCs w:val="26"/>
                <w:lang w:val="ro-MD" w:eastAsia="en-US"/>
              </w:rPr>
              <w:t xml:space="preserve"> obiecții.</w:t>
            </w:r>
          </w:p>
          <w:p w:rsidR="0076294A" w:rsidRPr="00851BFF" w:rsidRDefault="0076294A" w:rsidP="00694FDF">
            <w:pPr>
              <w:pStyle w:val="a4"/>
              <w:spacing w:after="0" w:line="240" w:lineRule="auto"/>
              <w:ind w:left="34"/>
              <w:jc w:val="both"/>
              <w:rPr>
                <w:sz w:val="26"/>
                <w:szCs w:val="26"/>
                <w:lang w:val="ro-RO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A8" w:rsidRPr="00851BFF" w:rsidRDefault="00CB6F31" w:rsidP="00DC3C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RO" w:eastAsia="en-US"/>
              </w:rPr>
            </w:pPr>
            <w:r w:rsidRPr="00851BFF">
              <w:rPr>
                <w:rFonts w:ascii="Times New Roman" w:hAnsi="Times New Roman"/>
                <w:sz w:val="26"/>
                <w:szCs w:val="26"/>
                <w:lang w:val="ro-RO" w:eastAsia="en-US"/>
              </w:rPr>
              <w:t xml:space="preserve">   </w:t>
            </w:r>
          </w:p>
          <w:p w:rsidR="00DC3C1D" w:rsidRPr="00851BFF" w:rsidRDefault="003C0104" w:rsidP="00DC3C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RO" w:eastAsia="en-US"/>
              </w:rPr>
            </w:pPr>
            <w:r w:rsidRPr="00851BFF">
              <w:rPr>
                <w:rFonts w:ascii="Times New Roman" w:hAnsi="Times New Roman"/>
                <w:sz w:val="26"/>
                <w:szCs w:val="26"/>
                <w:lang w:val="ro-RO" w:eastAsia="en-US"/>
              </w:rPr>
              <w:t xml:space="preserve">  </w:t>
            </w:r>
            <w:r w:rsidR="004E5EB4" w:rsidRPr="00851BFF">
              <w:rPr>
                <w:rFonts w:ascii="Times New Roman" w:hAnsi="Times New Roman"/>
                <w:sz w:val="26"/>
                <w:szCs w:val="26"/>
                <w:lang w:val="ro-RO" w:eastAsia="en-US"/>
              </w:rPr>
              <w:t xml:space="preserve"> </w:t>
            </w:r>
          </w:p>
          <w:p w:rsidR="00CB6F31" w:rsidRPr="00851BFF" w:rsidRDefault="00CB6F31" w:rsidP="00F35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RO" w:eastAsia="en-US"/>
              </w:rPr>
            </w:pPr>
          </w:p>
        </w:tc>
      </w:tr>
      <w:tr w:rsidR="00870719" w:rsidRPr="00851BFF" w:rsidTr="00851BFF">
        <w:trPr>
          <w:trHeight w:val="60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19" w:rsidRPr="00851BFF" w:rsidRDefault="00C9263D" w:rsidP="005C033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 xml:space="preserve">Ministerul </w:t>
            </w:r>
            <w:proofErr w:type="spellStart"/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>Finanţelor</w:t>
            </w:r>
            <w:proofErr w:type="spellEnd"/>
          </w:p>
          <w:p w:rsidR="00C9263D" w:rsidRPr="00851BFF" w:rsidRDefault="00C9263D" w:rsidP="00DC3C1D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(</w:t>
            </w:r>
            <w:r w:rsidR="00B35EE2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nr. 17-04/</w:t>
            </w:r>
            <w:r w:rsidR="00DC3C1D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446</w:t>
            </w:r>
            <w:r w:rsidR="00B35EE2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 xml:space="preserve"> din 1</w:t>
            </w:r>
            <w:r w:rsidR="00DC3C1D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5</w:t>
            </w:r>
            <w:r w:rsidR="00B35EE2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.1</w:t>
            </w:r>
            <w:r w:rsidR="00DC3C1D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1</w:t>
            </w:r>
            <w:r w:rsidR="00B35EE2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.202</w:t>
            </w:r>
            <w:r w:rsidR="00DC3C1D"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2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)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1D" w:rsidRPr="00851BFF" w:rsidRDefault="00B35EE2" w:rsidP="00DC3C1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 w:rsidRPr="00851BFF">
              <w:rPr>
                <w:sz w:val="26"/>
                <w:szCs w:val="26"/>
                <w:lang w:val="en-US"/>
              </w:rPr>
              <w:t xml:space="preserve">   </w:t>
            </w:r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Luînd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considerație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că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bunul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imobil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clădire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administrativă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) cu nr. cadastral 4101211.001.01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este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inclus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la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poziția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2.91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anexa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nr.18 din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Hotărîrea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Guvernului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nr.351/2005 cu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privire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aprobarea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listelor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bunurilor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imobile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proprietate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publică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statului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și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la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transmiterea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unor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bunuri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imobile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propunem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completarea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proiectului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, cu un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punct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nou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, care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va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deveni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punctul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2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următoarea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C1D" w:rsidRPr="00851BFF">
              <w:rPr>
                <w:sz w:val="26"/>
                <w:szCs w:val="26"/>
                <w:lang w:val="en-US"/>
              </w:rPr>
              <w:t>redacție</w:t>
            </w:r>
            <w:proofErr w:type="spellEnd"/>
            <w:r w:rsidR="00DC3C1D" w:rsidRPr="00851BFF">
              <w:rPr>
                <w:sz w:val="26"/>
                <w:szCs w:val="26"/>
                <w:lang w:val="en-US"/>
              </w:rPr>
              <w:t xml:space="preserve">: </w:t>
            </w:r>
          </w:p>
          <w:p w:rsidR="00DC3C1D" w:rsidRPr="00851BFF" w:rsidRDefault="00DC3C1D" w:rsidP="00DC3C1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 w:rsidRPr="00851BFF">
              <w:rPr>
                <w:sz w:val="26"/>
                <w:szCs w:val="26"/>
                <w:lang w:val="en-US"/>
              </w:rPr>
              <w:t>,</w:t>
            </w:r>
            <w:proofErr w:type="gramStart"/>
            <w:r w:rsidRPr="00851BFF">
              <w:rPr>
                <w:sz w:val="26"/>
                <w:szCs w:val="26"/>
                <w:lang w:val="en-US"/>
              </w:rPr>
              <w:t>,2</w:t>
            </w:r>
            <w:proofErr w:type="gramEnd"/>
            <w:r w:rsidRPr="00851BFF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anexa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nr.18 din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Hotărîrea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Guvernului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nr.351/2005 cu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privire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aprobarea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listelor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bunurilor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imobile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proprietate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publică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statului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și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transmiterea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unor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bunuri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imobile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poziția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2.91 se exclude”. </w:t>
            </w:r>
          </w:p>
          <w:p w:rsidR="00870719" w:rsidRPr="00851BFF" w:rsidRDefault="00DC3C1D" w:rsidP="00851BFF">
            <w:pPr>
              <w:pStyle w:val="a4"/>
              <w:spacing w:after="0" w:line="240" w:lineRule="auto"/>
              <w:ind w:left="34"/>
              <w:jc w:val="both"/>
              <w:rPr>
                <w:sz w:val="26"/>
                <w:szCs w:val="26"/>
                <w:lang w:val="ro-MD" w:eastAsia="en-US"/>
              </w:rPr>
            </w:pPr>
            <w:proofErr w:type="spellStart"/>
            <w:r w:rsidRPr="00851BFF">
              <w:rPr>
                <w:sz w:val="26"/>
                <w:szCs w:val="26"/>
                <w:lang w:val="en-US"/>
              </w:rPr>
              <w:t>Totodată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, se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va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ține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cont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numerotarea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punctelor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19" w:rsidRPr="00851BFF" w:rsidRDefault="00DC3C1D" w:rsidP="00DC3C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o-RO" w:eastAsia="en-US"/>
              </w:rPr>
            </w:pPr>
            <w:r w:rsidRPr="00851BFF">
              <w:rPr>
                <w:rFonts w:ascii="Times New Roman" w:hAnsi="Times New Roman"/>
                <w:b/>
                <w:sz w:val="26"/>
                <w:szCs w:val="26"/>
                <w:lang w:val="ro-RO" w:eastAsia="en-US"/>
              </w:rPr>
              <w:t>Se acceptă.</w:t>
            </w:r>
          </w:p>
        </w:tc>
      </w:tr>
      <w:tr w:rsidR="00851BFF" w:rsidRPr="00851BFF" w:rsidTr="00851BFF">
        <w:trPr>
          <w:trHeight w:val="60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F" w:rsidRPr="00851BFF" w:rsidRDefault="00851BFF" w:rsidP="00851BFF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 xml:space="preserve">Ministerul Justiției </w:t>
            </w:r>
          </w:p>
          <w:p w:rsidR="00851BFF" w:rsidRPr="00851BFF" w:rsidRDefault="00851BFF" w:rsidP="00851BFF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(nr. 04/9846 din 15.11.2022)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F" w:rsidRPr="00851BFF" w:rsidRDefault="00851BFF" w:rsidP="00851BFF">
            <w:pPr>
              <w:pStyle w:val="a4"/>
              <w:spacing w:after="0" w:line="240" w:lineRule="auto"/>
              <w:ind w:left="34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ro-MD"/>
              </w:rPr>
              <w:t xml:space="preserve">  1. </w:t>
            </w:r>
            <w:r w:rsidRPr="00851BFF">
              <w:rPr>
                <w:sz w:val="26"/>
                <w:szCs w:val="26"/>
                <w:lang w:val="ro-MD"/>
              </w:rPr>
              <w:t xml:space="preserve">Relevăm necesitatea revizuirii denumirii proiectului </w:t>
            </w:r>
            <w:proofErr w:type="spellStart"/>
            <w:r w:rsidRPr="00851BFF">
              <w:rPr>
                <w:sz w:val="26"/>
                <w:szCs w:val="26"/>
                <w:lang w:val="ro-MD"/>
              </w:rPr>
              <w:t>Hotărîrii</w:t>
            </w:r>
            <w:proofErr w:type="spellEnd"/>
            <w:r w:rsidRPr="00851BFF">
              <w:rPr>
                <w:sz w:val="26"/>
                <w:szCs w:val="26"/>
                <w:lang w:val="ro-MD"/>
              </w:rPr>
              <w:t xml:space="preserve">, în sensul în care aceasta să includă o paranteză în care se va indica laconic obiectul reglementării proiectului sau obiectivul acestuia. </w:t>
            </w:r>
            <w:proofErr w:type="gramStart"/>
            <w:r w:rsidRPr="00851BFF">
              <w:rPr>
                <w:sz w:val="26"/>
                <w:szCs w:val="26"/>
                <w:lang w:val="en-US"/>
              </w:rPr>
              <w:t>Or</w:t>
            </w:r>
            <w:proofErr w:type="gramEnd"/>
            <w:r w:rsidRPr="00851BF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astfel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cum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este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dispus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dispoziţiile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normative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instituite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art. 42 din </w:t>
            </w:r>
            <w:proofErr w:type="spellStart"/>
            <w:r w:rsidRPr="00851BFF">
              <w:rPr>
                <w:i/>
                <w:iCs/>
                <w:sz w:val="26"/>
                <w:szCs w:val="26"/>
                <w:lang w:val="en-US"/>
              </w:rPr>
              <w:t>Legea</w:t>
            </w:r>
            <w:proofErr w:type="spellEnd"/>
            <w:r w:rsidRPr="00851BFF">
              <w:rPr>
                <w:i/>
                <w:iCs/>
                <w:sz w:val="26"/>
                <w:szCs w:val="26"/>
                <w:lang w:val="en-US"/>
              </w:rPr>
              <w:t xml:space="preserve"> nr. 100/2017 cu </w:t>
            </w:r>
            <w:proofErr w:type="spellStart"/>
            <w:r w:rsidRPr="00851BFF">
              <w:rPr>
                <w:i/>
                <w:iCs/>
                <w:sz w:val="26"/>
                <w:szCs w:val="26"/>
                <w:lang w:val="en-US"/>
              </w:rPr>
              <w:t>privire</w:t>
            </w:r>
            <w:proofErr w:type="spellEnd"/>
            <w:r w:rsidRPr="00851BFF">
              <w:rPr>
                <w:i/>
                <w:iCs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851BFF">
              <w:rPr>
                <w:i/>
                <w:iCs/>
                <w:sz w:val="26"/>
                <w:szCs w:val="26"/>
                <w:lang w:val="en-US"/>
              </w:rPr>
              <w:t>actele</w:t>
            </w:r>
            <w:proofErr w:type="spellEnd"/>
            <w:r w:rsidRPr="00851BFF">
              <w:rPr>
                <w:i/>
                <w:iCs/>
                <w:sz w:val="26"/>
                <w:szCs w:val="26"/>
                <w:lang w:val="en-US"/>
              </w:rPr>
              <w:t xml:space="preserve"> normative,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denumirea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actului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normativ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reprezintă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numirea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generică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851BFF">
              <w:rPr>
                <w:sz w:val="26"/>
                <w:szCs w:val="26"/>
                <w:lang w:val="en-US"/>
              </w:rPr>
              <w:t>a</w:t>
            </w:r>
            <w:proofErr w:type="gram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actului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funcţie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categoria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acestuia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, de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autoritatea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emitentă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şi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obiectul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reglementării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exprimat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sintetic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Denumirea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actului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normativ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trebuie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să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fie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laconică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şi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să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exprime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claritate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obiectul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reglementării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Totodată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denumirea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actului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normativ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nu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poate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să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fie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identică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r w:rsidRPr="00851BFF">
              <w:rPr>
                <w:sz w:val="26"/>
                <w:szCs w:val="26"/>
                <w:lang w:val="en-US"/>
              </w:rPr>
              <w:lastRenderedPageBreak/>
              <w:t xml:space="preserve">cu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cea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851BFF">
              <w:rPr>
                <w:sz w:val="26"/>
                <w:szCs w:val="26"/>
                <w:lang w:val="en-US"/>
              </w:rPr>
              <w:t>a</w:t>
            </w:r>
            <w:proofErr w:type="gram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altui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act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normativ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vigoare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, cu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excepţia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cazului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care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proiectul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noului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act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normativ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prevede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abrogarea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actului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normativ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precedent cu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aceeași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denumire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. </w:t>
            </w:r>
          </w:p>
          <w:p w:rsidR="00851BFF" w:rsidRPr="00851BFF" w:rsidRDefault="00851BFF" w:rsidP="00851BFF">
            <w:pPr>
              <w:pStyle w:val="Default"/>
              <w:jc w:val="both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851BFF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   </w:t>
            </w:r>
          </w:p>
          <w:p w:rsidR="00851BFF" w:rsidRPr="00851BFF" w:rsidRDefault="00851BFF" w:rsidP="00851BFF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 w:rsidRPr="00851BFF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    </w:t>
            </w:r>
            <w:r>
              <w:rPr>
                <w:bCs/>
                <w:iCs/>
                <w:sz w:val="26"/>
                <w:szCs w:val="26"/>
                <w:lang w:val="en-US"/>
              </w:rPr>
              <w:t xml:space="preserve">2. </w:t>
            </w:r>
            <w:r w:rsidRPr="00851BFF">
              <w:rPr>
                <w:b/>
                <w:bCs/>
                <w:i/>
                <w:iCs/>
                <w:sz w:val="26"/>
                <w:szCs w:val="26"/>
                <w:lang w:val="en-US"/>
              </w:rPr>
              <w:t>La pct. 1</w:t>
            </w:r>
            <w:r w:rsidRPr="00851BF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remarcăm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că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măsura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care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bunul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imobil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care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urmează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a fi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transmis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este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bine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determinat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fiind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indicat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numărul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cadastral al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acestuia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menționarea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suprafeței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este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inutilă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din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punct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vedere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juridic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Această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informație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precum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și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alte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date cu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caracter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informativ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sau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declarativ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pot fi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incluse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conținutul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notei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informative la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proiect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. </w:t>
            </w:r>
          </w:p>
          <w:p w:rsidR="00851BFF" w:rsidRPr="00851BFF" w:rsidRDefault="00851BFF" w:rsidP="00851BFF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  <w:p w:rsidR="00851BFF" w:rsidRPr="00851BFF" w:rsidRDefault="00851BFF" w:rsidP="00851BFF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  <w:p w:rsidR="00851BFF" w:rsidRPr="00851BFF" w:rsidRDefault="00851BFF" w:rsidP="00851BFF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  <w:p w:rsidR="00851BFF" w:rsidRPr="00851BFF" w:rsidRDefault="00851BFF" w:rsidP="00851BFF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 w:rsidRPr="00851BFF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  </w:t>
            </w:r>
            <w:r>
              <w:rPr>
                <w:bCs/>
                <w:iCs/>
                <w:sz w:val="26"/>
                <w:szCs w:val="26"/>
                <w:lang w:val="en-US"/>
              </w:rPr>
              <w:t>3.</w:t>
            </w:r>
            <w:r w:rsidRPr="00851BFF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La pct. 3,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semnalăm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că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regula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generală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privind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intrarea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vigoare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851BFF">
              <w:rPr>
                <w:sz w:val="26"/>
                <w:szCs w:val="26"/>
                <w:lang w:val="en-US"/>
              </w:rPr>
              <w:t>a</w:t>
            </w:r>
            <w:proofErr w:type="gram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actelor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normative,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statuată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la art. 56 din </w:t>
            </w:r>
            <w:proofErr w:type="spellStart"/>
            <w:r w:rsidRPr="00851BFF">
              <w:rPr>
                <w:i/>
                <w:iCs/>
                <w:sz w:val="26"/>
                <w:szCs w:val="26"/>
                <w:lang w:val="en-US"/>
              </w:rPr>
              <w:t>Legea</w:t>
            </w:r>
            <w:proofErr w:type="spellEnd"/>
            <w:r w:rsidRPr="00851BFF">
              <w:rPr>
                <w:i/>
                <w:iCs/>
                <w:sz w:val="26"/>
                <w:szCs w:val="26"/>
                <w:lang w:val="en-US"/>
              </w:rPr>
              <w:t xml:space="preserve"> nr. 100/2017</w:t>
            </w:r>
            <w:r w:rsidRPr="00851BF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statuează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că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„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actele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normative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intră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vigoare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peste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o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lună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de la data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publicării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Monitorul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Oficial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al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Republicii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Moldova”.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Astfel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, nota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informativă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urmează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să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includă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argumentarea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intrării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vigoare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851BFF">
              <w:rPr>
                <w:sz w:val="26"/>
                <w:szCs w:val="26"/>
                <w:lang w:val="en-US"/>
              </w:rPr>
              <w:t>a</w:t>
            </w:r>
            <w:proofErr w:type="gram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actului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normativ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 xml:space="preserve"> la data </w:t>
            </w:r>
            <w:proofErr w:type="spellStart"/>
            <w:r w:rsidRPr="00851BFF">
              <w:rPr>
                <w:sz w:val="26"/>
                <w:szCs w:val="26"/>
                <w:lang w:val="en-US"/>
              </w:rPr>
              <w:t>publicării</w:t>
            </w:r>
            <w:proofErr w:type="spellEnd"/>
            <w:r w:rsidRPr="00851BFF">
              <w:rPr>
                <w:sz w:val="26"/>
                <w:szCs w:val="26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F" w:rsidRPr="00851BFF" w:rsidRDefault="00851BFF" w:rsidP="00851B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lastRenderedPageBreak/>
              <w:t xml:space="preserve">  </w:t>
            </w:r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val="ro-MD" w:eastAsia="en-US"/>
              </w:rPr>
              <w:t xml:space="preserve"> </w:t>
            </w:r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>Nu se acceptă.</w:t>
            </w:r>
          </w:p>
          <w:p w:rsidR="00851BFF" w:rsidRPr="00851BFF" w:rsidRDefault="00851BFF" w:rsidP="0085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 xml:space="preserve">  Hotărâri de Guvern cu denumire similară au fost aprobate anterior de către Guvern (ex. HG nr.574/2022, nr. 525/2022, nr. 496/2022, ș.a.).</w:t>
            </w:r>
          </w:p>
          <w:p w:rsidR="00851BFF" w:rsidRPr="00851BFF" w:rsidRDefault="00851BFF" w:rsidP="0085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D" w:eastAsia="en-US"/>
              </w:rPr>
            </w:pPr>
          </w:p>
          <w:p w:rsidR="00851BFF" w:rsidRPr="00851BFF" w:rsidRDefault="00851BFF" w:rsidP="0085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D" w:eastAsia="en-US"/>
              </w:rPr>
            </w:pPr>
          </w:p>
          <w:p w:rsidR="00851BFF" w:rsidRPr="00851BFF" w:rsidRDefault="00851BFF" w:rsidP="0085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D" w:eastAsia="en-US"/>
              </w:rPr>
            </w:pPr>
          </w:p>
          <w:p w:rsidR="00851BFF" w:rsidRPr="00851BFF" w:rsidRDefault="00851BFF" w:rsidP="0085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D" w:eastAsia="en-US"/>
              </w:rPr>
            </w:pPr>
          </w:p>
          <w:p w:rsidR="00851BFF" w:rsidRPr="00851BFF" w:rsidRDefault="00851BFF" w:rsidP="00851B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 xml:space="preserve">2. </w:t>
            </w:r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>Nu se acceptă.</w:t>
            </w:r>
          </w:p>
          <w:p w:rsidR="00851BFF" w:rsidRPr="00851BFF" w:rsidRDefault="00851BFF" w:rsidP="0085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 xml:space="preserve">  Hotărâri de Guvern similare în care este indicată suprafața bunului imobil au fost aprobate anterior de către Guvern (ex. HG nr.215/2022, nr. 189/2022, nr. 993/2020, ș.a.).   Totodată, ținând cont de  avizele autorităților la alte proiecte anterioare elaborate de către MAI, considerăm oportun menționarea suprafeței bunului în proiect.</w:t>
            </w:r>
          </w:p>
          <w:p w:rsidR="00851BFF" w:rsidRPr="00851BFF" w:rsidRDefault="00851BFF" w:rsidP="0085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 xml:space="preserve"> </w:t>
            </w:r>
          </w:p>
          <w:p w:rsidR="00851BFF" w:rsidRPr="00851BFF" w:rsidRDefault="00851BFF" w:rsidP="0085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D"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 xml:space="preserve">3. </w:t>
            </w:r>
            <w:r w:rsidRPr="00851BFF"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  <w:t>Se acceptă</w:t>
            </w: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>.</w:t>
            </w:r>
          </w:p>
          <w:p w:rsidR="00851BFF" w:rsidRPr="00851BFF" w:rsidRDefault="00851BFF" w:rsidP="00851B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o-RO" w:eastAsia="en-US"/>
              </w:rPr>
            </w:pPr>
            <w:r w:rsidRPr="00851BFF">
              <w:rPr>
                <w:rFonts w:ascii="Times New Roman" w:hAnsi="Times New Roman"/>
                <w:sz w:val="26"/>
                <w:szCs w:val="26"/>
                <w:lang w:val="ro-MD" w:eastAsia="en-US"/>
              </w:rPr>
              <w:t xml:space="preserve">  Nota informativă a fost completată cu argumentările corespunzătoare.   </w:t>
            </w:r>
          </w:p>
        </w:tc>
      </w:tr>
      <w:tr w:rsidR="00851BFF" w:rsidRPr="00851BFF" w:rsidTr="00851BFF">
        <w:trPr>
          <w:trHeight w:val="60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F" w:rsidRPr="00851BFF" w:rsidRDefault="00851BFF" w:rsidP="00851BFF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RO" w:eastAsia="en-US"/>
              </w:rPr>
            </w:pPr>
            <w:r w:rsidRPr="00851BFF">
              <w:rPr>
                <w:rFonts w:ascii="Times New Roman" w:hAnsi="Times New Roman"/>
                <w:b/>
                <w:sz w:val="26"/>
                <w:szCs w:val="26"/>
                <w:lang w:val="ro-RO" w:eastAsia="en-US"/>
              </w:rPr>
              <w:lastRenderedPageBreak/>
              <w:t>Centrul Național Anticorupție</w:t>
            </w:r>
          </w:p>
          <w:p w:rsidR="00851BFF" w:rsidRPr="00851BFF" w:rsidRDefault="00851BFF" w:rsidP="00851BFF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 w:eastAsia="en-US"/>
              </w:rPr>
            </w:pPr>
            <w:r w:rsidRPr="00851BFF">
              <w:rPr>
                <w:rFonts w:ascii="Times New Roman" w:hAnsi="Times New Roman"/>
                <w:sz w:val="26"/>
                <w:szCs w:val="26"/>
                <w:lang w:val="ro-RO" w:eastAsia="en-US"/>
              </w:rPr>
              <w:t>(nr. 06/2-6797 din 15.11.2022)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F" w:rsidRDefault="00851BFF" w:rsidP="00851BFF">
            <w:pPr>
              <w:pStyle w:val="a4"/>
              <w:spacing w:after="0" w:line="240" w:lineRule="auto"/>
              <w:ind w:left="34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 </w:t>
            </w:r>
            <w:r w:rsidR="0069135B">
              <w:rPr>
                <w:sz w:val="26"/>
                <w:szCs w:val="26"/>
                <w:lang w:val="ro-MD"/>
              </w:rPr>
              <w:t xml:space="preserve"> </w:t>
            </w:r>
            <w:r>
              <w:rPr>
                <w:sz w:val="26"/>
                <w:szCs w:val="26"/>
                <w:lang w:val="ro-MD"/>
              </w:rPr>
              <w:t>Prin proiect se promovează interesul public de a asigura administrarea eficientă și transparentă a bunurilor proprietate publică.</w:t>
            </w:r>
          </w:p>
          <w:p w:rsidR="00851BFF" w:rsidRDefault="00851BFF" w:rsidP="00851BFF">
            <w:pPr>
              <w:pStyle w:val="a4"/>
              <w:spacing w:after="0" w:line="240" w:lineRule="auto"/>
              <w:ind w:left="34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  În textul proiectului nu s-au identificat factori de risc care pot genera apariția riscurilor de corupție.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F" w:rsidRPr="00851BFF" w:rsidRDefault="00851BFF" w:rsidP="0085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MD" w:eastAsia="en-US"/>
              </w:rPr>
            </w:pPr>
          </w:p>
        </w:tc>
      </w:tr>
    </w:tbl>
    <w:p w:rsidR="00870719" w:rsidRPr="00851BFF" w:rsidRDefault="00870719" w:rsidP="00870719">
      <w:pPr>
        <w:pStyle w:val="a3"/>
        <w:ind w:right="-284" w:firstLine="0"/>
        <w:jc w:val="left"/>
        <w:rPr>
          <w:b/>
          <w:sz w:val="26"/>
          <w:szCs w:val="26"/>
          <w:lang w:val="ro-MD"/>
        </w:rPr>
      </w:pPr>
    </w:p>
    <w:p w:rsidR="00FA7CE8" w:rsidRPr="00851BFF" w:rsidRDefault="00FA7CE8" w:rsidP="00870719">
      <w:pPr>
        <w:pStyle w:val="a3"/>
        <w:ind w:right="-284" w:firstLine="0"/>
        <w:jc w:val="left"/>
        <w:rPr>
          <w:b/>
          <w:sz w:val="26"/>
          <w:szCs w:val="26"/>
          <w:lang w:val="ro-MD"/>
        </w:rPr>
      </w:pPr>
    </w:p>
    <w:p w:rsidR="00EA3F36" w:rsidRPr="00851BFF" w:rsidRDefault="00650825" w:rsidP="007A5A59">
      <w:pPr>
        <w:pStyle w:val="a3"/>
        <w:ind w:right="-284" w:firstLine="0"/>
        <w:jc w:val="left"/>
        <w:rPr>
          <w:sz w:val="26"/>
          <w:szCs w:val="26"/>
          <w:lang w:val="ro-RO"/>
        </w:rPr>
      </w:pPr>
      <w:r w:rsidRPr="00851BFF">
        <w:rPr>
          <w:b/>
          <w:sz w:val="26"/>
          <w:szCs w:val="26"/>
          <w:lang w:val="ro-RO"/>
        </w:rPr>
        <w:t xml:space="preserve">   </w:t>
      </w:r>
      <w:r w:rsidR="00DC3C1D" w:rsidRPr="00851BFF">
        <w:rPr>
          <w:b/>
          <w:sz w:val="26"/>
          <w:szCs w:val="26"/>
          <w:lang w:val="ro-RO"/>
        </w:rPr>
        <w:t xml:space="preserve">Secretar general al ministerului                                                                                                                 </w:t>
      </w:r>
      <w:r w:rsidR="00851BFF">
        <w:rPr>
          <w:b/>
          <w:sz w:val="26"/>
          <w:szCs w:val="26"/>
          <w:lang w:val="ro-RO"/>
        </w:rPr>
        <w:t xml:space="preserve">                  </w:t>
      </w:r>
      <w:r w:rsidR="00DC3C1D" w:rsidRPr="00851BFF">
        <w:rPr>
          <w:b/>
          <w:sz w:val="26"/>
          <w:szCs w:val="26"/>
          <w:lang w:val="ro-RO"/>
        </w:rPr>
        <w:t xml:space="preserve">      Serghei DIACONU</w:t>
      </w:r>
    </w:p>
    <w:sectPr w:rsidR="00EA3F36" w:rsidRPr="00851BFF" w:rsidSect="00851BFF">
      <w:pgSz w:w="16838" w:h="11906" w:orient="landscape"/>
      <w:pgMar w:top="426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333EB"/>
    <w:multiLevelType w:val="hybridMultilevel"/>
    <w:tmpl w:val="181AEA1E"/>
    <w:lvl w:ilvl="0" w:tplc="EEBE77C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8F"/>
    <w:rsid w:val="000C63C9"/>
    <w:rsid w:val="000D661A"/>
    <w:rsid w:val="00140053"/>
    <w:rsid w:val="00224685"/>
    <w:rsid w:val="003252F1"/>
    <w:rsid w:val="00346A8E"/>
    <w:rsid w:val="003508C2"/>
    <w:rsid w:val="003C0104"/>
    <w:rsid w:val="00424813"/>
    <w:rsid w:val="0048667E"/>
    <w:rsid w:val="004E5EB4"/>
    <w:rsid w:val="00522519"/>
    <w:rsid w:val="00584556"/>
    <w:rsid w:val="0059677C"/>
    <w:rsid w:val="005970B0"/>
    <w:rsid w:val="005A4318"/>
    <w:rsid w:val="005C6203"/>
    <w:rsid w:val="00650825"/>
    <w:rsid w:val="00670AA2"/>
    <w:rsid w:val="0069135B"/>
    <w:rsid w:val="00694FDF"/>
    <w:rsid w:val="006C3CB3"/>
    <w:rsid w:val="007127C6"/>
    <w:rsid w:val="0076294A"/>
    <w:rsid w:val="00782E3A"/>
    <w:rsid w:val="007A2A3A"/>
    <w:rsid w:val="007A5A59"/>
    <w:rsid w:val="007B099A"/>
    <w:rsid w:val="007F088F"/>
    <w:rsid w:val="00851BFF"/>
    <w:rsid w:val="00870719"/>
    <w:rsid w:val="008E24BB"/>
    <w:rsid w:val="00901BFC"/>
    <w:rsid w:val="00953A65"/>
    <w:rsid w:val="009549ED"/>
    <w:rsid w:val="00963371"/>
    <w:rsid w:val="00981C73"/>
    <w:rsid w:val="009C70FE"/>
    <w:rsid w:val="009D72C9"/>
    <w:rsid w:val="00A67912"/>
    <w:rsid w:val="00A77468"/>
    <w:rsid w:val="00B35EE2"/>
    <w:rsid w:val="00B874CE"/>
    <w:rsid w:val="00BC7259"/>
    <w:rsid w:val="00C01EBC"/>
    <w:rsid w:val="00C734C5"/>
    <w:rsid w:val="00C9263D"/>
    <w:rsid w:val="00CB6F31"/>
    <w:rsid w:val="00CE0C6C"/>
    <w:rsid w:val="00D66CD3"/>
    <w:rsid w:val="00DC3C1D"/>
    <w:rsid w:val="00DC6766"/>
    <w:rsid w:val="00DF7111"/>
    <w:rsid w:val="00E418F7"/>
    <w:rsid w:val="00E465EB"/>
    <w:rsid w:val="00EA3F36"/>
    <w:rsid w:val="00EB1614"/>
    <w:rsid w:val="00EF3CD2"/>
    <w:rsid w:val="00F105D4"/>
    <w:rsid w:val="00F35BA8"/>
    <w:rsid w:val="00F42830"/>
    <w:rsid w:val="00FA7CE8"/>
    <w:rsid w:val="00F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FA3BF-45C4-4F68-A1FC-2FDCE803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7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71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70719"/>
    <w:pPr>
      <w:ind w:left="720"/>
      <w:contextualSpacing/>
    </w:pPr>
    <w:rPr>
      <w:rFonts w:ascii="Times New Roman" w:hAnsi="Times New Roman"/>
      <w:szCs w:val="20"/>
    </w:rPr>
  </w:style>
  <w:style w:type="paragraph" w:customStyle="1" w:styleId="cp">
    <w:name w:val="cp"/>
    <w:basedOn w:val="a"/>
    <w:rsid w:val="00A7746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n">
    <w:name w:val="cn"/>
    <w:basedOn w:val="a"/>
    <w:rsid w:val="0014005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4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6A8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DC3C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</dc:creator>
  <cp:keywords/>
  <dc:description/>
  <cp:lastModifiedBy>PC</cp:lastModifiedBy>
  <cp:revision>57</cp:revision>
  <cp:lastPrinted>2020-11-09T07:06:00Z</cp:lastPrinted>
  <dcterms:created xsi:type="dcterms:W3CDTF">2020-10-09T14:04:00Z</dcterms:created>
  <dcterms:modified xsi:type="dcterms:W3CDTF">2022-11-17T10:55:00Z</dcterms:modified>
</cp:coreProperties>
</file>