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34" w:rsidRPr="002128EA" w:rsidRDefault="00662F34" w:rsidP="001E4DC5">
      <w:pPr>
        <w:pStyle w:val="a5"/>
        <w:jc w:val="center"/>
        <w:rPr>
          <w:rFonts w:asciiTheme="majorBidi" w:hAnsiTheme="majorBidi" w:cstheme="majorBidi"/>
          <w:b/>
          <w:lang w:val="pt-BR"/>
        </w:rPr>
      </w:pPr>
      <w:bookmarkStart w:id="0" w:name="_GoBack"/>
      <w:bookmarkEnd w:id="0"/>
      <w:r w:rsidRPr="002128EA">
        <w:rPr>
          <w:rFonts w:asciiTheme="majorBidi" w:hAnsiTheme="majorBidi" w:cstheme="majorBidi"/>
          <w:b/>
          <w:lang w:val="pt-BR"/>
        </w:rPr>
        <w:t>NOTĂ INFORMATIVĂ</w:t>
      </w:r>
    </w:p>
    <w:p w:rsidR="00662F34" w:rsidRPr="001E4DC5" w:rsidRDefault="00662F34" w:rsidP="001E4DC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US" w:eastAsia="ru-RU"/>
        </w:rPr>
      </w:pPr>
      <w:r w:rsidRPr="002128EA">
        <w:rPr>
          <w:rFonts w:asciiTheme="majorBidi" w:hAnsiTheme="majorBidi" w:cstheme="majorBidi"/>
          <w:b/>
          <w:sz w:val="24"/>
          <w:szCs w:val="24"/>
          <w:lang w:val="pt-BR"/>
        </w:rPr>
        <w:t xml:space="preserve">la proiectul Hotărârii Guvernului </w:t>
      </w:r>
      <w:bookmarkStart w:id="1" w:name="_Hlk536527618"/>
      <w:r w:rsidRPr="002128EA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ro-RO" w:eastAsia="ru-RU"/>
        </w:rPr>
        <w:t xml:space="preserve">privind aprobarea </w:t>
      </w:r>
      <w:bookmarkEnd w:id="1"/>
      <w:r w:rsidRPr="002128EA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ro-RO" w:eastAsia="ru-RU"/>
        </w:rPr>
        <w:t xml:space="preserve">proiectului de lege </w:t>
      </w:r>
      <w:r w:rsidRPr="00662F34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>pentru modificarea anexei la Legea nr. 668/1995 pentru</w:t>
      </w:r>
      <w:r w:rsidRPr="002128EA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 xml:space="preserve"> </w:t>
      </w:r>
      <w:r w:rsidRPr="00662F34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>aprobarea Listei unităților ale căror terenuri destinate</w:t>
      </w:r>
      <w:r w:rsidRPr="002128EA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 xml:space="preserve"> </w:t>
      </w:r>
      <w:r w:rsidRPr="00662F34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>agriculturii rămân în proprietatea statului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2128EA" w:rsidRDefault="00662F34" w:rsidP="001E4DC5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12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Denumirea autorului şi, după caz, a participanţilor la elaborarea proiectului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2128EA" w:rsidRDefault="00662F34" w:rsidP="001E4DC5">
            <w:pPr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2128EA">
              <w:rPr>
                <w:rFonts w:asciiTheme="majorBidi" w:eastAsia="Calibri" w:hAnsiTheme="majorBidi" w:cstheme="majorBidi"/>
                <w:sz w:val="24"/>
                <w:szCs w:val="24"/>
                <w:lang w:val="pt-BR"/>
              </w:rPr>
              <w:t>Proiectul Hotărârii Guvernului „</w:t>
            </w:r>
            <w:r w:rsidR="00785F83">
              <w:rPr>
                <w:rFonts w:asciiTheme="majorBidi" w:eastAsia="Calibri" w:hAnsiTheme="majorBidi" w:cstheme="majorBidi"/>
                <w:sz w:val="24"/>
                <w:szCs w:val="24"/>
                <w:lang w:val="pt-BR"/>
              </w:rPr>
              <w:t>P</w:t>
            </w:r>
            <w:r w:rsidRPr="002128EA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val="ro-RO" w:eastAsia="ru-RU"/>
              </w:rPr>
              <w:t xml:space="preserve">rivind aprobarea proiectului de lege </w:t>
            </w:r>
            <w:r w:rsidRPr="00662F34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pentru modificarea anexei la Legea nr. 668/1995 pentru</w:t>
            </w:r>
            <w:r w:rsidRPr="002128EA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 </w:t>
            </w:r>
            <w:r w:rsidRPr="00662F34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aprobarea Listei unităților ale căror terenuri destinate</w:t>
            </w:r>
            <w:r w:rsidRPr="002128EA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 xml:space="preserve"> </w:t>
            </w:r>
            <w:r w:rsidRPr="00662F34">
              <w:rPr>
                <w:rFonts w:asciiTheme="majorBidi" w:eastAsia="Times New Roman" w:hAnsiTheme="majorBidi" w:cstheme="majorBidi"/>
                <w:sz w:val="24"/>
                <w:szCs w:val="24"/>
                <w:lang w:val="ro-RO" w:eastAsia="ru-RU"/>
              </w:rPr>
              <w:t>agriculturii rămân în proprietatea statului</w:t>
            </w:r>
            <w:r w:rsidRPr="002128E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”</w:t>
            </w:r>
            <w:r w:rsidRPr="002128EA">
              <w:rPr>
                <w:rFonts w:asciiTheme="majorBidi" w:eastAsia="Calibri" w:hAnsiTheme="majorBidi" w:cstheme="majorBidi"/>
                <w:sz w:val="24"/>
                <w:szCs w:val="24"/>
                <w:lang w:val="pt-BR"/>
              </w:rPr>
              <w:t xml:space="preserve"> a fost elaborat de </w:t>
            </w:r>
            <w:r w:rsidRPr="002128E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Ministerul Sănătății.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2128EA" w:rsidRDefault="00662F34" w:rsidP="001E4DC5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2. Condiţiile ce au impus elaborarea proiectului de act normativ şi finalităţile urmărite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BA755E" w:rsidRDefault="00662F34" w:rsidP="001E4DC5">
            <w:pPr>
              <w:pStyle w:val="a6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inând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Planul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iuni</w:t>
            </w:r>
            <w:proofErr w:type="spellEnd"/>
            <w:proofErr w:type="gram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Guvernului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2021-2022,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vederea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realizării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iunii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10.13.1. </w:t>
            </w:r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„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Elaborarea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și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aprobarea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proiectelor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tehnice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construc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spitalelor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municipiile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ți și Cahul”, s-</w:t>
            </w:r>
            <w:proofErr w:type="gram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au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întreprins</w:t>
            </w:r>
            <w:proofErr w:type="spellEnd"/>
            <w:proofErr w:type="gram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multe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activită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ți,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având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drept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prioritate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actualizarea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definitivarea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studiului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prefezabilitate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privind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ți” și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identificarea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terenului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urmează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fi construit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viitorul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ți.</w:t>
            </w:r>
          </w:p>
          <w:p w:rsidR="00662F34" w:rsidRPr="002128EA" w:rsidRDefault="00662F34" w:rsidP="001E4DC5">
            <w:pPr>
              <w:pStyle w:val="a6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A7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acest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scop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contractați și consultați mai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ți internaț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ionali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consecin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ță,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luna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septembrie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curent,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suportul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internaț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contractat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către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Banca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Dezvoltare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Consiliului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Europei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(CEB),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finalizată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procedura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actualizare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definitivare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prefezabilitate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privind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ți”. La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actualizarea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definitivarea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internaț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inut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propunerile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Grupului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lucru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instituit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ordinul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Ministerului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Sănătă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nr. 9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6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ianuarie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2022,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experien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acumulată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contextul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COVID-19 și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planurile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Ministerului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dezvoltare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mai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multor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servicii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înaltă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performan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ță,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printre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care: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serviciului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boli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cerebrovasculare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inclusiv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Stroke;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dezvoltarea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suplimentară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serviciului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neurologie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intervenţională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dotările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corespunzătoare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platformă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unică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cardiologie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intervenţională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);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examinarea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oportunităţii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organizării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serviciului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boli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infecţioase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platformă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terapie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intensivă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pacienţii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gravi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şi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extrem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gravi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situaţii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urgenţă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sănătate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.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Pozi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Ministerului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Sănătă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ții 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marginea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prefezabilitate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prezentată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adresa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CEB.</w:t>
            </w:r>
          </w:p>
          <w:p w:rsidR="00662F34" w:rsidRPr="002128EA" w:rsidRDefault="00662F34" w:rsidP="001E4DC5">
            <w:pPr>
              <w:pStyle w:val="a6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Conform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recomandărilor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exper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internaț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ionali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care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luna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februarie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curent au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vizitat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Republica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Moldova,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contextul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desfă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urării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misiunii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comune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evaluare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Băncii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Europene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Investiții (EIB) și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Băncii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Dezvoltare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Consiliului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Europei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(CEB),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eligibil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suprafa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totală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necesară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- 5 hectare)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construc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ți”, este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amplasat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Corlăteni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raionul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Rî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cani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identificat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numărul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cadastral 7121304.050.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Potrivit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cadastrul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bunurilor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imobile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înregistrat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Statului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care </w:t>
            </w:r>
            <w:proofErr w:type="gram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proofErr w:type="gram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moment este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folosin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ță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Institutului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Cercetări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Culturile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Câmp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Selec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”.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Dreptul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administrare</w:t>
            </w:r>
            <w:proofErr w:type="spellEnd"/>
            <w:proofErr w:type="gram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asupra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înregistrat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după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Agenț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temeiul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Hotărîrii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Guvernului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nr. 161/2019 „Cu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aprobarea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listei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terenurilor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statului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administrarea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Agenț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iei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”.</w:t>
            </w:r>
          </w:p>
          <w:p w:rsidR="00662F34" w:rsidRPr="002128EA" w:rsidRDefault="00662F34" w:rsidP="001E4DC5">
            <w:pPr>
              <w:pStyle w:val="a6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Menț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ionăm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, deț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inerea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dreptului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proprietate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asupra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către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Ministerul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Sănătă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urmează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fi construit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viitorul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reprezintă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obligatorie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impusă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către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ator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(CEB)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aprobarea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oferirii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Republicii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Moldova </w:t>
            </w:r>
            <w:proofErr w:type="gram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proofErr w:type="gram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împrumutului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construc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ți. La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etapa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actuală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,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Ministerul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Sănătă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ții,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comun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reprezentan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CEB, este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proces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pregătirea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Cererii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oficiale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oferire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împrumutului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(Official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Loan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Request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).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Ulterior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Cererea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finală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oferire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proofErr w:type="gram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împrumutului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urmează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fi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prezentată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Consiliului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Administraț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al CEB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examinare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și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aprobare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conform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procedurilor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oficiale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Atragem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aten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asupra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următoarea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ș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edin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ță 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Consiliului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cadrul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căreia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 se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preconizează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examinarea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subiectului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privind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acordarea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Republicii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Moldova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împrumutului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construc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Spitalului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ți, va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avea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loc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luna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noiembrie</w:t>
            </w:r>
            <w:proofErr w:type="spellEnd"/>
            <w:r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curent.</w:t>
            </w:r>
          </w:p>
          <w:p w:rsidR="00662F34" w:rsidRPr="002128EA" w:rsidRDefault="002128EA" w:rsidP="001E4DC5">
            <w:pPr>
              <w:pStyle w:val="a6"/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Având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vedere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faptul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că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conformitate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anexa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Legea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nr. 668/1995,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terenul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respective face parte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terenurile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destinaț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agricolă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atribuite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administrare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Agenț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iei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Proprietă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ții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realizarea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obiectivului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sus-men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ionat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ionată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modificarea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anexei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sensul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excluderii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inciden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ța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acesteia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suprafe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teren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necesare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construc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ia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Spitalului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Regional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Băl</w:t>
            </w:r>
            <w:proofErr w:type="spellEnd"/>
            <w:r w:rsidR="00C92933" w:rsidRPr="002128E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ți.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2128EA" w:rsidRDefault="00662F34" w:rsidP="001E4DC5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3. Descrierea gradului de compatibilitate, pentru proiectele care au ca scop armonizarea legislaţiei naţionale cu legislaţia Uniunii Europene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2128EA" w:rsidRDefault="00662F34" w:rsidP="001E4DC5">
            <w:pPr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Proiectul respectiv nu are scop armonizarea legislației naționale cu legislația Uniunii Europene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2128EA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2128E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4. Principalele prevederi ale proiectului şi evidenţierea elementelor noi</w:t>
            </w:r>
          </w:p>
        </w:tc>
      </w:tr>
      <w:tr w:rsidR="00662F34" w:rsidRPr="00966C9E" w:rsidTr="006008EB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33" w:rsidRPr="001E4DC5" w:rsidRDefault="002128EA" w:rsidP="001E4DC5">
            <w:pPr>
              <w:tabs>
                <w:tab w:val="left" w:pos="720"/>
                <w:tab w:val="left" w:pos="1134"/>
              </w:tabs>
              <w:spacing w:after="0" w:line="240" w:lineRule="auto"/>
              <w:ind w:right="-1"/>
              <w:jc w:val="lowKashida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   </w:t>
            </w:r>
            <w:r w:rsidR="00C92933"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Reieșind din </w:t>
            </w:r>
            <w:r w:rsidR="00785F83"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cele menționate </w:t>
            </w:r>
            <w:r w:rsidR="00C92933"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principalele prevederi ale proiectului stabilesc următoarele:</w:t>
            </w:r>
          </w:p>
          <w:p w:rsidR="00662F34" w:rsidRPr="001E4DC5" w:rsidRDefault="00662F34" w:rsidP="001E4DC5">
            <w:pPr>
              <w:tabs>
                <w:tab w:val="left" w:pos="720"/>
                <w:tab w:val="left" w:pos="1134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1. </w:t>
            </w:r>
            <w:r w:rsidR="00785F83"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Excluderea suprafeței de 5 ha din anexa la Legea nr. 668/1995;</w:t>
            </w:r>
          </w:p>
          <w:p w:rsidR="004629FC" w:rsidRPr="001E4DC5" w:rsidRDefault="00FC350C" w:rsidP="001E4DC5">
            <w:pPr>
              <w:tabs>
                <w:tab w:val="left" w:pos="720"/>
                <w:tab w:val="left" w:pos="1134"/>
              </w:tabs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2</w:t>
            </w:r>
            <w:r w:rsidR="004629FC"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 Instituirea normei derogatorii de la prevederile art. 83 Cod funciar în procesul de schimbare a destinației, în contextul în care terenul agricol menționat este de calitate superioară.</w:t>
            </w:r>
          </w:p>
        </w:tc>
      </w:tr>
      <w:tr w:rsidR="00662F34" w:rsidRPr="001E4DC5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5. Fundamentarea economico-financiară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1E4DC5" w:rsidRDefault="00662F34" w:rsidP="001E4DC5">
            <w:pPr>
              <w:pStyle w:val="a5"/>
              <w:widowControl w:val="0"/>
              <w:tabs>
                <w:tab w:val="left" w:pos="1134"/>
              </w:tabs>
              <w:spacing w:after="120"/>
              <w:ind w:firstLine="567"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Implementarea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prevederilor</w:t>
            </w:r>
            <w:proofErr w:type="spellEnd"/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proiectului</w:t>
            </w:r>
            <w:proofErr w:type="spellEnd"/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privind</w:t>
            </w:r>
            <w:proofErr w:type="spellEnd"/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modificarea</w:t>
            </w:r>
            <w:proofErr w:type="spellEnd"/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anexei</w:t>
            </w:r>
            <w:proofErr w:type="spellEnd"/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E34CE7" w:rsidRPr="001E4DC5">
              <w:rPr>
                <w:rFonts w:asciiTheme="majorBidi" w:hAnsiTheme="majorBidi" w:cstheme="majorBidi"/>
                <w:lang w:val="fr-FR"/>
              </w:rPr>
              <w:t>la</w:t>
            </w:r>
            <w:r w:rsidR="00E34CE7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E34CE7" w:rsidRPr="001E4DC5">
              <w:rPr>
                <w:rFonts w:asciiTheme="majorBidi" w:hAnsiTheme="majorBidi" w:cstheme="majorBidi"/>
                <w:lang w:val="fr-FR"/>
              </w:rPr>
              <w:t>Legea</w:t>
            </w:r>
            <w:proofErr w:type="spellEnd"/>
            <w:r w:rsidR="002128EA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2128EA" w:rsidRPr="001E4DC5">
              <w:rPr>
                <w:rFonts w:asciiTheme="majorBidi" w:hAnsiTheme="majorBidi" w:cstheme="majorBidi"/>
                <w:lang w:val="fr-FR"/>
              </w:rPr>
              <w:t>nr</w:t>
            </w:r>
            <w:r w:rsidR="002128EA" w:rsidRPr="001E4DC5">
              <w:rPr>
                <w:rFonts w:asciiTheme="majorBidi" w:hAnsiTheme="majorBidi" w:cstheme="majorBidi"/>
                <w:lang w:val="en-US"/>
              </w:rPr>
              <w:t xml:space="preserve">. 668/1995, </w:t>
            </w:r>
            <w:proofErr w:type="spellStart"/>
            <w:r w:rsidR="002128EA" w:rsidRPr="001E4DC5">
              <w:rPr>
                <w:rFonts w:asciiTheme="majorBidi" w:hAnsiTheme="majorBidi" w:cstheme="majorBidi"/>
                <w:lang w:val="fr-FR"/>
              </w:rPr>
              <w:t>pentru</w:t>
            </w:r>
            <w:proofErr w:type="spellEnd"/>
            <w:r w:rsidR="002128EA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2128EA" w:rsidRPr="001E4DC5">
              <w:rPr>
                <w:rFonts w:asciiTheme="majorBidi" w:hAnsiTheme="majorBidi" w:cstheme="majorBidi"/>
                <w:lang w:val="fr-FR"/>
              </w:rPr>
              <w:t>aprobarea</w:t>
            </w:r>
            <w:proofErr w:type="spellEnd"/>
            <w:r w:rsidR="002128EA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2128EA" w:rsidRPr="001E4DC5">
              <w:rPr>
                <w:rFonts w:asciiTheme="majorBidi" w:hAnsiTheme="majorBidi" w:cstheme="majorBidi"/>
                <w:lang w:val="fr-FR"/>
              </w:rPr>
              <w:t>listei</w:t>
            </w:r>
            <w:proofErr w:type="spellEnd"/>
            <w:r w:rsidR="002128EA"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2128EA" w:rsidRPr="001E4DC5">
              <w:rPr>
                <w:rFonts w:asciiTheme="majorBidi" w:hAnsiTheme="majorBidi" w:cstheme="majorBidi"/>
              </w:rPr>
              <w:t>unităților ale căror terenuri destinate</w:t>
            </w:r>
            <w:r w:rsidR="00BA755E" w:rsidRPr="001E4DC5">
              <w:rPr>
                <w:rFonts w:asciiTheme="majorBidi" w:hAnsiTheme="majorBidi" w:cstheme="majorBidi"/>
              </w:rPr>
              <w:t xml:space="preserve"> </w:t>
            </w:r>
            <w:r w:rsidR="002128EA" w:rsidRPr="001E4DC5">
              <w:rPr>
                <w:rFonts w:asciiTheme="majorBidi" w:hAnsiTheme="majorBidi" w:cstheme="majorBidi"/>
              </w:rPr>
              <w:t xml:space="preserve">agriculturii rămân în proprietatea statului, </w:t>
            </w:r>
            <w:r w:rsidRPr="001E4DC5">
              <w:rPr>
                <w:rFonts w:asciiTheme="majorBidi" w:hAnsiTheme="majorBidi" w:cstheme="majorBidi"/>
                <w:lang w:val="fr-FR"/>
              </w:rPr>
              <w:t>nu</w:t>
            </w:r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presupune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cheltuieli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financiare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suplimentare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lang w:val="fr-FR"/>
              </w:rPr>
              <w:t>bugetul</w:t>
            </w:r>
            <w:proofErr w:type="spellEnd"/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lang w:val="fr-FR"/>
              </w:rPr>
              <w:t>stat</w:t>
            </w:r>
            <w:r w:rsidRPr="001E4DC5">
              <w:rPr>
                <w:rFonts w:asciiTheme="majorBidi" w:hAnsiTheme="majorBidi" w:cstheme="majorBidi"/>
                <w:lang w:val="en-US"/>
              </w:rPr>
              <w:t>.</w:t>
            </w:r>
            <w:r w:rsidRPr="001E4DC5">
              <w:rPr>
                <w:rFonts w:asciiTheme="majorBidi" w:eastAsia="Calibri" w:hAnsiTheme="majorBidi" w:cstheme="majorBidi"/>
              </w:rPr>
              <w:t xml:space="preserve"> 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2F34" w:rsidRPr="001E4DC5" w:rsidRDefault="00662F34" w:rsidP="001E4DC5">
            <w:pPr>
              <w:widowControl w:val="0"/>
              <w:tabs>
                <w:tab w:val="left" w:pos="0"/>
              </w:tabs>
              <w:spacing w:after="12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highlight w:val="lightGray"/>
                <w:lang w:val="ro-RO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Modul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încorporare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proiectului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sistemul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actelor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662F34" w:rsidRPr="00363D64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Prezentul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proiect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gram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la</w:t>
            </w:r>
            <w:proofErr w:type="gram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moment nu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prevede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modificarea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altor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acte normative.</w:t>
            </w:r>
          </w:p>
        </w:tc>
      </w:tr>
      <w:tr w:rsidR="00662F34" w:rsidRPr="00966C9E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60" w:line="240" w:lineRule="auto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7. Avizarea şi consultarea publică a proiectului</w:t>
            </w:r>
          </w:p>
        </w:tc>
      </w:tr>
      <w:tr w:rsidR="00662F34" w:rsidRPr="00363D64" w:rsidTr="006008EB">
        <w:trPr>
          <w:trHeight w:val="3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1E4DC5" w:rsidRDefault="00662F34" w:rsidP="001E4DC5">
            <w:pPr>
              <w:widowControl w:val="0"/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</w:pP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respectării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nr. 239/2008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transparența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procesul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decizional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hotărârii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nota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informativă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sunt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publicate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consultări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pagina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web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oficială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Ministerului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Sănătății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(</w:t>
            </w:r>
            <w:hyperlink r:id="rId5" w:history="1">
              <w:r w:rsidRPr="001E4DC5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www.ms.gov.md</w:t>
              </w:r>
            </w:hyperlink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) la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compartimentul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transparență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decizională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De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asemenea</w:t>
            </w:r>
            <w:proofErr w:type="spellEnd"/>
            <w:proofErr w:type="gram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va fi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consultat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și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avizat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autorită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țile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cointeresate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: </w:t>
            </w:r>
            <w:proofErr w:type="spellStart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Ministerul</w:t>
            </w:r>
            <w:proofErr w:type="spellEnd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Finan</w:t>
            </w:r>
            <w:proofErr w:type="spellEnd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ț</w:t>
            </w:r>
            <w:proofErr w:type="spellStart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elor</w:t>
            </w:r>
            <w:proofErr w:type="spellEnd"/>
            <w:r w:rsid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Ministerul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Economiei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Ministerul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Agriculturii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și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Industriei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Alimentare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Ministerul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Infrastructurii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și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Dezvoltării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Regionale</w:t>
            </w:r>
            <w:proofErr w:type="spellEnd"/>
            <w:r w:rsidR="001E4DC5"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, </w:t>
            </w:r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Agenț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ia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Proprietă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ții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Publice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, Agenț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ia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Servicii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Publice</w:t>
            </w:r>
            <w:proofErr w:type="spellEnd"/>
            <w:r w:rsidRPr="001E4DC5">
              <w:rPr>
                <w:rFonts w:asciiTheme="majorBidi" w:eastAsia="Calibri" w:hAnsiTheme="majorBidi" w:cstheme="majorBidi"/>
                <w:sz w:val="24"/>
                <w:szCs w:val="24"/>
                <w:lang w:val="fr-FR" w:eastAsia="ru-RU"/>
              </w:rPr>
              <w:t>.</w:t>
            </w:r>
          </w:p>
        </w:tc>
      </w:tr>
      <w:tr w:rsidR="00662F34" w:rsidRPr="001E4DC5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8.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Constatările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expertizei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anticorupţie</w:t>
            </w:r>
            <w:proofErr w:type="spellEnd"/>
          </w:p>
        </w:tc>
      </w:tr>
      <w:tr w:rsidR="00662F34" w:rsidRPr="00966C9E" w:rsidTr="006008EB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Proiectul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va fi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supus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expertizei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anticorup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ț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ie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.</w:t>
            </w:r>
          </w:p>
        </w:tc>
      </w:tr>
      <w:tr w:rsidR="00662F34" w:rsidRPr="001E4DC5" w:rsidTr="006008EB">
        <w:trPr>
          <w:trHeight w:val="1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</w:pPr>
            <w:proofErr w:type="gram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9.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Constatările</w:t>
            </w:r>
            <w:proofErr w:type="spellEnd"/>
            <w:proofErr w:type="gram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expertizei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compatibilitate</w:t>
            </w:r>
            <w:proofErr w:type="spellEnd"/>
          </w:p>
        </w:tc>
      </w:tr>
      <w:tr w:rsidR="00662F34" w:rsidRPr="00363D64" w:rsidTr="006008EB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Proiectul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 are</w:t>
            </w:r>
            <w:proofErr w:type="gram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scop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armonizarea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legislaţiei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naţionale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legislaţia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Uniunii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Europene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662F34" w:rsidRPr="001E4DC5" w:rsidTr="006008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4DC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10</w:t>
            </w:r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Constatările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expertizei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</w:rPr>
              <w:t>juridice</w:t>
            </w:r>
            <w:proofErr w:type="spellEnd"/>
          </w:p>
        </w:tc>
      </w:tr>
      <w:tr w:rsidR="00662F34" w:rsidRPr="00966C9E" w:rsidTr="006008EB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Proiectul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va fi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supus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expertizei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juridice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.</w:t>
            </w:r>
          </w:p>
        </w:tc>
      </w:tr>
      <w:tr w:rsidR="00662F34" w:rsidRPr="001E4DC5" w:rsidTr="006008EB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</w:pPr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11.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Constatările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altor</w:t>
            </w:r>
            <w:proofErr w:type="spellEnd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E4DC5"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  <w:t>expertize</w:t>
            </w:r>
            <w:proofErr w:type="spellEnd"/>
          </w:p>
        </w:tc>
      </w:tr>
      <w:tr w:rsidR="00662F34" w:rsidRPr="00966C9E" w:rsidTr="006008EB">
        <w:trPr>
          <w:trHeight w:val="1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4" w:rsidRPr="001E4DC5" w:rsidRDefault="00662F34" w:rsidP="001E4DC5">
            <w:pPr>
              <w:widowControl w:val="0"/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 w:eastAsia="ru-RU"/>
              </w:rPr>
            </w:pP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nu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ţ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prevederi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reglementare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ăţ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ii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î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ntreprinz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tor</w:t>
            </w:r>
            <w:proofErr w:type="spellEnd"/>
            <w:proofErr w:type="gram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î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sensul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Legii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nr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235/2006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principiile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baz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ă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reglementare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proofErr w:type="gram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ăţ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ii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î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ntreprinz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tor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astfel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dec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z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nd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necesitatea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examin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rii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acestuia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Grupul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lucru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reglementarea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ăţ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ii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î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ntreprinz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ă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tor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Proiectul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nu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conţine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factori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risc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care pot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genera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apariţia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riscurilor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corupţie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asemenea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proiectul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cade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sub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incidenţa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altor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expertize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necesare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efectuate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în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condiţiile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Legii</w:t>
            </w:r>
            <w:proofErr w:type="spellEnd"/>
            <w:r w:rsidRPr="001E4D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nr. 100/2017.</w:t>
            </w:r>
          </w:p>
        </w:tc>
      </w:tr>
    </w:tbl>
    <w:p w:rsidR="001E4DC5" w:rsidRPr="001E4DC5" w:rsidRDefault="001E4DC5" w:rsidP="00662F34">
      <w:pPr>
        <w:jc w:val="center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1E4DC5" w:rsidRPr="001E4DC5" w:rsidRDefault="001E4DC5" w:rsidP="00662F34">
      <w:pPr>
        <w:jc w:val="center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F120AC" w:rsidRPr="001E4DC5" w:rsidRDefault="00662F34" w:rsidP="001E4DC5">
      <w:pPr>
        <w:jc w:val="center"/>
        <w:rPr>
          <w:rFonts w:asciiTheme="majorBidi" w:hAnsiTheme="majorBidi" w:cstheme="majorBidi"/>
          <w:sz w:val="24"/>
          <w:szCs w:val="24"/>
        </w:rPr>
      </w:pPr>
      <w:r w:rsidRPr="001E4DC5">
        <w:rPr>
          <w:rFonts w:asciiTheme="majorBidi" w:hAnsiTheme="majorBidi" w:cstheme="majorBidi"/>
          <w:b/>
          <w:sz w:val="24"/>
          <w:szCs w:val="24"/>
          <w:lang w:val="ro-RO"/>
        </w:rPr>
        <w:t xml:space="preserve">Ministru                                                                      Ala NEMERENCO </w:t>
      </w:r>
    </w:p>
    <w:sectPr w:rsidR="00F120AC" w:rsidRPr="001E4DC5" w:rsidSect="001E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2F34"/>
    <w:rsid w:val="0010638A"/>
    <w:rsid w:val="001E2CA7"/>
    <w:rsid w:val="001E4DC5"/>
    <w:rsid w:val="002128EA"/>
    <w:rsid w:val="00363D64"/>
    <w:rsid w:val="004629FC"/>
    <w:rsid w:val="00662F34"/>
    <w:rsid w:val="006729E8"/>
    <w:rsid w:val="00785F83"/>
    <w:rsid w:val="00966C9E"/>
    <w:rsid w:val="00BA755E"/>
    <w:rsid w:val="00BF1E64"/>
    <w:rsid w:val="00C92933"/>
    <w:rsid w:val="00E34CE7"/>
    <w:rsid w:val="00F120AC"/>
    <w:rsid w:val="00FC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34"/>
    <w:pPr>
      <w:spacing w:after="200" w:line="276" w:lineRule="auto"/>
    </w:pPr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F34"/>
    <w:rPr>
      <w:color w:val="0563C1" w:themeColor="hyperlink"/>
      <w:u w:val="single"/>
    </w:rPr>
  </w:style>
  <w:style w:type="character" w:customStyle="1" w:styleId="a4">
    <w:name w:val="Обычный (веб) Знак"/>
    <w:aliases w:val="Знак Знак,webb Знак"/>
    <w:link w:val="a5"/>
    <w:uiPriority w:val="99"/>
    <w:locked/>
    <w:rsid w:val="00662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,webb"/>
    <w:link w:val="a4"/>
    <w:uiPriority w:val="99"/>
    <w:unhideWhenUsed/>
    <w:rsid w:val="0066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62F34"/>
    <w:pPr>
      <w:spacing w:after="0" w:line="240" w:lineRule="auto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34"/>
    <w:pPr>
      <w:spacing w:after="200" w:line="276" w:lineRule="auto"/>
    </w:pPr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F34"/>
    <w:rPr>
      <w:color w:val="0563C1" w:themeColor="hyperlink"/>
      <w:u w:val="single"/>
    </w:rPr>
  </w:style>
  <w:style w:type="character" w:customStyle="1" w:styleId="a4">
    <w:name w:val="Обычный (веб) Знак"/>
    <w:aliases w:val="Знак Знак,webb Знак"/>
    <w:link w:val="a5"/>
    <w:uiPriority w:val="99"/>
    <w:locked/>
    <w:rsid w:val="00662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,webb"/>
    <w:link w:val="a4"/>
    <w:uiPriority w:val="99"/>
    <w:unhideWhenUsed/>
    <w:rsid w:val="0066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62F34"/>
    <w:pPr>
      <w:spacing w:after="0" w:line="240" w:lineRule="auto"/>
    </w:pPr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Serviciul Juridic</dc:creator>
  <cp:lastModifiedBy>User</cp:lastModifiedBy>
  <cp:revision>2</cp:revision>
  <cp:lastPrinted>2022-11-16T12:28:00Z</cp:lastPrinted>
  <dcterms:created xsi:type="dcterms:W3CDTF">2022-11-25T06:40:00Z</dcterms:created>
  <dcterms:modified xsi:type="dcterms:W3CDTF">2022-11-25T06:40:00Z</dcterms:modified>
</cp:coreProperties>
</file>