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s>
        <w:ind w:firstLine="709"/>
        <w:rPr>
          <w:rFonts w:asciiTheme="majorBidi" w:hAnsiTheme="majorBidi" w:cstheme="majorBidi"/>
          <w:i/>
          <w:iCs/>
          <w:sz w:val="24"/>
          <w:szCs w:val="24"/>
          <w:lang w:val="ro-RO" w:eastAsia="ru-RU"/>
        </w:rPr>
      </w:pPr>
    </w:p>
    <w:p>
      <w:pPr>
        <w:tabs>
          <w:tab w:val="left" w:pos="1134"/>
        </w:tabs>
        <w:ind w:firstLine="709"/>
        <w:jc w:val="right"/>
        <w:rPr>
          <w:rFonts w:asciiTheme="majorBidi" w:hAnsiTheme="majorBidi" w:cstheme="majorBidi"/>
          <w:i/>
          <w:iCs/>
          <w:sz w:val="24"/>
          <w:szCs w:val="24"/>
          <w:lang w:val="ro-RO" w:eastAsia="ru-RU"/>
        </w:rPr>
      </w:pPr>
      <w:r>
        <w:rPr>
          <w:rFonts w:asciiTheme="majorBidi" w:hAnsiTheme="majorBidi" w:cstheme="majorBidi"/>
          <w:i/>
          <w:iCs/>
          <w:sz w:val="24"/>
          <w:szCs w:val="24"/>
          <w:lang w:eastAsia="ru-RU"/>
        </w:rPr>
        <w:t xml:space="preserve"> </w:t>
      </w:r>
      <w:r>
        <w:rPr>
          <w:rFonts w:hint="default" w:asciiTheme="majorBidi" w:hAnsiTheme="majorBidi" w:cstheme="majorBidi"/>
          <w:i/>
          <w:iCs/>
          <w:sz w:val="24"/>
          <w:szCs w:val="24"/>
          <w:lang w:eastAsia="ru-RU"/>
        </w:rPr>
        <w:t xml:space="preserve">  </w:t>
      </w:r>
      <w:r>
        <w:rPr>
          <w:rFonts w:asciiTheme="majorBidi" w:hAnsiTheme="majorBidi" w:cstheme="majorBidi"/>
          <w:i/>
          <w:iCs/>
          <w:sz w:val="24"/>
          <w:szCs w:val="24"/>
          <w:lang w:val="ro-RO" w:eastAsia="ru-RU"/>
        </w:rPr>
        <w:t>Proiect</w:t>
      </w:r>
    </w:p>
    <w:p>
      <w:pPr>
        <w:tabs>
          <w:tab w:val="left" w:pos="1134"/>
        </w:tabs>
        <w:ind w:firstLine="709"/>
        <w:rPr>
          <w:rFonts w:asciiTheme="majorBidi" w:hAnsiTheme="majorBidi" w:cstheme="majorBidi"/>
          <w:sz w:val="24"/>
          <w:szCs w:val="24"/>
          <w:lang w:val="ro-RO" w:eastAsia="ru-RU"/>
        </w:rPr>
      </w:pPr>
    </w:p>
    <w:p>
      <w:pPr>
        <w:tabs>
          <w:tab w:val="left" w:pos="1134"/>
        </w:tabs>
        <w:ind w:firstLine="709"/>
        <w:rPr>
          <w:rFonts w:asciiTheme="majorBidi" w:hAnsiTheme="majorBidi" w:cstheme="majorBidi"/>
          <w:sz w:val="24"/>
          <w:szCs w:val="24"/>
          <w:lang w:val="ro-RO" w:eastAsia="ru-RU"/>
        </w:rPr>
      </w:pPr>
    </w:p>
    <w:p>
      <w:pPr>
        <w:tabs>
          <w:tab w:val="left" w:pos="1134"/>
        </w:tabs>
        <w:ind w:left="-709" w:right="-709" w:firstLine="709"/>
        <w:rPr>
          <w:sz w:val="24"/>
          <w:szCs w:val="24"/>
          <w:lang w:val="ro-RO"/>
        </w:rPr>
      </w:pPr>
      <w:r>
        <w:rPr>
          <w:rFonts w:asciiTheme="majorBidi" w:hAnsiTheme="majorBidi" w:cstheme="majorBidi"/>
          <w:sz w:val="24"/>
          <w:szCs w:val="24"/>
          <w:lang w:val="ro-RO" w:eastAsia="ru-RU"/>
        </w:rPr>
        <w:t xml:space="preserve">Analiza Impactului în procesul de Fundamentare a Hotărârii de Guvern </w:t>
      </w:r>
      <w:r>
        <w:rPr>
          <w:sz w:val="24"/>
          <w:szCs w:val="24"/>
          <w:lang w:val="ro-RO"/>
        </w:rPr>
        <w:t>pentru modificarea Hotărîrii Guvernului nr. 191 din 19 februarie 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w:t>
      </w:r>
    </w:p>
    <w:p>
      <w:pPr>
        <w:tabs>
          <w:tab w:val="left" w:pos="1134"/>
        </w:tabs>
        <w:ind w:firstLine="709"/>
        <w:rPr>
          <w:rFonts w:asciiTheme="majorBidi" w:hAnsiTheme="majorBidi" w:cstheme="majorBidi"/>
          <w:sz w:val="24"/>
          <w:szCs w:val="24"/>
          <w:lang w:val="ro-RO" w:eastAsia="ru-RU"/>
        </w:rPr>
      </w:pPr>
    </w:p>
    <w:tbl>
      <w:tblPr>
        <w:tblStyle w:val="3"/>
        <w:tblW w:w="5648" w:type="pct"/>
        <w:jc w:val="center"/>
        <w:tblLayout w:type="fixed"/>
        <w:tblCellMar>
          <w:top w:w="0" w:type="dxa"/>
          <w:left w:w="108" w:type="dxa"/>
          <w:bottom w:w="0" w:type="dxa"/>
          <w:right w:w="108" w:type="dxa"/>
        </w:tblCellMar>
      </w:tblPr>
      <w:tblGrid>
        <w:gridCol w:w="5786"/>
        <w:gridCol w:w="367"/>
        <w:gridCol w:w="1418"/>
        <w:gridCol w:w="1835"/>
        <w:gridCol w:w="41"/>
        <w:gridCol w:w="1543"/>
      </w:tblGrid>
      <w:tr>
        <w:tblPrEx>
          <w:tblCellMar>
            <w:top w:w="0" w:type="dxa"/>
            <w:left w:w="108" w:type="dxa"/>
            <w:bottom w:w="0" w:type="dxa"/>
            <w:right w:w="108" w:type="dxa"/>
          </w:tblCellMar>
        </w:tblPrEx>
        <w:trPr>
          <w:jc w:val="center"/>
        </w:trPr>
        <w:tc>
          <w:tcPr>
            <w:tcW w:w="5000" w:type="pct"/>
            <w:gridSpan w:val="6"/>
            <w:tcMar>
              <w:top w:w="15" w:type="dxa"/>
              <w:left w:w="45" w:type="dxa"/>
              <w:bottom w:w="15" w:type="dxa"/>
              <w:right w:w="45" w:type="dxa"/>
            </w:tcMar>
          </w:tcPr>
          <w:p>
            <w:pPr>
              <w:pStyle w:val="9"/>
              <w:ind w:firstLine="0"/>
              <w:jc w:val="left"/>
              <w:rPr>
                <w:lang w:val="ro-RO"/>
              </w:rPr>
            </w:pPr>
            <w:r>
              <w:rPr>
                <w:lang w:val="ro-RO"/>
              </w:rPr>
              <w:t>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Titlul analizei impactului</w:t>
            </w:r>
            <w:r>
              <w:rPr>
                <w:b/>
                <w:bCs/>
                <w:sz w:val="24"/>
                <w:szCs w:val="24"/>
                <w:lang w:val="ro-RO"/>
              </w:rPr>
              <w:br w:type="textWrapping"/>
            </w:r>
          </w:p>
        </w:tc>
        <w:tc>
          <w:tcPr>
            <w:tcW w:w="2201" w:type="pct"/>
            <w:gridSpan w:val="4"/>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tabs>
                <w:tab w:val="left" w:pos="1134"/>
              </w:tabs>
              <w:ind w:firstLine="0"/>
              <w:rPr>
                <w:sz w:val="24"/>
                <w:szCs w:val="24"/>
                <w:lang w:val="ro-RO"/>
              </w:rPr>
            </w:pPr>
            <w:r>
              <w:rPr>
                <w:sz w:val="24"/>
                <w:szCs w:val="24"/>
                <w:lang w:val="ro-RO"/>
              </w:rPr>
              <w:t>Hotărârea de Guvern pentru modificarea Hotărîrii Guvernului nr. 191 din 19 februarie 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Data:</w:t>
            </w:r>
          </w:p>
        </w:tc>
        <w:tc>
          <w:tcPr>
            <w:tcW w:w="2201" w:type="pct"/>
            <w:gridSpan w:val="4"/>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21.11.2022</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Autoritatea administraţiei publice (autor):</w:t>
            </w:r>
          </w:p>
        </w:tc>
        <w:tc>
          <w:tcPr>
            <w:tcW w:w="2201" w:type="pct"/>
            <w:gridSpan w:val="4"/>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xml:space="preserve">Ministerul Infrastructurii și Dezvoltării Regionale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Subdiviziunea:</w:t>
            </w:r>
          </w:p>
        </w:tc>
        <w:tc>
          <w:tcPr>
            <w:tcW w:w="2201" w:type="pct"/>
            <w:gridSpan w:val="4"/>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Persoana responsabilă şi datele de contact:</w:t>
            </w:r>
          </w:p>
        </w:tc>
        <w:tc>
          <w:tcPr>
            <w:tcW w:w="2201" w:type="pct"/>
            <w:gridSpan w:val="4"/>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bCs/>
                <w:sz w:val="24"/>
                <w:szCs w:val="24"/>
                <w:lang w:val="ro-RO"/>
              </w:rPr>
            </w:pPr>
            <w:r>
              <w:rPr>
                <w:b/>
                <w:bCs/>
                <w:sz w:val="24"/>
                <w:szCs w:val="24"/>
                <w:lang w:val="ro-RO"/>
              </w:rPr>
              <w:t>Compartimentele analizei impactului</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1. Definirea problemei</w:t>
            </w:r>
          </w:p>
        </w:tc>
      </w:tr>
      <w:tr>
        <w:tblPrEx>
          <w:tblCellMar>
            <w:top w:w="0" w:type="dxa"/>
            <w:left w:w="108" w:type="dxa"/>
            <w:bottom w:w="0" w:type="dxa"/>
            <w:right w:w="108" w:type="dxa"/>
          </w:tblCellMar>
        </w:tblPrEx>
        <w:trPr>
          <w:jc w:val="center"/>
        </w:trPr>
        <w:tc>
          <w:tcPr>
            <w:tcW w:w="4298" w:type="pct"/>
            <w:gridSpan w:val="5"/>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sz w:val="24"/>
                <w:szCs w:val="24"/>
                <w:lang w:val="ro-RO"/>
              </w:rPr>
              <w:t>a) Determinați clar şi concis problema şi/sau problemele care urmează să fie soluţionate</w:t>
            </w:r>
          </w:p>
        </w:tc>
        <w:tc>
          <w:tcPr>
            <w:tcW w:w="702" w:type="pct"/>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Prin Hotărârea nr. 4 din 3 martie 2022, Curtea Constituțională a Republicii Moldova a declarat neconstituționale punctele 8, 8</w:t>
            </w:r>
            <w:r>
              <w:rPr>
                <w:sz w:val="24"/>
                <w:szCs w:val="24"/>
                <w:vertAlign w:val="superscript"/>
                <w:lang w:val="ro-RO"/>
              </w:rPr>
              <w:t>1</w:t>
            </w:r>
            <w:r>
              <w:rPr>
                <w:sz w:val="24"/>
                <w:szCs w:val="24"/>
                <w:lang w:val="ro-RO"/>
              </w:rPr>
              <w:t>, 8</w:t>
            </w:r>
            <w:r>
              <w:rPr>
                <w:sz w:val="24"/>
                <w:szCs w:val="24"/>
                <w:vertAlign w:val="superscript"/>
                <w:lang w:val="ro-RO"/>
              </w:rPr>
              <w:t>2</w:t>
            </w:r>
            <w:r>
              <w:rPr>
                <w:sz w:val="24"/>
                <w:szCs w:val="24"/>
                <w:lang w:val="ro-RO"/>
              </w:rPr>
              <w:t>, 8</w:t>
            </w:r>
            <w:r>
              <w:rPr>
                <w:sz w:val="24"/>
                <w:szCs w:val="24"/>
                <w:vertAlign w:val="superscript"/>
                <w:lang w:val="ro-RO"/>
              </w:rPr>
              <w:t>3</w:t>
            </w:r>
            <w:r>
              <w:rPr>
                <w:sz w:val="24"/>
                <w:szCs w:val="24"/>
                <w:lang w:val="ro-RO"/>
              </w:rPr>
              <w:t>, 8</w:t>
            </w:r>
            <w:r>
              <w:rPr>
                <w:sz w:val="24"/>
                <w:szCs w:val="24"/>
                <w:vertAlign w:val="superscript"/>
                <w:lang w:val="ro-RO"/>
              </w:rPr>
              <w:t>4</w:t>
            </w:r>
            <w:r>
              <w:rPr>
                <w:sz w:val="24"/>
                <w:szCs w:val="24"/>
                <w:lang w:val="ro-RO"/>
              </w:rPr>
              <w:t xml:space="preserve"> și 8</w:t>
            </w:r>
            <w:r>
              <w:rPr>
                <w:sz w:val="24"/>
                <w:szCs w:val="24"/>
                <w:vertAlign w:val="superscript"/>
                <w:lang w:val="ro-RO"/>
              </w:rPr>
              <w:t>6</w:t>
            </w:r>
            <w:r>
              <w:rPr>
                <w:sz w:val="24"/>
                <w:szCs w:val="24"/>
                <w:lang w:val="ro-RO"/>
              </w:rPr>
              <w:t xml:space="preserve"> din Anexa nr. 7 la Regulamentul cu privire la modul de prestare și achitare a serviciilor locative, comunale și necomunale pentru fondul locativ, contorizarea apartamentelor și condițiile deconectării acestora de la/reconectării la sistemele de încălzire și alimentare cu apă, aprobat prin Hotărârea Guvernului nr. 191 din 19 februarie 2002, din considerentul că prevederile contestate nu asigură un echilibru corect între interesele concurente, iar dreptul de proprietate al persoanelor vizate este încălcat. </w:t>
            </w:r>
          </w:p>
          <w:p>
            <w:pPr>
              <w:ind w:firstLine="0"/>
              <w:rPr>
                <w:sz w:val="24"/>
                <w:szCs w:val="24"/>
                <w:lang w:val="ro-RO"/>
              </w:rPr>
            </w:pPr>
            <w:r>
              <w:rPr>
                <w:sz w:val="24"/>
                <w:szCs w:val="24"/>
                <w:lang w:val="ro-RO"/>
              </w:rPr>
              <w:t xml:space="preserve">Curtea Constituțională a reținut faptul că măsurile concepute să controleze folosirea proprietății pot fi considerate justificate doar dacă se demonstrează, </w:t>
            </w:r>
            <w:r>
              <w:rPr>
                <w:i/>
                <w:sz w:val="24"/>
                <w:szCs w:val="24"/>
                <w:lang w:val="ro-RO"/>
              </w:rPr>
              <w:t>inter alia</w:t>
            </w:r>
            <w:r>
              <w:rPr>
                <w:sz w:val="24"/>
                <w:szCs w:val="24"/>
                <w:lang w:val="ro-RO"/>
              </w:rPr>
              <w:t>, că sunt conforme cu interesul general, care presupune și asigurarea locuințelor cu încălzire sigură și eficientă, scop considerat legitim și din perspectiva Convenției Europene a Drepturilor Omului (</w:t>
            </w:r>
            <w:r>
              <w:rPr>
                <w:i/>
                <w:iCs/>
                <w:sz w:val="24"/>
                <w:szCs w:val="24"/>
                <w:lang w:val="ro-RO"/>
              </w:rPr>
              <w:t>cauza Strezovski și alții v. Macedonia de Nord</w:t>
            </w:r>
            <w:r>
              <w:rPr>
                <w:sz w:val="24"/>
                <w:szCs w:val="24"/>
                <w:lang w:val="ro-RO"/>
              </w:rPr>
              <w:t xml:space="preserve">). </w:t>
            </w:r>
          </w:p>
          <w:p>
            <w:pPr>
              <w:ind w:firstLine="0"/>
              <w:rPr>
                <w:sz w:val="24"/>
                <w:szCs w:val="24"/>
                <w:lang w:val="ro-RO"/>
              </w:rPr>
            </w:pPr>
            <w:r>
              <w:rPr>
                <w:sz w:val="24"/>
                <w:szCs w:val="24"/>
                <w:lang w:val="ro-RO"/>
              </w:rPr>
              <w:t>În opinia Curții Constituționale, efectul pe care îl au utilizatorii deconectați asupra echilibrului din sectorul energetic și asupra calității încălzirii prestate pentru utilizatorii rămași conectați la sistemul centralizat de încălzire din clădirile rezidențiale, nu trebuie neglijat. Astfel, obligația de a plăti pentru încălzirea care trece prin țevile comune impusă persoanelor ale căror apartamente sunt deconectate total sau parțial de la sistemul centralizat de încălzire corespunde scopului legitim al împărțirii sarcinilor financiare legate de costul încălzirii spațiilor comune ale blocurilor (subsoluri, etaje tehnice, scări, holuri etc.).</w:t>
            </w:r>
          </w:p>
          <w:p>
            <w:pPr>
              <w:ind w:firstLine="0"/>
              <w:rPr>
                <w:sz w:val="24"/>
                <w:szCs w:val="24"/>
                <w:lang w:val="ro-RO"/>
              </w:rPr>
            </w:pPr>
            <w:r>
              <w:rPr>
                <w:sz w:val="24"/>
                <w:szCs w:val="24"/>
                <w:lang w:val="ro-RO"/>
              </w:rPr>
              <w:t xml:space="preserve">Totodată, stabilirea unei plăți generale pentru consumul energiei termice în blocurile locative în cazul apartamentelor deconectate de la sistemul centralizat de încălzire, fără a se ține cont de circumstanțele fiecărui caz particular, în opinia Curții Constituționale afectează în mod nejustificat dreptul garantat de articolul 46 din Constituție al proprietarilor apartamentelor deconectate. </w:t>
            </w:r>
          </w:p>
          <w:p>
            <w:pPr>
              <w:ind w:firstLine="0"/>
              <w:rPr>
                <w:sz w:val="24"/>
                <w:szCs w:val="24"/>
                <w:lang w:val="ro-RO"/>
              </w:rPr>
            </w:pPr>
            <w:r>
              <w:rPr>
                <w:sz w:val="24"/>
                <w:szCs w:val="24"/>
                <w:lang w:val="ro-RO"/>
              </w:rPr>
              <w:t xml:space="preserve">În asemenea circumstanțe, în lumina obligației de asigurare a bunei vecinătăți și a scopului legitim al împărțirii sarcinilor financiare în legătură cu încălzirea acestor spații, Guvernul dispune de competențele funcționale necesare să elimine măsurile generale și să aprobe acte normative și metodologii care să permită evaluarea obiectivă a consumului  indirect a căldurii. </w:t>
            </w:r>
          </w:p>
          <w:p>
            <w:pPr>
              <w:ind w:firstLine="0"/>
              <w:rPr>
                <w:sz w:val="24"/>
                <w:szCs w:val="24"/>
                <w:lang w:val="ro-RO"/>
              </w:rPr>
            </w:pPr>
            <w:r>
              <w:rPr>
                <w:sz w:val="24"/>
                <w:szCs w:val="24"/>
                <w:lang w:val="ro-RO"/>
              </w:rPr>
              <w:t xml:space="preserve">În acest sens, a fost elaborat </w:t>
            </w:r>
            <w:r>
              <w:rPr>
                <w:i/>
                <w:sz w:val="24"/>
                <w:szCs w:val="24"/>
                <w:lang w:val="ro-RO"/>
              </w:rPr>
              <w:t xml:space="preserve">„Studiul privind distribuţia consumului de energie termică în clădirile rezidenţiale în care există apartamente debranşate de la sistemul centralizat de căldură” (în continuare Studiu) </w:t>
            </w:r>
            <w:r>
              <w:rPr>
                <w:sz w:val="24"/>
                <w:szCs w:val="24"/>
                <w:lang w:val="ro-RO"/>
              </w:rPr>
              <w:t>având la bază raționamentele Curții Constituționale, potrivit căruia utilizarea cotei de 10% pentru aportul de căldură indirect pentru apartamentele debranşate duce la realocarea cheltuielilor în proporţii de peste 20% pe contul celor rămaşi conectaţi la Sistemul Colectiv de Alimentare cu Energie Termică (în continuare – SCAET), iar în unele cazuri, această valoare poate ajunge la 50%.</w:t>
            </w:r>
          </w:p>
          <w:p>
            <w:pPr>
              <w:tabs>
                <w:tab w:val="left" w:pos="1134"/>
              </w:tabs>
              <w:ind w:firstLine="0"/>
              <w:rPr>
                <w:sz w:val="24"/>
                <w:szCs w:val="24"/>
                <w:lang w:val="ro-RO"/>
              </w:rPr>
            </w:pPr>
            <w:r>
              <w:rPr>
                <w:sz w:val="24"/>
                <w:szCs w:val="24"/>
                <w:lang w:val="ro-RO"/>
              </w:rPr>
              <w:t xml:space="preserve">Prin urmare, revizuirea modalității de repartizare a consumului de energie termică în clădirile rezidenţiale în care există apartamente debranşate de la SCAET, constituie un subiect actual, care condiționează intervenția Guvernului în acest sens, prin operarea unor modificări la Hotărârea Guvernului nr. 191 din 19 februarie 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 </w:t>
            </w:r>
          </w:p>
        </w:tc>
      </w:tr>
      <w:tr>
        <w:tblPrEx>
          <w:tblCellMar>
            <w:top w:w="0" w:type="dxa"/>
            <w:left w:w="108" w:type="dxa"/>
            <w:bottom w:w="0" w:type="dxa"/>
            <w:right w:w="108" w:type="dxa"/>
          </w:tblCellMar>
        </w:tblPrEx>
        <w:trPr>
          <w:jc w:val="center"/>
        </w:trPr>
        <w:tc>
          <w:tcPr>
            <w:tcW w:w="4298" w:type="pct"/>
            <w:gridSpan w:val="5"/>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b)</w:t>
            </w:r>
            <w:r>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702" w:type="pct"/>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xml:space="preserve">Studiul realizat, a determinat că aportul direct de căldură de la coloane este de </w:t>
            </w:r>
            <w:r>
              <w:rPr>
                <w:b/>
                <w:sz w:val="24"/>
                <w:szCs w:val="24"/>
                <w:lang w:val="ro-RO"/>
              </w:rPr>
              <w:t>15%</w:t>
            </w:r>
            <w:r>
              <w:rPr>
                <w:sz w:val="24"/>
                <w:szCs w:val="24"/>
                <w:lang w:val="ro-RO"/>
              </w:rPr>
              <w:t xml:space="preserve"> pentru toate tipurile de case, iar în cazul în care scara blocului locativ este încălzită (fie există radiatoare sau trec coloanele magistrale) aportul indirect de căldură constituie </w:t>
            </w:r>
            <w:r>
              <w:rPr>
                <w:b/>
                <w:sz w:val="24"/>
                <w:szCs w:val="24"/>
                <w:lang w:val="ro-RO"/>
              </w:rPr>
              <w:t>6,9%</w:t>
            </w:r>
            <w:r>
              <w:rPr>
                <w:sz w:val="24"/>
                <w:szCs w:val="24"/>
                <w:lang w:val="ro-RO"/>
              </w:rPr>
              <w:t xml:space="preserve"> indiferent de seria casei sau număr de etaje.</w:t>
            </w:r>
          </w:p>
          <w:p>
            <w:pPr>
              <w:ind w:firstLine="0"/>
              <w:rPr>
                <w:sz w:val="24"/>
                <w:szCs w:val="24"/>
                <w:lang w:val="ro-RO"/>
              </w:rPr>
            </w:pPr>
            <w:r>
              <w:rPr>
                <w:sz w:val="24"/>
                <w:szCs w:val="24"/>
                <w:lang w:val="ro-RO"/>
              </w:rPr>
              <w:t xml:space="preserve">Studiul elaborat, demonstrează că aportul de căldură pentru apartamentele conectate la SCAET pe coloanele cu apartamente debranșate poate crește cu până la </w:t>
            </w:r>
            <w:r>
              <w:rPr>
                <w:b/>
                <w:bCs/>
                <w:sz w:val="24"/>
                <w:szCs w:val="24"/>
                <w:lang w:val="ro-RO"/>
              </w:rPr>
              <w:t>240%, 68%</w:t>
            </w:r>
            <w:r>
              <w:rPr>
                <w:sz w:val="24"/>
                <w:szCs w:val="24"/>
                <w:lang w:val="ro-RO"/>
              </w:rPr>
              <w:t xml:space="preserve"> și, respectiv, cu </w:t>
            </w:r>
            <w:r>
              <w:rPr>
                <w:b/>
                <w:bCs/>
                <w:sz w:val="24"/>
                <w:szCs w:val="24"/>
                <w:lang w:val="ro-RO"/>
              </w:rPr>
              <w:t xml:space="preserve">35% </w:t>
            </w:r>
            <w:r>
              <w:rPr>
                <w:sz w:val="24"/>
                <w:szCs w:val="24"/>
                <w:lang w:val="ro-RO"/>
              </w:rPr>
              <w:t xml:space="preserve">la debranșarea a opt apartamente din cele nouă de pe fiecare verticală. Pe coloanele fără apartamente debranșate aportul de căldură scade cu </w:t>
            </w:r>
            <w:r>
              <w:rPr>
                <w:b/>
                <w:bCs/>
                <w:sz w:val="24"/>
                <w:szCs w:val="24"/>
                <w:lang w:val="ro-RO"/>
              </w:rPr>
              <w:t xml:space="preserve">22%, 36% </w:t>
            </w:r>
            <w:r>
              <w:rPr>
                <w:sz w:val="24"/>
                <w:szCs w:val="24"/>
                <w:lang w:val="ro-RO"/>
              </w:rPr>
              <w:t xml:space="preserve">și, respectiv </w:t>
            </w:r>
            <w:r>
              <w:rPr>
                <w:b/>
                <w:bCs/>
                <w:sz w:val="24"/>
                <w:szCs w:val="24"/>
                <w:lang w:val="ro-RO"/>
              </w:rPr>
              <w:t>43%</w:t>
            </w:r>
            <w:r>
              <w:rPr>
                <w:sz w:val="24"/>
                <w:szCs w:val="24"/>
                <w:lang w:val="ro-RO"/>
              </w:rPr>
              <w:t>.</w:t>
            </w:r>
          </w:p>
          <w:p>
            <w:pPr>
              <w:ind w:firstLine="0"/>
              <w:rPr>
                <w:sz w:val="24"/>
                <w:szCs w:val="24"/>
                <w:lang w:val="ro-RO"/>
              </w:rPr>
            </w:pPr>
            <w:r>
              <w:rPr>
                <w:sz w:val="24"/>
                <w:szCs w:val="24"/>
                <w:lang w:val="ro-RO"/>
              </w:rPr>
              <w:t>Concomitent, în cazul când sunt debranșate opt apartamente din cele nouă de pe verticală temperatura în conducta retur după ultimul apartament crește până la 60</w:t>
            </w:r>
            <w:r>
              <w:rPr>
                <w:sz w:val="24"/>
                <w:szCs w:val="24"/>
                <w:vertAlign w:val="superscript"/>
                <w:lang w:val="ro-RO"/>
              </w:rPr>
              <w:t>0</w:t>
            </w:r>
            <w:r>
              <w:rPr>
                <w:sz w:val="24"/>
                <w:szCs w:val="24"/>
                <w:lang w:val="ro-RO"/>
              </w:rPr>
              <w:t>C comparativ cu temperatura de 65</w:t>
            </w:r>
            <w:r>
              <w:rPr>
                <w:sz w:val="24"/>
                <w:szCs w:val="24"/>
                <w:vertAlign w:val="superscript"/>
                <w:lang w:val="ro-RO"/>
              </w:rPr>
              <w:t>0</w:t>
            </w:r>
            <w:r>
              <w:rPr>
                <w:sz w:val="24"/>
                <w:szCs w:val="24"/>
                <w:lang w:val="ro-RO"/>
              </w:rPr>
              <w:t>C în conducta tur la intrare în primul apartament de pe verticală. Aceasta conduce la o creștere a temperaturii agentului termic de la 48, 42</w:t>
            </w:r>
            <w:r>
              <w:rPr>
                <w:sz w:val="24"/>
                <w:szCs w:val="24"/>
                <w:vertAlign w:val="superscript"/>
                <w:lang w:val="ro-RO"/>
              </w:rPr>
              <w:t>0</w:t>
            </w:r>
            <w:r>
              <w:rPr>
                <w:sz w:val="24"/>
                <w:szCs w:val="24"/>
                <w:lang w:val="ro-RO"/>
              </w:rPr>
              <w:t>C în cazul când nu există apartamente debranșate, până la 53, 99</w:t>
            </w:r>
            <w:r>
              <w:rPr>
                <w:sz w:val="24"/>
                <w:szCs w:val="24"/>
                <w:vertAlign w:val="superscript"/>
                <w:lang w:val="ro-RO"/>
              </w:rPr>
              <w:t>0</w:t>
            </w:r>
            <w:r>
              <w:rPr>
                <w:sz w:val="24"/>
                <w:szCs w:val="24"/>
                <w:lang w:val="ro-RO"/>
              </w:rPr>
              <w:t>C, 57, 56</w:t>
            </w:r>
            <w:r>
              <w:rPr>
                <w:sz w:val="24"/>
                <w:szCs w:val="24"/>
                <w:vertAlign w:val="superscript"/>
                <w:lang w:val="ro-RO"/>
              </w:rPr>
              <w:t>0</w:t>
            </w:r>
            <w:r>
              <w:rPr>
                <w:sz w:val="24"/>
                <w:szCs w:val="24"/>
                <w:lang w:val="ro-RO"/>
              </w:rPr>
              <w:t>C și, respectiv, 59, 51</w:t>
            </w:r>
            <w:r>
              <w:rPr>
                <w:sz w:val="24"/>
                <w:szCs w:val="24"/>
                <w:vertAlign w:val="superscript"/>
                <w:lang w:val="ro-RO"/>
              </w:rPr>
              <w:t>0</w:t>
            </w:r>
            <w:r>
              <w:rPr>
                <w:sz w:val="24"/>
                <w:szCs w:val="24"/>
                <w:lang w:val="ro-RO"/>
              </w:rPr>
              <w:t>C în conducta retur la intrare în punctul termic.</w:t>
            </w:r>
          </w:p>
          <w:p>
            <w:pPr>
              <w:ind w:firstLine="0"/>
              <w:rPr>
                <w:sz w:val="24"/>
                <w:szCs w:val="24"/>
                <w:lang w:val="ro-RO"/>
              </w:rPr>
            </w:pPr>
            <w:r>
              <w:rPr>
                <w:sz w:val="24"/>
                <w:szCs w:val="24"/>
                <w:lang w:val="ro-RO"/>
              </w:rPr>
              <w:t xml:space="preserve">Totodată, reieșind din considerentul că în majoritatea cazurilor subsolul se consideră încălzit datorită amplasării punctului termic individual sau nodul elevator, trecerii ţevilor magistrale şi a coloanelor de distribuţie, aportul indirect de căldură poate fi de </w:t>
            </w:r>
            <w:r>
              <w:rPr>
                <w:b/>
                <w:bCs/>
                <w:sz w:val="24"/>
                <w:szCs w:val="24"/>
                <w:lang w:val="ro-RO"/>
              </w:rPr>
              <w:t>6,67%</w:t>
            </w:r>
            <w:r>
              <w:rPr>
                <w:sz w:val="24"/>
                <w:szCs w:val="24"/>
                <w:lang w:val="ro-RO"/>
              </w:rPr>
              <w:t xml:space="preserve"> în cazul unei clădiri cu 9 etaje. Această valoare poate fi însă mai mică, în cazul când subsolul nu este încălzit, astfel că pentru clădirea cu 9 etaje aportul indirect de căldură constituie </w:t>
            </w:r>
            <w:r>
              <w:rPr>
                <w:b/>
                <w:sz w:val="24"/>
                <w:szCs w:val="24"/>
                <w:lang w:val="ro-RO"/>
              </w:rPr>
              <w:t>4,44%</w:t>
            </w:r>
            <w:r>
              <w:rPr>
                <w:sz w:val="24"/>
                <w:szCs w:val="24"/>
                <w:lang w:val="ro-RO"/>
              </w:rPr>
              <w:t>.</w:t>
            </w:r>
          </w:p>
          <w:p>
            <w:pPr>
              <w:ind w:firstLine="0"/>
              <w:rPr>
                <w:sz w:val="24"/>
                <w:szCs w:val="24"/>
                <w:lang w:val="ro-RO"/>
              </w:rPr>
            </w:pPr>
            <w:r>
              <w:rPr>
                <w:sz w:val="24"/>
                <w:szCs w:val="24"/>
                <w:lang w:val="ro-RO"/>
              </w:rPr>
              <w:t xml:space="preserve">În cazul aceleiași clădiri cu 9 etaje, aportul indirect de energie termică pentru etajul tehnic încălzit  poate constitui până la </w:t>
            </w:r>
            <w:r>
              <w:rPr>
                <w:b/>
                <w:bCs/>
                <w:sz w:val="24"/>
                <w:szCs w:val="24"/>
                <w:lang w:val="ro-RO"/>
              </w:rPr>
              <w:t>22,2%</w:t>
            </w:r>
            <w:r>
              <w:rPr>
                <w:sz w:val="24"/>
                <w:szCs w:val="24"/>
                <w:lang w:val="ro-RO"/>
              </w:rPr>
              <w:t xml:space="preserve">, iar pentru etajul tehnic neîncălzit constituie </w:t>
            </w:r>
            <w:r>
              <w:rPr>
                <w:b/>
                <w:sz w:val="24"/>
                <w:szCs w:val="24"/>
                <w:lang w:val="ro-RO"/>
              </w:rPr>
              <w:t>8,9%</w:t>
            </w:r>
            <w:r>
              <w:rPr>
                <w:sz w:val="24"/>
                <w:szCs w:val="24"/>
                <w:lang w:val="ro-RO"/>
              </w:rPr>
              <w:t>.</w:t>
            </w:r>
          </w:p>
          <w:p>
            <w:pPr>
              <w:ind w:firstLine="0"/>
              <w:rPr>
                <w:b/>
                <w:bCs/>
                <w:sz w:val="24"/>
                <w:szCs w:val="24"/>
                <w:lang w:val="ro-RO"/>
              </w:rPr>
            </w:pPr>
            <w:r>
              <w:rPr>
                <w:sz w:val="24"/>
                <w:szCs w:val="24"/>
                <w:lang w:val="ro-RO"/>
              </w:rPr>
              <w:t xml:space="preserve">Un alt efect negativ al debranșărilor asupra consumatorilor rămaşi conectaţi la SCAET, constă în faptul că cu cât mai mare este numărul apartamentelor debranşate amplasate în mijlocul clădirii, cu atât este mai mare cantitatea de energie termică care revine la consumatorii rămaşi conectați la SCAET. Astfel, potrivit Studiului (fig.23), pentru clădirile seria 143, la deconectarea apartamentelor preponderent din mijlocul blocului, locatarii rămaşi conectaţi la SCAET vor achita până la </w:t>
            </w:r>
            <w:r>
              <w:rPr>
                <w:b/>
                <w:bCs/>
                <w:sz w:val="24"/>
                <w:szCs w:val="24"/>
                <w:lang w:val="ro-RO"/>
              </w:rPr>
              <w:t xml:space="preserve">18% </w:t>
            </w:r>
            <w:r>
              <w:rPr>
                <w:sz w:val="24"/>
                <w:szCs w:val="24"/>
                <w:lang w:val="ro-RO"/>
              </w:rPr>
              <w:t xml:space="preserve">din energia termică celor debranşaţi. Este de menționat, că aceste realocări de energie sunt numai datorită amplasamentului apartamentelor, însă dacă se ia în considerare şi aportul de energie de la coloane şi locuri de uz comun (în continuare - LUC), atunci această valoare poate atinge </w:t>
            </w:r>
            <w:r>
              <w:rPr>
                <w:b/>
                <w:bCs/>
                <w:sz w:val="24"/>
                <w:szCs w:val="24"/>
                <w:lang w:val="ro-RO"/>
              </w:rPr>
              <w:t>50%.</w:t>
            </w:r>
          </w:p>
          <w:p>
            <w:pPr>
              <w:ind w:firstLine="0"/>
              <w:rPr>
                <w:sz w:val="24"/>
                <w:szCs w:val="24"/>
                <w:lang w:val="ro-RO"/>
              </w:rPr>
            </w:pPr>
            <w:r>
              <w:rPr>
                <w:sz w:val="24"/>
                <w:szCs w:val="24"/>
                <w:lang w:val="ro-RO"/>
              </w:rPr>
              <w:t xml:space="preserve">Valoare realocărilor este şi mai mare în cazul caselor cu 5 etaje (seria 102), unde la debranşarea a 50% din apartamente cantitatea de energie  termică pusă pe seama celor rămaşi conectați la SCAET atinge valoarea de </w:t>
            </w:r>
            <w:r>
              <w:rPr>
                <w:b/>
                <w:bCs/>
                <w:sz w:val="24"/>
                <w:szCs w:val="24"/>
                <w:lang w:val="ro-RO"/>
              </w:rPr>
              <w:t>37%.</w:t>
            </w:r>
          </w:p>
          <w:p>
            <w:pPr>
              <w:ind w:firstLine="0"/>
              <w:rPr>
                <w:sz w:val="24"/>
                <w:szCs w:val="24"/>
                <w:lang w:val="ro-RO"/>
              </w:rPr>
            </w:pPr>
            <w:r>
              <w:rPr>
                <w:sz w:val="24"/>
                <w:szCs w:val="24"/>
                <w:lang w:val="ro-RO"/>
              </w:rPr>
              <w:t xml:space="preserve">Prin urmare, datele Studiului, demonstrează că debranșarea apartamentelor de la SCAET în cadrul unui bloc de locuit, duce în mod direct la majorarea nejustificată a facturilor pentru consumatorii rămași conectați la SCAET, iar pentru a exclude orice realocări de căldură dintre consumatorii unei clădiri rezidenţiale este strict necesar, de a modifica modalitatea de distribuție și calcul a consumului de energie termică, pentru ca toţi locatarii să participe proporţional la acoperirea consumurilor de energie directe şi indirecte, întrucât o clădire rezidenţială multietajată reprezintă un obiect, în care există mai multe fluxuri de căldură cu temperaturi diferite. </w:t>
            </w:r>
          </w:p>
          <w:p>
            <w:pPr>
              <w:ind w:firstLine="0"/>
              <w:rPr>
                <w:sz w:val="24"/>
                <w:szCs w:val="24"/>
                <w:lang w:val="ro-RO"/>
              </w:rPr>
            </w:pPr>
            <w:r>
              <w:rPr>
                <w:sz w:val="24"/>
                <w:szCs w:val="24"/>
                <w:lang w:val="ro-RO"/>
              </w:rPr>
              <w:t xml:space="preserve">Este important de menționat că, modificarea modului de calcul a consumului de energie termică nu reprezintă o subvenționare a furnizorilor de energie termică, întrucât punctul de delimitare la reţelele de încălzire centralizată îl constituie ultimele flanşe de la a treia şi a patra vană după nodul de elevator, iar pentru întreg bloc locativ facturarea se efectuează în baza datelor echipamentului de măsurare instalat în hotarul de delimitare după proprietate, și care înregistrează consumul de consumul de energie termică a întregului bloc locativ. </w:t>
            </w:r>
          </w:p>
          <w:p>
            <w:pPr>
              <w:ind w:firstLine="0"/>
              <w:rPr>
                <w:sz w:val="24"/>
                <w:szCs w:val="24"/>
                <w:lang w:val="ro-RO"/>
              </w:rPr>
            </w:pPr>
            <w:r>
              <w:rPr>
                <w:sz w:val="24"/>
                <w:szCs w:val="24"/>
                <w:lang w:val="ro-RO"/>
              </w:rPr>
              <w:t xml:space="preserve">Respectiv, energia termică furnizată în interiorul blocului  locativ și înregistrează de echipamentul de măsurare instalat în punctul de delimitate și se distribuie spaţiului încălzit, etajului tehnic, casei scării sau coridorului comun pentru cămine și subsolului, întrucât clădirea reprezintă un tot întreg, iar energia termică care revine locurilor de uz comun (etaj tehnic, casa scării, subsol) urmează să fie acoperită proporţional de toţi locatarii. </w:t>
            </w:r>
          </w:p>
        </w:tc>
      </w:tr>
      <w:tr>
        <w:tblPrEx>
          <w:tblCellMar>
            <w:top w:w="0" w:type="dxa"/>
            <w:left w:w="108" w:type="dxa"/>
            <w:bottom w:w="0" w:type="dxa"/>
            <w:right w:w="108" w:type="dxa"/>
          </w:tblCellMar>
        </w:tblPrEx>
        <w:trPr>
          <w:jc w:val="center"/>
        </w:trPr>
        <w:tc>
          <w:tcPr>
            <w:tcW w:w="4298" w:type="pct"/>
            <w:gridSpan w:val="5"/>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c)</w:t>
            </w:r>
            <w:r>
              <w:rPr>
                <w:sz w:val="24"/>
                <w:szCs w:val="24"/>
                <w:lang w:val="ro-RO"/>
              </w:rPr>
              <w:t xml:space="preserve"> Expuneți clar cauzele care au dus la apariţia problemei</w:t>
            </w:r>
          </w:p>
        </w:tc>
        <w:tc>
          <w:tcPr>
            <w:tcW w:w="702" w:type="pct"/>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xml:space="preserve"> - permiterea din anul 2002 a deconectărilor parţiale sau integrale a apartamentelor/încăperilor locuibile în cazul în care  consumatorul nu poate să achite plata pentru încălzirea acestora;</w:t>
            </w:r>
          </w:p>
          <w:p>
            <w:pPr>
              <w:ind w:firstLine="0"/>
              <w:rPr>
                <w:sz w:val="24"/>
                <w:szCs w:val="24"/>
                <w:lang w:val="ro-RO"/>
              </w:rPr>
            </w:pPr>
            <w:r>
              <w:rPr>
                <w:sz w:val="24"/>
                <w:szCs w:val="24"/>
                <w:lang w:val="ro-RO"/>
              </w:rPr>
              <w:t>- lipsa unui mecanism de control asupra respectării obligației consumatorului care s-a deconectat să folosească o altă sursă de încălzire pentru întreţinerea temperaturii în încăperi la cota de cel puţin +8</w:t>
            </w:r>
            <w:r>
              <w:rPr>
                <w:sz w:val="24"/>
                <w:szCs w:val="24"/>
                <w:vertAlign w:val="superscript"/>
                <w:lang w:val="ro-RO"/>
              </w:rPr>
              <w:t>0</w:t>
            </w:r>
            <w:r>
              <w:rPr>
                <w:sz w:val="24"/>
                <w:szCs w:val="24"/>
                <w:lang w:val="ro-RO"/>
              </w:rPr>
              <w:t>C;</w:t>
            </w:r>
          </w:p>
          <w:p>
            <w:pPr>
              <w:ind w:firstLine="0"/>
              <w:rPr>
                <w:sz w:val="24"/>
                <w:szCs w:val="24"/>
                <w:lang w:val="ro-RO"/>
              </w:rPr>
            </w:pPr>
            <w:r>
              <w:rPr>
                <w:sz w:val="24"/>
                <w:szCs w:val="24"/>
                <w:lang w:val="ro-RO"/>
              </w:rPr>
              <w:t>- achitarea de către consumatorii debranșați a unei plăți inechitabile pentru încălzire în mărime de doar 5% din suma calculată în perioada anilor 2002-2011;</w:t>
            </w:r>
          </w:p>
          <w:p>
            <w:pPr>
              <w:ind w:firstLine="0"/>
              <w:rPr>
                <w:sz w:val="24"/>
                <w:szCs w:val="24"/>
                <w:lang w:val="ro-RO" w:eastAsia="ru-RU"/>
              </w:rPr>
            </w:pPr>
            <w:r>
              <w:rPr>
                <w:sz w:val="24"/>
                <w:szCs w:val="24"/>
                <w:lang w:val="ro-RO"/>
              </w:rPr>
              <w:t>- m</w:t>
            </w:r>
            <w:r>
              <w:rPr>
                <w:sz w:val="24"/>
                <w:szCs w:val="24"/>
                <w:lang w:val="ro-RO" w:eastAsia="ru-RU"/>
              </w:rPr>
              <w:t>odificarea în anul 2011 a cadrului normativ prin reducerea mărimii plății de la 20% la 10%, fapt care a încurajat consumatorii să se debranșeze în continuare, fără careva sancțiuni financiare;</w:t>
            </w:r>
          </w:p>
          <w:p>
            <w:pPr>
              <w:ind w:firstLine="0"/>
              <w:rPr>
                <w:sz w:val="24"/>
                <w:szCs w:val="24"/>
                <w:lang w:val="ro-RO"/>
              </w:rPr>
            </w:pPr>
            <w:r>
              <w:rPr>
                <w:sz w:val="24"/>
                <w:szCs w:val="24"/>
                <w:lang w:val="ro-RO" w:eastAsia="ru-RU"/>
              </w:rPr>
              <w:t xml:space="preserve">- </w:t>
            </w:r>
            <w:r>
              <w:rPr>
                <w:sz w:val="24"/>
                <w:szCs w:val="24"/>
                <w:lang w:val="ro-RO"/>
              </w:rPr>
              <w:t xml:space="preserve">stabilirea unor plăți generale pentru consumul de energie termică în blocurile locative în cazul apartamentelor deconectate de la SCAET, fără a se ține cont de circumstanțele fiecărui caz particular. </w:t>
            </w:r>
          </w:p>
        </w:tc>
      </w:tr>
      <w:tr>
        <w:tblPrEx>
          <w:tblCellMar>
            <w:top w:w="0" w:type="dxa"/>
            <w:left w:w="108" w:type="dxa"/>
            <w:bottom w:w="0" w:type="dxa"/>
            <w:right w:w="108" w:type="dxa"/>
          </w:tblCellMar>
        </w:tblPrEx>
        <w:trPr>
          <w:jc w:val="center"/>
        </w:trPr>
        <w:tc>
          <w:tcPr>
            <w:tcW w:w="4298" w:type="pct"/>
            <w:gridSpan w:val="5"/>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 xml:space="preserve">d) </w:t>
            </w:r>
            <w:r>
              <w:rPr>
                <w:sz w:val="24"/>
                <w:szCs w:val="24"/>
                <w:lang w:val="ro-RO"/>
              </w:rPr>
              <w:t xml:space="preserve">Descrieți cum a evoluat problema şi cum va evolua fără o intervenție </w:t>
            </w:r>
          </w:p>
        </w:tc>
        <w:tc>
          <w:tcPr>
            <w:tcW w:w="702" w:type="pct"/>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Prin Hotărârea de Guvern nr. 191 din 19.02.2002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 publicată în Monitorul Oficial nr. 29-31 din 28.02.2002, s-a permis deconectarea parţială sau integrală a apartamentului/încăperii locuibile în cămin în cazul în care  consumatorul nu poate să achite plata pentru încălzirea acestora, fiind doar prescrisă obligația ca consumatorul care s-a deconectat să folosească o altă sursă de încălzire pentru întreţinerea temperaturii în încăperi la cota de cel puţin +8</w:t>
            </w:r>
            <w:r>
              <w:rPr>
                <w:sz w:val="24"/>
                <w:szCs w:val="24"/>
                <w:vertAlign w:val="superscript"/>
                <w:lang w:val="ro-RO"/>
              </w:rPr>
              <w:t>0</w:t>
            </w:r>
            <w:r>
              <w:rPr>
                <w:sz w:val="24"/>
                <w:szCs w:val="24"/>
                <w:lang w:val="ro-RO"/>
              </w:rPr>
              <w:t>C (pct.2.5. din SNiP, 2.04.05-91) pentru evitarea deteriorărilor în blocul locativ.</w:t>
            </w:r>
          </w:p>
          <w:p>
            <w:pPr>
              <w:ind w:firstLine="0"/>
              <w:rPr>
                <w:sz w:val="24"/>
                <w:szCs w:val="24"/>
                <w:lang w:val="ro-RO"/>
              </w:rPr>
            </w:pPr>
            <w:r>
              <w:rPr>
                <w:sz w:val="24"/>
                <w:szCs w:val="24"/>
                <w:lang w:val="ro-RO"/>
              </w:rPr>
              <w:t xml:space="preserve">Conform pct. 8 din Anexa nr. 7 la Regulamentul aprobat prin Hotărârea de Guvern nr. 191 din 19.02.2002, s-a stabilit că în cazul deconectării integrale a încăperii, consumatorul achită plata pentru încălzire în mărime de 5% din suma calculată, luând în considerare imposibilitatea deconectării coloanelor de încălzire tranzitorii. </w:t>
            </w:r>
          </w:p>
          <w:p>
            <w:pPr>
              <w:ind w:firstLine="0"/>
              <w:rPr>
                <w:sz w:val="24"/>
                <w:szCs w:val="24"/>
                <w:lang w:val="ro-RO"/>
              </w:rPr>
            </w:pPr>
            <w:r>
              <w:rPr>
                <w:sz w:val="24"/>
                <w:szCs w:val="24"/>
                <w:lang w:val="ro-RO"/>
              </w:rPr>
              <w:t xml:space="preserve">Ca rezultat, un număr impunător de apartamente sau debranșat de la SCAET. Potrivit Studiului, în mun. Chișinău, </w:t>
            </w:r>
            <w:r>
              <w:rPr>
                <w:bCs/>
                <w:color w:val="000000"/>
                <w:sz w:val="24"/>
                <w:szCs w:val="28"/>
                <w:lang w:val="ro-RO"/>
              </w:rPr>
              <w:t xml:space="preserve">în perioada anilor 2001-2022 au avut loc deconectări în masă a apartamentelor ce beneficiau de încălzirea centralizată: </w:t>
            </w:r>
          </w:p>
          <w:tbl>
            <w:tblPr>
              <w:tblStyle w:val="10"/>
              <w:tblpPr w:leftFromText="180" w:rightFromText="180" w:vertAnchor="text" w:horzAnchor="page" w:tblpX="1452" w:tblpY="2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83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8" w:space="0"/>
                    <w:bottom w:val="single" w:color="auto" w:sz="8" w:space="0"/>
                  </w:tcBorders>
                  <w:vAlign w:val="center"/>
                </w:tcPr>
                <w:p>
                  <w:pPr>
                    <w:ind w:firstLine="0"/>
                    <w:jc w:val="center"/>
                    <w:rPr>
                      <w:b/>
                      <w:bCs/>
                      <w:color w:val="000000"/>
                      <w:szCs w:val="28"/>
                      <w:lang w:val="ro-RO"/>
                    </w:rPr>
                  </w:pPr>
                  <w:bookmarkStart w:id="0" w:name="_Toc113825890"/>
                  <w:r>
                    <w:rPr>
                      <w:b/>
                      <w:bCs/>
                      <w:color w:val="000000"/>
                      <w:szCs w:val="28"/>
                      <w:lang w:val="ro-RO"/>
                    </w:rPr>
                    <w:t>Data</w:t>
                  </w:r>
                </w:p>
              </w:tc>
              <w:tc>
                <w:tcPr>
                  <w:tcW w:w="1701" w:type="dxa"/>
                  <w:tcBorders>
                    <w:top w:val="single" w:color="auto" w:sz="8" w:space="0"/>
                    <w:bottom w:val="single" w:color="auto" w:sz="8" w:space="0"/>
                  </w:tcBorders>
                  <w:vAlign w:val="center"/>
                </w:tcPr>
                <w:p>
                  <w:pPr>
                    <w:spacing w:before="60" w:after="60"/>
                    <w:ind w:firstLine="0"/>
                    <w:jc w:val="center"/>
                    <w:rPr>
                      <w:b/>
                      <w:bCs/>
                      <w:color w:val="000000"/>
                      <w:szCs w:val="28"/>
                      <w:lang w:val="ro-RO"/>
                    </w:rPr>
                  </w:pPr>
                  <w:r>
                    <w:rPr>
                      <w:b/>
                      <w:bCs/>
                      <w:color w:val="000000"/>
                      <w:szCs w:val="28"/>
                      <w:lang w:val="ro-RO"/>
                    </w:rPr>
                    <w:t>Nr. apartamente debranșate</w:t>
                  </w:r>
                </w:p>
              </w:tc>
              <w:tc>
                <w:tcPr>
                  <w:tcW w:w="1836" w:type="dxa"/>
                  <w:tcBorders>
                    <w:top w:val="single" w:color="auto" w:sz="8" w:space="0"/>
                    <w:bottom w:val="single" w:color="auto" w:sz="8" w:space="0"/>
                  </w:tcBorders>
                  <w:vAlign w:val="center"/>
                </w:tcPr>
                <w:p>
                  <w:pPr>
                    <w:ind w:firstLine="0"/>
                    <w:jc w:val="center"/>
                    <w:rPr>
                      <w:b/>
                      <w:bCs/>
                      <w:color w:val="000000"/>
                      <w:szCs w:val="28"/>
                      <w:lang w:val="ro-RO"/>
                    </w:rPr>
                  </w:pPr>
                  <w:r>
                    <w:rPr>
                      <w:b/>
                      <w:bCs/>
                      <w:color w:val="000000"/>
                      <w:szCs w:val="28"/>
                      <w:lang w:val="ro-RO"/>
                    </w:rPr>
                    <w:t>Data</w:t>
                  </w:r>
                </w:p>
              </w:tc>
              <w:tc>
                <w:tcPr>
                  <w:tcW w:w="1701" w:type="dxa"/>
                  <w:tcBorders>
                    <w:top w:val="single" w:color="auto" w:sz="8" w:space="0"/>
                    <w:bottom w:val="single" w:color="auto" w:sz="8" w:space="0"/>
                  </w:tcBorders>
                  <w:vAlign w:val="center"/>
                </w:tcPr>
                <w:p>
                  <w:pPr>
                    <w:ind w:firstLine="0"/>
                    <w:jc w:val="center"/>
                    <w:rPr>
                      <w:b/>
                      <w:bCs/>
                      <w:color w:val="000000"/>
                      <w:szCs w:val="28"/>
                      <w:lang w:val="ro-RO"/>
                    </w:rPr>
                  </w:pPr>
                  <w:r>
                    <w:rPr>
                      <w:b/>
                      <w:bCs/>
                      <w:color w:val="000000"/>
                      <w:szCs w:val="28"/>
                      <w:lang w:val="ro-RO"/>
                    </w:rPr>
                    <w:t>Nr. apartamente debranșate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8" w:space="0"/>
                    <w:bottom w:val="single" w:color="auto" w:sz="2" w:space="0"/>
                  </w:tcBorders>
                  <w:vAlign w:val="bottom"/>
                </w:tcPr>
                <w:p>
                  <w:pPr>
                    <w:spacing w:before="60"/>
                    <w:ind w:firstLine="0"/>
                    <w:jc w:val="center"/>
                    <w:rPr>
                      <w:b/>
                      <w:bCs/>
                      <w:color w:val="000000"/>
                      <w:szCs w:val="28"/>
                      <w:lang w:val="ro-RO"/>
                    </w:rPr>
                  </w:pPr>
                  <w:r>
                    <w:rPr>
                      <w:rFonts w:cs="Calibri"/>
                      <w:color w:val="000000"/>
                      <w:lang w:val="ro-RO"/>
                    </w:rPr>
                    <w:t>31.12.2001</w:t>
                  </w:r>
                </w:p>
              </w:tc>
              <w:tc>
                <w:tcPr>
                  <w:tcW w:w="1701" w:type="dxa"/>
                  <w:tcBorders>
                    <w:top w:val="single" w:color="auto" w:sz="8" w:space="0"/>
                    <w:bottom w:val="single" w:color="auto" w:sz="2" w:space="0"/>
                  </w:tcBorders>
                  <w:vAlign w:val="bottom"/>
                </w:tcPr>
                <w:p>
                  <w:pPr>
                    <w:spacing w:before="60"/>
                    <w:ind w:firstLine="0"/>
                    <w:jc w:val="center"/>
                    <w:rPr>
                      <w:b/>
                      <w:bCs/>
                      <w:color w:val="000000"/>
                      <w:szCs w:val="28"/>
                      <w:lang w:val="ro-RO"/>
                    </w:rPr>
                  </w:pPr>
                  <w:r>
                    <w:rPr>
                      <w:rFonts w:cs="Calibri"/>
                      <w:color w:val="000000"/>
                      <w:lang w:val="ro-RO"/>
                    </w:rPr>
                    <w:t>563</w:t>
                  </w:r>
                </w:p>
              </w:tc>
              <w:tc>
                <w:tcPr>
                  <w:tcW w:w="1836" w:type="dxa"/>
                  <w:tcBorders>
                    <w:top w:val="single" w:color="auto" w:sz="8" w:space="0"/>
                    <w:bottom w:val="single" w:color="auto" w:sz="2" w:space="0"/>
                  </w:tcBorders>
                  <w:vAlign w:val="bottom"/>
                </w:tcPr>
                <w:p>
                  <w:pPr>
                    <w:spacing w:before="60"/>
                    <w:ind w:firstLine="0"/>
                    <w:jc w:val="center"/>
                    <w:rPr>
                      <w:b/>
                      <w:bCs/>
                      <w:color w:val="000000"/>
                      <w:szCs w:val="28"/>
                      <w:lang w:val="ro-RO"/>
                    </w:rPr>
                  </w:pPr>
                  <w:r>
                    <w:rPr>
                      <w:rFonts w:cs="Calibri"/>
                      <w:color w:val="000000"/>
                      <w:lang w:val="ro-RO"/>
                    </w:rPr>
                    <w:t>31.12.2012</w:t>
                  </w:r>
                </w:p>
              </w:tc>
              <w:tc>
                <w:tcPr>
                  <w:tcW w:w="1701" w:type="dxa"/>
                  <w:tcBorders>
                    <w:top w:val="single" w:color="auto" w:sz="8" w:space="0"/>
                    <w:bottom w:val="single" w:color="auto" w:sz="2" w:space="0"/>
                  </w:tcBorders>
                  <w:vAlign w:val="bottom"/>
                </w:tcPr>
                <w:p>
                  <w:pPr>
                    <w:spacing w:before="60"/>
                    <w:ind w:firstLine="0"/>
                    <w:jc w:val="center"/>
                    <w:rPr>
                      <w:b/>
                      <w:bCs/>
                      <w:color w:val="000000"/>
                      <w:szCs w:val="28"/>
                      <w:lang w:val="ro-RO"/>
                    </w:rPr>
                  </w:pPr>
                  <w:r>
                    <w:rPr>
                      <w:rFonts w:cs="Calibri"/>
                      <w:color w:val="000000"/>
                      <w:lang w:val="ro-RO"/>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31.12.2002</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1926</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31.12.2013</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31.12.2003</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5654</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31.12.2014</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31.12.2004</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5403</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31.12.2015</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31.12.2005</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2692</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31.12.2016</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31.12.2006</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1525</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31.12.2017</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31.12.2007</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770</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31.12.2018</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21.12.2008</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568</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31.12.2019</w:t>
                  </w:r>
                </w:p>
              </w:tc>
              <w:tc>
                <w:tcPr>
                  <w:tcW w:w="1701" w:type="dxa"/>
                  <w:tcBorders>
                    <w:top w:val="single" w:color="auto" w:sz="2" w:space="0"/>
                    <w:bottom w:val="single" w:color="auto" w:sz="2" w:space="0"/>
                  </w:tcBorders>
                </w:tcPr>
                <w:p>
                  <w:pPr>
                    <w:ind w:firstLine="0"/>
                    <w:jc w:val="center"/>
                    <w:rPr>
                      <w:b/>
                      <w:bCs/>
                      <w:color w:val="000000"/>
                      <w:szCs w:val="28"/>
                      <w:lang w:val="ro-RO"/>
                    </w:rPr>
                  </w:pPr>
                  <w:r>
                    <w:rPr>
                      <w:rFonts w:cs="Calibri"/>
                      <w:color w:val="000000"/>
                      <w:lang w:val="ro-RO"/>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31.12.2009</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677</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31.12.2020</w:t>
                  </w:r>
                </w:p>
              </w:tc>
              <w:tc>
                <w:tcPr>
                  <w:tcW w:w="1701" w:type="dxa"/>
                  <w:tcBorders>
                    <w:top w:val="single" w:color="auto" w:sz="2" w:space="0"/>
                    <w:bottom w:val="single" w:color="auto" w:sz="2" w:space="0"/>
                  </w:tcBorders>
                </w:tcPr>
                <w:p>
                  <w:pPr>
                    <w:ind w:firstLine="0"/>
                    <w:jc w:val="center"/>
                    <w:rPr>
                      <w:b/>
                      <w:bCs/>
                      <w:color w:val="000000"/>
                      <w:szCs w:val="28"/>
                      <w:lang w:val="ro-RO"/>
                    </w:rPr>
                  </w:pPr>
                  <w:r>
                    <w:rPr>
                      <w:rFonts w:cs="Calibri"/>
                      <w:color w:val="000000"/>
                      <w:lang w:val="ro-RO"/>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31.12.2010</w:t>
                  </w:r>
                </w:p>
              </w:tc>
              <w:tc>
                <w:tcPr>
                  <w:tcW w:w="1701"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783</w:t>
                  </w:r>
                </w:p>
              </w:tc>
              <w:tc>
                <w:tcPr>
                  <w:tcW w:w="1836" w:type="dxa"/>
                  <w:tcBorders>
                    <w:top w:val="single" w:color="auto" w:sz="2" w:space="0"/>
                    <w:bottom w:val="single" w:color="auto" w:sz="2" w:space="0"/>
                  </w:tcBorders>
                  <w:vAlign w:val="bottom"/>
                </w:tcPr>
                <w:p>
                  <w:pPr>
                    <w:ind w:firstLine="0"/>
                    <w:jc w:val="center"/>
                    <w:rPr>
                      <w:b/>
                      <w:bCs/>
                      <w:color w:val="000000"/>
                      <w:szCs w:val="28"/>
                      <w:lang w:val="ro-RO"/>
                    </w:rPr>
                  </w:pPr>
                  <w:r>
                    <w:rPr>
                      <w:rFonts w:cs="Calibri"/>
                      <w:color w:val="000000"/>
                      <w:lang w:val="ro-RO"/>
                    </w:rPr>
                    <w:t>31.12.2021</w:t>
                  </w:r>
                </w:p>
              </w:tc>
              <w:tc>
                <w:tcPr>
                  <w:tcW w:w="1701" w:type="dxa"/>
                  <w:tcBorders>
                    <w:top w:val="single" w:color="auto" w:sz="2" w:space="0"/>
                    <w:bottom w:val="single" w:color="auto" w:sz="2" w:space="0"/>
                  </w:tcBorders>
                </w:tcPr>
                <w:p>
                  <w:pPr>
                    <w:ind w:firstLine="0"/>
                    <w:jc w:val="center"/>
                    <w:rPr>
                      <w:b/>
                      <w:bCs/>
                      <w:color w:val="000000"/>
                      <w:szCs w:val="28"/>
                      <w:lang w:val="ro-RO"/>
                    </w:rPr>
                  </w:pPr>
                  <w:r>
                    <w:rPr>
                      <w:rFonts w:cs="Calibri"/>
                      <w:color w:val="000000"/>
                      <w:lang w:val="ro-RO"/>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2" w:space="0"/>
                    <w:bottom w:val="single" w:color="auto" w:sz="8" w:space="0"/>
                  </w:tcBorders>
                  <w:vAlign w:val="bottom"/>
                </w:tcPr>
                <w:p>
                  <w:pPr>
                    <w:ind w:firstLine="0"/>
                    <w:jc w:val="center"/>
                    <w:rPr>
                      <w:b/>
                      <w:bCs/>
                      <w:color w:val="000000"/>
                      <w:szCs w:val="28"/>
                      <w:lang w:val="ro-RO"/>
                    </w:rPr>
                  </w:pPr>
                  <w:r>
                    <w:rPr>
                      <w:rFonts w:cs="Calibri"/>
                      <w:color w:val="000000"/>
                      <w:lang w:val="ro-RO"/>
                    </w:rPr>
                    <w:t>31.12.2011</w:t>
                  </w:r>
                </w:p>
              </w:tc>
              <w:tc>
                <w:tcPr>
                  <w:tcW w:w="1701" w:type="dxa"/>
                  <w:tcBorders>
                    <w:top w:val="single" w:color="auto" w:sz="2" w:space="0"/>
                    <w:bottom w:val="single" w:color="auto" w:sz="8" w:space="0"/>
                  </w:tcBorders>
                  <w:vAlign w:val="bottom"/>
                </w:tcPr>
                <w:p>
                  <w:pPr>
                    <w:ind w:firstLine="0"/>
                    <w:jc w:val="center"/>
                    <w:rPr>
                      <w:b/>
                      <w:bCs/>
                      <w:color w:val="000000"/>
                      <w:szCs w:val="28"/>
                      <w:lang w:val="ro-RO"/>
                    </w:rPr>
                  </w:pPr>
                  <w:r>
                    <w:rPr>
                      <w:rFonts w:cs="Calibri"/>
                      <w:color w:val="000000"/>
                      <w:lang w:val="ro-RO"/>
                    </w:rPr>
                    <w:t>1624</w:t>
                  </w:r>
                </w:p>
              </w:tc>
              <w:tc>
                <w:tcPr>
                  <w:tcW w:w="1836" w:type="dxa"/>
                  <w:tcBorders>
                    <w:top w:val="single" w:color="auto" w:sz="2" w:space="0"/>
                    <w:bottom w:val="single" w:color="auto" w:sz="8" w:space="0"/>
                  </w:tcBorders>
                  <w:vAlign w:val="bottom"/>
                </w:tcPr>
                <w:p>
                  <w:pPr>
                    <w:ind w:firstLine="0"/>
                    <w:jc w:val="center"/>
                    <w:rPr>
                      <w:b/>
                      <w:bCs/>
                      <w:color w:val="000000"/>
                      <w:szCs w:val="28"/>
                      <w:lang w:val="ro-RO"/>
                    </w:rPr>
                  </w:pPr>
                  <w:r>
                    <w:rPr>
                      <w:rFonts w:cs="Calibri"/>
                      <w:color w:val="000000"/>
                      <w:lang w:val="ro-RO"/>
                    </w:rPr>
                    <w:t>31.03.2022</w:t>
                  </w:r>
                </w:p>
              </w:tc>
              <w:tc>
                <w:tcPr>
                  <w:tcW w:w="1701" w:type="dxa"/>
                  <w:tcBorders>
                    <w:top w:val="single" w:color="auto" w:sz="2" w:space="0"/>
                    <w:bottom w:val="single" w:color="auto" w:sz="8" w:space="0"/>
                  </w:tcBorders>
                </w:tcPr>
                <w:p>
                  <w:pPr>
                    <w:ind w:firstLine="0"/>
                    <w:jc w:val="center"/>
                    <w:rPr>
                      <w:b/>
                      <w:bCs/>
                      <w:color w:val="000000"/>
                      <w:szCs w:val="28"/>
                      <w:lang w:val="ro-RO"/>
                    </w:rPr>
                  </w:pPr>
                  <w:r>
                    <w:rPr>
                      <w:rFonts w:cs="Calibri"/>
                      <w:color w:val="000000"/>
                      <w:lang w:val="ro-RO"/>
                    </w:rPr>
                    <w:t>85</w:t>
                  </w:r>
                </w:p>
              </w:tc>
            </w:tr>
            <w:bookmarkEnd w:id="0"/>
          </w:tbl>
          <w:p>
            <w:pPr>
              <w:pStyle w:val="8"/>
              <w:keepNext/>
              <w:ind w:firstLine="1797" w:firstLineChars="817"/>
              <w:rPr>
                <w:b w:val="0"/>
                <w:i/>
                <w:iCs/>
                <w:color w:val="000000"/>
                <w:sz w:val="22"/>
                <w:szCs w:val="22"/>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spacing w:before="120"/>
              <w:rPr>
                <w:bCs/>
                <w:color w:val="000000"/>
                <w:sz w:val="24"/>
                <w:szCs w:val="28"/>
                <w:lang w:val="ro-RO"/>
              </w:rPr>
            </w:pPr>
          </w:p>
          <w:p>
            <w:pPr>
              <w:ind w:firstLine="0"/>
              <w:rPr>
                <w:rFonts w:cstheme="minorHAnsi"/>
                <w:sz w:val="24"/>
                <w:lang w:val="ro-RO"/>
              </w:rPr>
            </w:pPr>
            <w:r>
              <w:rPr>
                <w:sz w:val="24"/>
                <w:szCs w:val="24"/>
                <w:lang w:val="ro-RO"/>
              </w:rPr>
              <w:t>În mun. Bălți, s</w:t>
            </w:r>
            <w:r>
              <w:rPr>
                <w:rFonts w:cstheme="minorHAnsi"/>
                <w:sz w:val="24"/>
                <w:lang w:val="ro-RO"/>
              </w:rPr>
              <w:t xml:space="preserve">uprafața totală a clădirilor conectate la SCAET, la situaţia anului 2022, constituie  </w:t>
            </w:r>
            <w:r>
              <w:rPr>
                <w:rFonts w:cstheme="minorHAnsi"/>
                <w:b/>
                <w:sz w:val="24"/>
                <w:lang w:val="ro-RO"/>
              </w:rPr>
              <w:t>1 413 544 m</w:t>
            </w:r>
            <w:r>
              <w:rPr>
                <w:rFonts w:cstheme="minorHAnsi"/>
                <w:b/>
                <w:sz w:val="24"/>
                <w:vertAlign w:val="superscript"/>
                <w:lang w:val="ro-RO"/>
              </w:rPr>
              <w:t>2</w:t>
            </w:r>
            <w:r>
              <w:rPr>
                <w:rFonts w:cstheme="minorHAnsi"/>
                <w:b/>
                <w:sz w:val="24"/>
                <w:lang w:val="ro-RO"/>
              </w:rPr>
              <w:t xml:space="preserve">, </w:t>
            </w:r>
            <w:r>
              <w:rPr>
                <w:rFonts w:cstheme="minorHAnsi"/>
                <w:sz w:val="24"/>
                <w:lang w:val="ro-RO"/>
              </w:rPr>
              <w:t xml:space="preserve">dintre care numai </w:t>
            </w:r>
            <w:r>
              <w:rPr>
                <w:rFonts w:cstheme="minorHAnsi"/>
                <w:b/>
                <w:sz w:val="24"/>
                <w:lang w:val="ro-RO"/>
              </w:rPr>
              <w:t>995 400 m</w:t>
            </w:r>
            <w:r>
              <w:rPr>
                <w:rFonts w:cstheme="minorHAnsi"/>
                <w:b/>
                <w:sz w:val="24"/>
                <w:vertAlign w:val="superscript"/>
                <w:lang w:val="ro-RO"/>
              </w:rPr>
              <w:t>2</w:t>
            </w:r>
            <w:r>
              <w:rPr>
                <w:rFonts w:cstheme="minorHAnsi"/>
                <w:b/>
                <w:sz w:val="24"/>
                <w:lang w:val="ro-RO"/>
              </w:rPr>
              <w:t xml:space="preserve"> </w:t>
            </w:r>
            <w:r>
              <w:rPr>
                <w:rFonts w:cstheme="minorHAnsi"/>
                <w:sz w:val="24"/>
                <w:lang w:val="ro-RO"/>
              </w:rPr>
              <w:t>beneficiază de încălzire centralizată, astfel că raportul apartamentelor debranşate constituie 27%, iar raportul suprafeţelor debranşate 30%, ceea ce reprezintă o valoare semnificativă.</w:t>
            </w:r>
          </w:p>
          <w:p>
            <w:pPr>
              <w:ind w:firstLine="0"/>
              <w:rPr>
                <w:rFonts w:cstheme="minorHAnsi"/>
                <w:sz w:val="24"/>
                <w:lang w:val="ro-RO"/>
              </w:rPr>
            </w:pPr>
          </w:p>
          <w:p>
            <w:pPr>
              <w:ind w:firstLine="0"/>
              <w:jc w:val="left"/>
              <w:rPr>
                <w:lang w:val="ro-RO" w:eastAsia="ru-RU"/>
              </w:rPr>
            </w:pPr>
            <w:r>
              <w:rPr>
                <w:lang w:val="ro-RO" w:eastAsia="ru-RU"/>
              </w:rPr>
              <w:t xml:space="preserve">                   </w:t>
            </w:r>
            <w:r>
              <w:rPr>
                <w:lang w:val="ro-RO" w:eastAsia="ru-RU"/>
              </w:rPr>
              <w:drawing>
                <wp:inline distT="0" distB="0" distL="0" distR="0">
                  <wp:extent cx="4714875" cy="2782570"/>
                  <wp:effectExtent l="4445" t="4445" r="5080" b="133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ind w:firstLine="0"/>
              <w:rPr>
                <w:sz w:val="24"/>
                <w:szCs w:val="24"/>
                <w:lang w:val="ro-RO"/>
              </w:rPr>
            </w:pPr>
            <w:r>
              <w:rPr>
                <w:sz w:val="24"/>
                <w:szCs w:val="24"/>
                <w:lang w:val="ro-RO"/>
              </w:rPr>
              <w:t xml:space="preserve">Prin Hotărârea de Guvern nr. 707 din 20.09.2011 cu privire la unele măsuri de eficientizare a funcţionării sistemelor de alimentare centralizată cu energie termică, publicată în Monitorul Oficial nr. 156-159 din 23.09.2011, s-au operat modificări și completări la Hotărârea de Guvern nr. 191 din 19.02.2002, fiind interzisă deja deconectarea parţială a apartamentului (încăperilor locuibile în cămine) de la sistemul centralizat de încălzire a blocului locativ, iar deconectarea integrală s-a permis a se efectua cu condiţia că în apartament (încăperea locuibilă în cămin)  să fie instalată o altă sursă de încălzire pentru întreţinerea temperaturii constante în încăpere la un nivel de cel puţin + 18 °C, fără însă a se stabili un mecanism de control privind asigurarea respectării obligației prescrise, și minimalizarea impactului financiar asupra consumatorilor rămași conectați la SCAET. </w:t>
            </w:r>
          </w:p>
          <w:p>
            <w:pPr>
              <w:ind w:firstLine="0"/>
              <w:rPr>
                <w:sz w:val="24"/>
                <w:szCs w:val="24"/>
                <w:lang w:val="ro-RO"/>
              </w:rPr>
            </w:pPr>
            <w:r>
              <w:rPr>
                <w:sz w:val="24"/>
                <w:szCs w:val="24"/>
                <w:lang w:val="ro-RO"/>
              </w:rPr>
              <w:t>Totodată, s-a stabilit obligaţia de a prezenta proiectul reconstrucţiei sistemului centralizat de încălzire elaborat de către instituţiile de proiectare sau persoanele fizice care deţin licenţă în acest gen de activitate, pe baza datelor inventarierii sistemului centralizat de încălzire existent şi coordonat în modul stabilit.</w:t>
            </w:r>
          </w:p>
          <w:p>
            <w:pPr>
              <w:ind w:firstLine="0"/>
              <w:rPr>
                <w:sz w:val="24"/>
                <w:szCs w:val="24"/>
                <w:lang w:val="ro-RO"/>
              </w:rPr>
            </w:pPr>
            <w:r>
              <w:rPr>
                <w:sz w:val="24"/>
                <w:szCs w:val="24"/>
                <w:lang w:val="ro-RO"/>
              </w:rPr>
              <w:t>Este de menționat că, măsurile întreprinse nu au stopat fenomenul debranșărilor de la SCAET, iar m</w:t>
            </w:r>
            <w:r>
              <w:rPr>
                <w:sz w:val="24"/>
                <w:szCs w:val="24"/>
                <w:lang w:val="ro-RO" w:eastAsia="ru-RU"/>
              </w:rPr>
              <w:t>odificarea mărimii plății de la 20% la 10% a încurajat consumatorii să se debranșeze și în continuare, astfel că, î</w:t>
            </w:r>
            <w:r>
              <w:rPr>
                <w:sz w:val="24"/>
                <w:szCs w:val="24"/>
                <w:lang w:val="ro-RO"/>
              </w:rPr>
              <w:t>n rezultatul creşterii numărului de apartamente debranşate a avut loc o intervenţie atât asupra regimului hidraulic din interiorul clădirii (</w:t>
            </w:r>
            <w:r>
              <w:rPr>
                <w:sz w:val="24"/>
                <w:szCs w:val="24"/>
                <w:lang w:val="zh-CN"/>
              </w:rPr>
              <w:t>SCAET</w:t>
            </w:r>
            <w:r>
              <w:rPr>
                <w:sz w:val="24"/>
                <w:szCs w:val="24"/>
                <w:lang w:val="ro-RO"/>
              </w:rPr>
              <w:t xml:space="preserve">), cât şi asupra sistemului hidraulic al sistemului centralizat din mun. Bălți (SACET). </w:t>
            </w:r>
          </w:p>
          <w:p>
            <w:pPr>
              <w:ind w:firstLine="0"/>
              <w:rPr>
                <w:sz w:val="24"/>
                <w:szCs w:val="24"/>
                <w:lang w:val="ro-RO"/>
              </w:rPr>
            </w:pPr>
            <w:r>
              <w:rPr>
                <w:sz w:val="24"/>
                <w:szCs w:val="24"/>
                <w:lang w:val="ro-RO"/>
              </w:rPr>
              <w:t xml:space="preserve">Modificarea regimului hidraulic a condus la dereglări în procesul de distribuţie uniformă a agentului termic între suprafeţele încălzite, iar ca rezultat supraîncălzirea unor apartamente şi încălzirea insuficientă a altora. Astfel, conform datelor Studiului, odată cu creșterea numărului de apartamente debranșate de la SCAET are loc creșterea debitului în coloane cu apartamente debranșate de la SCAET cu până la </w:t>
            </w:r>
            <w:r>
              <w:rPr>
                <w:b/>
                <w:bCs/>
                <w:sz w:val="24"/>
                <w:szCs w:val="24"/>
                <w:lang w:val="ro-RO"/>
              </w:rPr>
              <w:t xml:space="preserve">54%  </w:t>
            </w:r>
            <w:r>
              <w:rPr>
                <w:sz w:val="24"/>
                <w:szCs w:val="24"/>
                <w:lang w:val="ro-RO"/>
              </w:rPr>
              <w:t xml:space="preserve">în cazul debranșărilor pe o singură coloană, </w:t>
            </w:r>
            <w:r>
              <w:rPr>
                <w:b/>
                <w:bCs/>
                <w:sz w:val="24"/>
                <w:szCs w:val="24"/>
                <w:lang w:val="ro-RO"/>
              </w:rPr>
              <w:t xml:space="preserve">27% </w:t>
            </w:r>
            <w:r>
              <w:rPr>
                <w:sz w:val="24"/>
                <w:szCs w:val="24"/>
                <w:lang w:val="ro-RO"/>
              </w:rPr>
              <w:t xml:space="preserve">în cazul debranșărilor pe două coloane, și </w:t>
            </w:r>
            <w:r>
              <w:rPr>
                <w:b/>
                <w:bCs/>
                <w:sz w:val="24"/>
                <w:szCs w:val="24"/>
                <w:lang w:val="ro-RO"/>
              </w:rPr>
              <w:t>12%</w:t>
            </w:r>
            <w:r>
              <w:rPr>
                <w:sz w:val="24"/>
                <w:szCs w:val="24"/>
                <w:lang w:val="ro-RO"/>
              </w:rPr>
              <w:t xml:space="preserve"> în cazul debranșărilor pe trei coloane. Totodată, debitul în coloanele fără apartamente debranșate scade cu până la </w:t>
            </w:r>
            <w:r>
              <w:rPr>
                <w:b/>
                <w:bCs/>
                <w:sz w:val="24"/>
                <w:szCs w:val="24"/>
                <w:lang w:val="ro-RO"/>
              </w:rPr>
              <w:t xml:space="preserve">22%, 36% </w:t>
            </w:r>
            <w:r>
              <w:rPr>
                <w:sz w:val="24"/>
                <w:szCs w:val="24"/>
                <w:lang w:val="ro-RO"/>
              </w:rPr>
              <w:t xml:space="preserve">și, respectiv, </w:t>
            </w:r>
            <w:r>
              <w:rPr>
                <w:b/>
                <w:bCs/>
                <w:sz w:val="24"/>
                <w:szCs w:val="24"/>
                <w:lang w:val="ro-RO"/>
              </w:rPr>
              <w:t>43%</w:t>
            </w:r>
            <w:r>
              <w:rPr>
                <w:sz w:val="24"/>
                <w:szCs w:val="24"/>
                <w:lang w:val="ro-RO"/>
              </w:rPr>
              <w:t>. Această perturbare a regimului hidraulic este datorată reducerii rezistențelor hidraulice pe coloane prin eliminarea corpurilor de încălzire de pe conturul de circulație a agentului termic din coloanele date.</w:t>
            </w:r>
          </w:p>
          <w:p>
            <w:pPr>
              <w:ind w:firstLine="0"/>
              <w:rPr>
                <w:sz w:val="24"/>
                <w:szCs w:val="24"/>
                <w:lang w:val="ro-RO"/>
              </w:rPr>
            </w:pPr>
            <w:r>
              <w:rPr>
                <w:sz w:val="24"/>
                <w:szCs w:val="24"/>
                <w:lang w:val="ro-RO"/>
              </w:rPr>
              <w:t>Suplimentar, conform Studiului realizat, în cazul în care, pe una și aceiași coloană sunt debranșate mai multe apartamente, atunci are loc egalarea temperaturii tur și retur, ceea ce înseamnă circulație în gol. Acest lucru duce la reducerea diferenței planificate dintre temperaturile tur și retur în baza graficului de temperatură, și respectiv, creșterea consumului de energie în apartamentele rămase conectate la SCAET, adică are loc supraîncălzirea acestora.</w:t>
            </w:r>
          </w:p>
          <w:p>
            <w:pPr>
              <w:ind w:firstLine="0"/>
              <w:rPr>
                <w:sz w:val="24"/>
                <w:szCs w:val="24"/>
                <w:lang w:val="ro-RO"/>
              </w:rPr>
            </w:pPr>
            <w:r>
              <w:rPr>
                <w:sz w:val="24"/>
                <w:szCs w:val="24"/>
                <w:lang w:val="ro-RO"/>
              </w:rPr>
              <w:t xml:space="preserve">Studiul realizat a scos în evidență și faptul că în dependenţă de seria casei şi amplasarea apartamentului (jos colţ, mijloc colţ, sus colţ, mijloc jos, mijloc, mijloc sus) consumul de energie poate să difere până la 3-4 ori. Astfel, apartamentele din mijlocul clădirii consumă aproximativ de  </w:t>
            </w:r>
            <w:r>
              <w:rPr>
                <w:b/>
                <w:sz w:val="24"/>
                <w:szCs w:val="24"/>
                <w:lang w:val="ro-RO"/>
              </w:rPr>
              <w:t>2 ori mai puţin</w:t>
            </w:r>
            <w:r>
              <w:rPr>
                <w:sz w:val="24"/>
                <w:szCs w:val="24"/>
                <w:lang w:val="ro-RO"/>
              </w:rPr>
              <w:t xml:space="preserve"> decât consumul mediu pe clădire, iar cele de la colţ sus (adică ultimul etaj) consumă de </w:t>
            </w:r>
            <w:r>
              <w:rPr>
                <w:b/>
                <w:sz w:val="24"/>
                <w:szCs w:val="24"/>
                <w:lang w:val="ro-RO"/>
              </w:rPr>
              <w:t>2 ori mai mult</w:t>
            </w:r>
            <w:r>
              <w:rPr>
                <w:sz w:val="24"/>
                <w:szCs w:val="24"/>
                <w:lang w:val="ro-RO"/>
              </w:rPr>
              <w:t xml:space="preserve"> decât media pe clădire. Acest lucru înseamnă că apartamentele de la periferia clădirii acoperă cea mai mare pierdere de energie prin anvelopa clădirii. </w:t>
            </w:r>
          </w:p>
          <w:p>
            <w:pPr>
              <w:ind w:firstLine="0"/>
              <w:rPr>
                <w:sz w:val="24"/>
                <w:szCs w:val="24"/>
                <w:lang w:val="ro-RO"/>
              </w:rPr>
            </w:pPr>
            <w:r>
              <w:rPr>
                <w:sz w:val="24"/>
                <w:szCs w:val="24"/>
                <w:lang w:val="ro-RO"/>
              </w:rPr>
              <w:t xml:space="preserve">Prin urmare, în lipsa intervenției Statului, vor crește semnificativ </w:t>
            </w:r>
            <w:r>
              <w:rPr>
                <w:sz w:val="24"/>
                <w:szCs w:val="24"/>
              </w:rPr>
              <w:t xml:space="preserve">și nejustificat </w:t>
            </w:r>
            <w:r>
              <w:rPr>
                <w:sz w:val="24"/>
                <w:szCs w:val="24"/>
                <w:lang w:val="ro-RO"/>
              </w:rPr>
              <w:t xml:space="preserve">cheltuielile suportate de consumatorii rămaşi conectați la SCAET.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rPr>
            </w:pPr>
            <w:r>
              <w:rPr>
                <w:bCs/>
                <w:sz w:val="24"/>
                <w:szCs w:val="24"/>
                <w:lang w:val="ro-RO"/>
              </w:rPr>
              <w:t xml:space="preserve">e) </w:t>
            </w:r>
            <w:r>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r>
              <w:rPr>
                <w:sz w:val="24"/>
                <w:szCs w:val="24"/>
              </w:rPr>
              <w:t xml:space="preserve">                                                                                                        </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trHeight w:val="909" w:hRule="atLeast"/>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i/>
                <w:iCs/>
                <w:sz w:val="24"/>
                <w:szCs w:val="24"/>
                <w:lang w:val="ro-RO"/>
              </w:rPr>
              <w:t xml:space="preserve">- Art. 3 alin. (1) și alin. (3), art. 13 alin. (1) din Legea serviciilor publice de gospodărie comunală nr. 1402 din 24 octombrie 2002 (Monitorul Oficial al Republicii Moldova, 2003, nr. 14-17, art. 49), cu modificările și completările ulterioare. </w:t>
            </w:r>
            <w:r>
              <w:rPr>
                <w:sz w:val="24"/>
                <w:szCs w:val="24"/>
                <w:lang w:val="ro-RO"/>
              </w:rPr>
              <w:t>Astfel, potrivit art.3 alin. (1)  și alin. (3) a Legii nr. 1402 din 24.10.2022, serviciile publice de gospodărie comunală asigură furnizarea/prestarea inclusiv a serviciilor de  alimentarea cu energie termică, care pot fi reglementate mai detaliat prin legi ordinare sau prin alte acte normative, după caz. În corespundere cu art. 13 alin. (1) a legii nominalizate, Guvernul asigură realizarea politicii generale a statului în domeniul gospodăriei comunale, în concordanţă cu programul de guvernare şi cu obiectivele strategiei dezvoltării social-economice a ţării, prin:</w:t>
            </w:r>
          </w:p>
          <w:p>
            <w:pPr>
              <w:ind w:firstLine="0"/>
              <w:rPr>
                <w:sz w:val="24"/>
                <w:szCs w:val="24"/>
                <w:lang w:val="ro-RO"/>
              </w:rPr>
            </w:pPr>
            <w:r>
              <w:rPr>
                <w:sz w:val="24"/>
                <w:szCs w:val="24"/>
                <w:lang w:val="ro-RO"/>
              </w:rPr>
              <w:t>a) iniţierea şi prezentarea spre adoptare a unor proiecte de legi privind reglementarea activităţii din domeniul respectiv;</w:t>
            </w:r>
          </w:p>
          <w:p>
            <w:pPr>
              <w:ind w:firstLine="0"/>
              <w:rPr>
                <w:sz w:val="24"/>
                <w:szCs w:val="24"/>
                <w:lang w:val="ro-RO"/>
              </w:rPr>
            </w:pPr>
            <w:r>
              <w:rPr>
                <w:sz w:val="24"/>
                <w:szCs w:val="24"/>
                <w:lang w:val="ro-RO"/>
              </w:rPr>
              <w:t>b) adoptarea unor regulamente şi norme în domeniul gospodăriei comunale, acolo unde se impune reglementarea la nivel central;</w:t>
            </w:r>
          </w:p>
          <w:p>
            <w:pPr>
              <w:ind w:firstLine="0"/>
              <w:rPr>
                <w:sz w:val="24"/>
                <w:szCs w:val="24"/>
                <w:lang w:val="ro-RO"/>
              </w:rPr>
            </w:pPr>
            <w:r>
              <w:rPr>
                <w:sz w:val="24"/>
                <w:szCs w:val="24"/>
                <w:lang w:val="ro-RO"/>
              </w:rPr>
              <w:t>c) sprijinirea autorităţilor administraţiei publice locale în ceea ce priveşte înfiinţarea, dezvoltarea şi îmbunătăţirea serviciilor publice de gospodărie comunală, precum şi dezvoltarea infrastructurii din acest domeniu.</w:t>
            </w:r>
          </w:p>
          <w:p>
            <w:pPr>
              <w:ind w:firstLine="0"/>
              <w:rPr>
                <w:sz w:val="24"/>
                <w:szCs w:val="24"/>
                <w:lang w:val="ro-RO"/>
              </w:rPr>
            </w:pPr>
            <w:r>
              <w:rPr>
                <w:i/>
                <w:iCs/>
                <w:sz w:val="24"/>
                <w:szCs w:val="24"/>
                <w:lang w:val="ro-RO"/>
              </w:rPr>
              <w:t xml:space="preserve">- Art. 4 alin. (3), art. 5, art. 6 alin. (3), art. 7, art.12 alin. (4), art. 14 alin. (2) din Legea condominiului în fondul locativ nr. 913 din 30 martie 2000 (Monitorul Oficial al Republicii Moldova, 2000, nr. 130-132, art. 915), cu modificările și completările ulterioare.  </w:t>
            </w:r>
            <w:r>
              <w:rPr>
                <w:sz w:val="24"/>
                <w:szCs w:val="24"/>
                <w:lang w:val="ro-RO"/>
              </w:rPr>
              <w:t>Potrivit art. 4 alin. (3) a Legii nr. 913 din 30.03.2000, punctele de delimitare a reţelelor şi instalaţiilor interne din condominiu şi a reţelelor şi instalaţiilor publice sînt:</w:t>
            </w:r>
          </w:p>
          <w:p>
            <w:pPr>
              <w:ind w:firstLine="0"/>
              <w:jc w:val="left"/>
              <w:rPr>
                <w:sz w:val="24"/>
                <w:szCs w:val="24"/>
                <w:lang w:val="ro-RO"/>
              </w:rPr>
            </w:pPr>
            <w:r>
              <w:rPr>
                <w:sz w:val="24"/>
                <w:szCs w:val="24"/>
                <w:lang w:val="ro-RO"/>
              </w:rPr>
              <w:t>a) la reţelele de alimentare cu apă – ieşirea din contorul instalat în subsolul blocului locativ conform avizului de branşare eliberat de către operatorul de serviciu;</w:t>
            </w:r>
          </w:p>
          <w:p>
            <w:pPr>
              <w:ind w:firstLine="0"/>
              <w:jc w:val="left"/>
              <w:rPr>
                <w:sz w:val="24"/>
                <w:szCs w:val="24"/>
                <w:lang w:val="ro-RO"/>
              </w:rPr>
            </w:pPr>
            <w:r>
              <w:rPr>
                <w:sz w:val="24"/>
                <w:szCs w:val="24"/>
                <w:lang w:val="ro-RO"/>
              </w:rPr>
              <w:t>b) la reţelele de canalizare – căminul de racord la reţeaua publică în sensul de scurgere a apei uzate;</w:t>
            </w:r>
          </w:p>
          <w:p>
            <w:pPr>
              <w:ind w:firstLine="0"/>
              <w:jc w:val="left"/>
              <w:rPr>
                <w:sz w:val="24"/>
                <w:szCs w:val="24"/>
                <w:lang w:val="ro-RO"/>
              </w:rPr>
            </w:pPr>
            <w:r>
              <w:rPr>
                <w:sz w:val="24"/>
                <w:szCs w:val="24"/>
                <w:lang w:val="ro-RO"/>
              </w:rPr>
              <w:t>c) la reţelele de încălzire centrală – ultimele flanşe de la a treia şi a patra vană după blocul de elevator.</w:t>
            </w:r>
          </w:p>
          <w:p>
            <w:pPr>
              <w:ind w:firstLine="0"/>
              <w:rPr>
                <w:sz w:val="24"/>
                <w:szCs w:val="24"/>
                <w:lang w:val="ro-RO"/>
              </w:rPr>
            </w:pPr>
            <w:r>
              <w:rPr>
                <w:sz w:val="24"/>
                <w:szCs w:val="24"/>
                <w:lang w:val="ro-RO"/>
              </w:rPr>
              <w:t>Reieșind din prevederile art. 5 a Legii nominalizate, proprietatea comună în condominiu include toate părţile proprietăţii aflate în folosinţă comună: terenul pe care este construit blocul (blocurile), zidurile, acoperişul, terasele, coşurile de fum, casele scărilor, holurile, subsolurile, pivniţele şi etajele tehnice, tubulaturile de gunoi, ascensoarele, utilajul şi sistemele inginereşti din interiorul sau exteriorul locuinţelor (încăperilor), care deservesc mai multe locuinţe (încăperi), terenurile aferente în hotarele stabilite cu elemente de înverzire, alte obiecte destinate deservirii proprietăţii imobiliare a condominiului, iar potrivit art. 6 alin. (3) a aceleiași Legii, bunurile comune în condominiu se află în proprietatea comună în diviziune a proprietarilor de locuinţe.</w:t>
            </w:r>
          </w:p>
          <w:p>
            <w:pPr>
              <w:ind w:firstLine="0"/>
              <w:rPr>
                <w:sz w:val="24"/>
                <w:szCs w:val="24"/>
                <w:lang w:val="ro-RO"/>
              </w:rPr>
            </w:pPr>
            <w:r>
              <w:rPr>
                <w:sz w:val="24"/>
                <w:szCs w:val="24"/>
                <w:lang w:val="ro-RO"/>
              </w:rPr>
              <w:t xml:space="preserve">Totodată, art. 7 a Legii nr. 913 din 20.03.2000, stabilește următoarele:  </w:t>
            </w:r>
          </w:p>
          <w:p>
            <w:pPr>
              <w:ind w:firstLine="0"/>
              <w:rPr>
                <w:i/>
                <w:iCs/>
                <w:sz w:val="24"/>
                <w:szCs w:val="24"/>
                <w:lang w:val="ro-RO"/>
              </w:rPr>
            </w:pPr>
            <w:r>
              <w:rPr>
                <w:i/>
                <w:iCs/>
                <w:sz w:val="24"/>
                <w:szCs w:val="24"/>
                <w:lang w:val="ro-RO"/>
              </w:rPr>
              <w:t>„(1) Cota-parte a fiecărui proprietar în bunurile imobiliare comune din condominiu este proporţională cotei constituite din suprafaţa totală (în metri pătraţi) a locuinţelor (încăperilor) ce îi aparţin în condominiu, dacă decizia adunării generale a proprietarilor, adoptată în conformitate cu procedura prevăzută la articolul 26 din prezenta lege, nu stabileşte altfel.</w:t>
            </w:r>
          </w:p>
          <w:p>
            <w:pPr>
              <w:ind w:firstLine="0"/>
              <w:rPr>
                <w:i/>
                <w:iCs/>
                <w:sz w:val="24"/>
                <w:szCs w:val="24"/>
                <w:lang w:val="ro-RO"/>
              </w:rPr>
            </w:pPr>
            <w:r>
              <w:rPr>
                <w:i/>
                <w:iCs/>
                <w:sz w:val="24"/>
                <w:szCs w:val="24"/>
                <w:lang w:val="ro-RO"/>
              </w:rPr>
              <w:t>(2) Cota-parte a proprietarului camerei (camerelor) în locuinţa comunală se determină prin raportul dintre suprafaţa camerei (camerelor) şi suprafaţa totală a locuinţei.</w:t>
            </w:r>
          </w:p>
          <w:p>
            <w:pPr>
              <w:ind w:firstLine="0"/>
              <w:rPr>
                <w:i/>
                <w:iCs/>
                <w:sz w:val="24"/>
                <w:szCs w:val="24"/>
                <w:lang w:val="ro-RO"/>
              </w:rPr>
            </w:pPr>
            <w:r>
              <w:rPr>
                <w:i/>
                <w:iCs/>
                <w:sz w:val="24"/>
                <w:szCs w:val="24"/>
                <w:lang w:val="ro-RO"/>
              </w:rPr>
              <w:t>(3) Cu acordul proprietarilor, cota-parte poate fi diferită pentru diferite grupuri de proprietari, în funcţie de tipul încăperilor ce le aparţin în condominiu.</w:t>
            </w:r>
          </w:p>
          <w:p>
            <w:pPr>
              <w:numPr>
                <w:ilvl w:val="0"/>
                <w:numId w:val="1"/>
              </w:numPr>
              <w:ind w:firstLine="0"/>
              <w:rPr>
                <w:i/>
                <w:iCs/>
                <w:sz w:val="24"/>
                <w:szCs w:val="24"/>
                <w:lang w:val="ro-RO"/>
              </w:rPr>
            </w:pPr>
            <w:r>
              <w:rPr>
                <w:i/>
                <w:iCs/>
                <w:sz w:val="24"/>
                <w:szCs w:val="24"/>
                <w:lang w:val="ro-RO"/>
              </w:rPr>
              <w:t>Cota-parte a noului proprietar în bunurile comune este egală cotei-părţi a proprietarului precedent”.</w:t>
            </w:r>
          </w:p>
          <w:p>
            <w:pPr>
              <w:ind w:firstLine="0"/>
              <w:rPr>
                <w:sz w:val="24"/>
                <w:szCs w:val="24"/>
                <w:lang w:val="ro-RO"/>
              </w:rPr>
            </w:pPr>
            <w:r>
              <w:rPr>
                <w:sz w:val="24"/>
                <w:szCs w:val="24"/>
                <w:lang w:val="ro-RO"/>
              </w:rPr>
              <w:t>Conform art. 12 alin. (4) și art. 14 alin. (2) a Legii, proprietarii participă la cheltuielile pentru întreţinerea şi reparaţia proprietăţii comune în condominiu în modul stabilit de prezenta lege şi de alte acte legislative şi normative, și achită serviciile comunale şi alte servicii utilizate în conformitate cu legislaţia şi cu actele normative în vigoare.</w:t>
            </w:r>
          </w:p>
          <w:p>
            <w:pPr>
              <w:ind w:firstLine="0"/>
              <w:rPr>
                <w:i/>
                <w:iCs/>
                <w:sz w:val="24"/>
                <w:szCs w:val="24"/>
                <w:lang w:val="ro-RO"/>
              </w:rPr>
            </w:pPr>
            <w:r>
              <w:rPr>
                <w:i/>
                <w:iCs/>
                <w:sz w:val="24"/>
                <w:szCs w:val="24"/>
                <w:lang w:val="ro-RO"/>
              </w:rPr>
              <w:t xml:space="preserve">- Art. 4, art. 5 alin. (6) din Legea cu privire la locuinţe nr. 75 din 30 aprilie 2015 (Monitorul Oficial al Republicii Moldova, 2015, nr. 131-138 art. 249) cu modificările și completările ulterioare. </w:t>
            </w:r>
          </w:p>
          <w:p>
            <w:pPr>
              <w:ind w:firstLine="0"/>
              <w:rPr>
                <w:sz w:val="24"/>
                <w:szCs w:val="24"/>
                <w:lang w:val="ro-RO"/>
              </w:rPr>
            </w:pPr>
            <w:r>
              <w:rPr>
                <w:sz w:val="24"/>
                <w:szCs w:val="24"/>
                <w:lang w:val="ro-RO"/>
              </w:rPr>
              <w:t xml:space="preserve">În conformitate cu art. 4 a Legii nr. 75 din 30.04.20145, prin noțiunea de </w:t>
            </w:r>
            <w:r>
              <w:rPr>
                <w:i/>
                <w:iCs/>
                <w:sz w:val="24"/>
                <w:szCs w:val="24"/>
                <w:lang w:val="ro-RO"/>
              </w:rPr>
              <w:t xml:space="preserve">„locuinţă” </w:t>
            </w:r>
            <w:r>
              <w:rPr>
                <w:sz w:val="24"/>
                <w:szCs w:val="24"/>
                <w:lang w:val="ro-RO"/>
              </w:rPr>
              <w:t xml:space="preserve">se înțelege  – o construcţie sau încăpere izolată alcătuită din una sau din mai multe camere de locuit, precum şi din alte încăperi auxiliare (bucătărie, bloc sanitar etc.), care satisface cerinţele de trai ale unei persoane sau ale mai multor persoane (familii) şi corespunde exigenţelor minime pentru locuinţe, stabilite în actele normative; în calitate de locuinţă sînt recunoscute casele de locuit individuale, apartamentele,  încăperile locuibile din cămine şi din clădiri cu altă destinaţie; iar noțiunea de </w:t>
            </w:r>
            <w:r>
              <w:rPr>
                <w:i/>
                <w:iCs/>
                <w:sz w:val="24"/>
                <w:szCs w:val="24"/>
                <w:lang w:val="ro-RO"/>
              </w:rPr>
              <w:t xml:space="preserve">„bloc locativ” </w:t>
            </w:r>
            <w:r>
              <w:rPr>
                <w:sz w:val="24"/>
                <w:szCs w:val="24"/>
                <w:lang w:val="ro-RO"/>
              </w:rPr>
              <w:t>– presupune o clădire cu două sau mai multe apartamente (încăperi locuibile) destinate pentru trai, în a cărei componenţă, pe lîngă apartamente, intră încăperi cu altă destinaţie decît cea de locuinţă şi de uz comun, echipamentele tehnice inginereşti, elemente constructive de bază ale clădirii (fundamentul, pereţii, planşeul, acoperişul etc.).</w:t>
            </w:r>
          </w:p>
          <w:p>
            <w:pPr>
              <w:ind w:firstLine="0"/>
              <w:rPr>
                <w:sz w:val="24"/>
                <w:szCs w:val="24"/>
                <w:lang w:val="ro-RO"/>
              </w:rPr>
            </w:pPr>
            <w:r>
              <w:rPr>
                <w:sz w:val="24"/>
                <w:szCs w:val="24"/>
                <w:lang w:val="ro-RO"/>
              </w:rPr>
              <w:t>Astfel, potrivit art. 5 alin. (6) a Legii nominalizate, proprietarul locuinţei sau persoana căreia îi sînt grevate drepturile respective este obligată să întreţină locuinţa cu diligenţa unui bun proprietar, să nu admită deteriorarea acesteia, să respecte drepturile şi interesele legitime ale vecinilor, regulile de folosire a locuinţelor şi regulile de întreţinere a bunurilor proprietate comună din blocul locativ, aprobate de către Guvern. Aceleaşi obligaţii trebuie respectate şi de către proprietarii încăperilor cu altă destinaţie decît cea de locuinţă din blocurile locative.</w:t>
            </w:r>
          </w:p>
          <w:p>
            <w:pPr>
              <w:ind w:firstLine="0"/>
              <w:rPr>
                <w:i/>
                <w:iCs/>
                <w:sz w:val="24"/>
                <w:szCs w:val="24"/>
                <w:lang w:val="ro-RO"/>
              </w:rPr>
            </w:pPr>
            <w:r>
              <w:rPr>
                <w:i/>
                <w:iCs/>
                <w:sz w:val="24"/>
                <w:szCs w:val="24"/>
                <w:lang w:val="ro-RO"/>
              </w:rPr>
              <w:t>- art. 8 alin. (1), art. 21, art. 21</w:t>
            </w:r>
            <w:r>
              <w:rPr>
                <w:i/>
                <w:iCs/>
                <w:sz w:val="24"/>
                <w:szCs w:val="24"/>
                <w:vertAlign w:val="superscript"/>
                <w:lang w:val="ro-RO"/>
              </w:rPr>
              <w:t>1</w:t>
            </w:r>
            <w:r>
              <w:rPr>
                <w:i/>
                <w:iCs/>
                <w:sz w:val="24"/>
                <w:szCs w:val="24"/>
                <w:lang w:val="ro-RO"/>
              </w:rPr>
              <w:t xml:space="preserve"> și 23 alin. (4) din Legea cu privire la privatizarea fondului de locuinţe nr. 1324 din 10 martie 1993 cu privire la privatizarea fondului de locuinţe (republicată în Monitorul Oficial al Republicii Moldova, 2006, ediție specială), cu modificările și completările ulterioare.</w:t>
            </w:r>
          </w:p>
          <w:p>
            <w:pPr>
              <w:ind w:firstLine="0"/>
              <w:rPr>
                <w:sz w:val="24"/>
                <w:szCs w:val="24"/>
                <w:lang w:val="ro-RO"/>
              </w:rPr>
            </w:pPr>
            <w:r>
              <w:rPr>
                <w:sz w:val="24"/>
                <w:szCs w:val="24"/>
                <w:lang w:val="ro-RO"/>
              </w:rPr>
              <w:t>În corespundere cu art. 8 alin. (1) și art. 21 a Legii nr. 1324 din 10.03.1993, proprietarii de locuinţă privatizată sînt coposesorii instalaţiilor şi comunicaţiilor inginereşti, ai locurilor de uz comun ale imobilului şi ai terenurilor de pe lîngă el, având obligația să participe la cheltuielile comune de întreţinere a locurilor de uz comun, a terenurilor de pe lîngă imobil, de reparaţie curentă şi capitală a imobilului, a sistemelor inginereşti interioare. Cota de cheltuieli se stabileşte în funcţie de suprafaţa locativă ocupată şi de numărul de persoane care locuiesc pe ea, fapt ce se consemnează în clauzele contractelor de întreţinere şi deservire a locuinţelor şi a terenurilor aferente blocurilor de locuinţe.</w:t>
            </w:r>
          </w:p>
          <w:p>
            <w:pPr>
              <w:ind w:firstLine="0"/>
              <w:rPr>
                <w:sz w:val="24"/>
                <w:szCs w:val="24"/>
                <w:lang w:val="ro-RO"/>
              </w:rPr>
            </w:pPr>
            <w:r>
              <w:rPr>
                <w:sz w:val="24"/>
                <w:szCs w:val="24"/>
                <w:lang w:val="ro-RO"/>
              </w:rPr>
              <w:t>Totodată, potrivit ar.21</w:t>
            </w:r>
            <w:r>
              <w:rPr>
                <w:sz w:val="24"/>
                <w:szCs w:val="24"/>
                <w:vertAlign w:val="superscript"/>
                <w:lang w:val="ro-RO"/>
              </w:rPr>
              <w:t xml:space="preserve">1 </w:t>
            </w:r>
            <w:r>
              <w:rPr>
                <w:sz w:val="24"/>
                <w:szCs w:val="24"/>
                <w:lang w:val="ro-RO"/>
              </w:rPr>
              <w:t xml:space="preserve"> a Legii nominalizate, punctele de delimitare a reţelelor şi instalaţiilor interne din blocul locativ şi a reţelelor şi instalaţiilor publice sînt:</w:t>
            </w:r>
          </w:p>
          <w:p>
            <w:pPr>
              <w:ind w:firstLine="0"/>
              <w:rPr>
                <w:sz w:val="24"/>
                <w:szCs w:val="24"/>
                <w:lang w:val="ro-RO"/>
              </w:rPr>
            </w:pPr>
            <w:r>
              <w:rPr>
                <w:sz w:val="24"/>
                <w:szCs w:val="24"/>
                <w:lang w:val="ro-RO"/>
              </w:rPr>
              <w:t>a) la reţelele de alimentare cu apă – ieşirea din contorul instalat în subsolul blocului locativ conform avizului de branşare eliberat de către operatorul de serviciu;</w:t>
            </w:r>
          </w:p>
          <w:p>
            <w:pPr>
              <w:ind w:firstLine="0"/>
              <w:rPr>
                <w:sz w:val="24"/>
                <w:szCs w:val="24"/>
                <w:lang w:val="ro-RO"/>
              </w:rPr>
            </w:pPr>
            <w:r>
              <w:rPr>
                <w:sz w:val="24"/>
                <w:szCs w:val="24"/>
                <w:lang w:val="ro-RO"/>
              </w:rPr>
              <w:t>b) la reţelele de canalizare – căminul de racord la reţeaua publică în sensul de scurgere a apei uzate;</w:t>
            </w:r>
          </w:p>
          <w:p>
            <w:pPr>
              <w:ind w:firstLine="0"/>
              <w:rPr>
                <w:sz w:val="24"/>
                <w:szCs w:val="24"/>
                <w:lang w:val="ro-RO"/>
              </w:rPr>
            </w:pPr>
            <w:r>
              <w:rPr>
                <w:sz w:val="24"/>
                <w:szCs w:val="24"/>
                <w:lang w:val="ro-RO"/>
              </w:rPr>
              <w:t>c) la reţelele de încălzire centrală – ultimele flanşe de la a treia şi a patra vană după blocul de elevator.</w:t>
            </w:r>
          </w:p>
          <w:p>
            <w:pPr>
              <w:ind w:firstLine="0"/>
              <w:rPr>
                <w:sz w:val="24"/>
                <w:szCs w:val="24"/>
                <w:lang w:val="ro-RO"/>
              </w:rPr>
            </w:pPr>
            <w:r>
              <w:rPr>
                <w:sz w:val="24"/>
                <w:szCs w:val="24"/>
                <w:lang w:val="ro-RO"/>
              </w:rPr>
              <w:t>Conform art. 23 alin. (4) a Legii nr. 1324, proprietarii/chiriaşii locuinţelor achită serviciile comunale şi alte servicii utilizate în conformitate cu legislaţia şi cu actele normative în vigoare.</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2. Stabilirea obiectivelor</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a) Expuneți obiectivele (care trebuie să fie legate direct de problemă și cauzele acesteia, formulate cuantificat, măsurabil, fixat în timp și realist</w:t>
            </w:r>
            <w:r>
              <w:rPr>
                <w:sz w:val="24"/>
                <w:szCs w:val="24"/>
                <w:lang w:val="ro-RO"/>
              </w:rPr>
              <w:t>)</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asigurarea echității economice între toți locatarii prin excluderea plăților generale pentru consumul energiei termice în blocurile locative în cazul apartamentelor deconectate de la SCAET;</w:t>
            </w:r>
          </w:p>
          <w:p>
            <w:pPr>
              <w:ind w:firstLine="0"/>
              <w:rPr>
                <w:sz w:val="24"/>
                <w:szCs w:val="24"/>
                <w:lang w:val="ro-RO"/>
              </w:rPr>
            </w:pPr>
            <w:r>
              <w:rPr>
                <w:sz w:val="24"/>
                <w:szCs w:val="24"/>
                <w:lang w:val="ro-RO"/>
              </w:rPr>
              <w:t xml:space="preserve">-  reglementarea unui nou mecanism de calcul și repartizare a consumurilor de energie în interiorul unui bloc locativ, având în vedere  raționamentele Curții Constituționale; </w:t>
            </w:r>
          </w:p>
          <w:p>
            <w:pPr>
              <w:ind w:firstLine="0"/>
              <w:rPr>
                <w:sz w:val="24"/>
                <w:szCs w:val="24"/>
                <w:lang w:val="ro-RO"/>
              </w:rPr>
            </w:pPr>
            <w:r>
              <w:rPr>
                <w:sz w:val="24"/>
                <w:szCs w:val="24"/>
                <w:lang w:val="ro-RO"/>
              </w:rPr>
              <w:t>- stabilirea de noi măsuri care să minimizeze impactul debranșărilor atât asupra regimului hidraulic din interiorul clădirii (SCAET), cât şi asupra sistemului hidraulic al sistemului centralizat de încălzire (SACET);</w:t>
            </w:r>
          </w:p>
          <w:p>
            <w:pPr>
              <w:ind w:firstLine="0"/>
              <w:rPr>
                <w:sz w:val="24"/>
                <w:szCs w:val="24"/>
                <w:lang w:val="ro-RO"/>
              </w:rPr>
            </w:pPr>
            <w:r>
              <w:rPr>
                <w:sz w:val="24"/>
                <w:szCs w:val="24"/>
                <w:lang w:val="ro-RO"/>
              </w:rPr>
              <w:t xml:space="preserve">- aprobarea unei noi Metodologii privind repartizarea consumului de energie termică și costului aferent acestui consum între consumatorii unui bloc locativ unde sunt apartamente debranșate de la SCAET, atât în cazul sistemului de alimentare cu energie termică pe verticală, cât și pe orizontală. </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3. Identificarea opţiunilor</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a) Expuneți succint opțiunea „a nu face nimic”, care presupune lipsa de intervenție</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spacing w:before="120"/>
              <w:ind w:firstLine="0"/>
              <w:rPr>
                <w:sz w:val="24"/>
                <w:szCs w:val="24"/>
                <w:lang w:val="ro-RO"/>
              </w:rPr>
            </w:pPr>
            <w:r>
              <w:rPr>
                <w:sz w:val="24"/>
                <w:szCs w:val="24"/>
                <w:lang w:val="ro-RO"/>
              </w:rPr>
              <w:t xml:space="preserve">După cum s-a menționat, datele Studiului realizat demonstrează faptul că locatarii rămaşi conectaţi la SCAET vor achita de la 18% și până la 50 % din energia celor debranşaţi, astfel că este necesar de asigurat o </w:t>
            </w:r>
            <w:r>
              <w:rPr>
                <w:b/>
                <w:sz w:val="24"/>
                <w:szCs w:val="24"/>
                <w:lang w:val="ro-RO"/>
              </w:rPr>
              <w:t>echitate economică</w:t>
            </w:r>
            <w:r>
              <w:rPr>
                <w:sz w:val="24"/>
                <w:szCs w:val="24"/>
                <w:lang w:val="ro-RO"/>
              </w:rPr>
              <w:t xml:space="preserve"> între toţi locatarii blocului.</w:t>
            </w:r>
          </w:p>
          <w:p>
            <w:pPr>
              <w:ind w:firstLine="0"/>
              <w:rPr>
                <w:sz w:val="24"/>
                <w:szCs w:val="24"/>
                <w:lang w:val="ro-RO"/>
              </w:rPr>
            </w:pPr>
            <w:r>
              <w:rPr>
                <w:sz w:val="24"/>
                <w:szCs w:val="24"/>
                <w:lang w:val="ro-RO"/>
              </w:rPr>
              <w:t>Chiar dacă, în unele cazuri, consumatorii debranșați au izolat țevile de încălzire din interiorul apartamentelor/spațiilor, acest fapt nu exclude degajările de energie termică prin radiație.</w:t>
            </w:r>
          </w:p>
          <w:p>
            <w:pPr>
              <w:ind w:firstLine="0"/>
              <w:rPr>
                <w:sz w:val="24"/>
                <w:szCs w:val="24"/>
                <w:lang w:val="ro-RO"/>
              </w:rPr>
            </w:pPr>
            <w:r>
              <w:rPr>
                <w:sz w:val="24"/>
                <w:szCs w:val="24"/>
                <w:lang w:val="ro-RO"/>
              </w:rPr>
              <w:t xml:space="preserve">Totodată, izolarea conductelor nu exclude consumurile/degajările de energie termică pentru locurile de uz comun. </w:t>
            </w:r>
          </w:p>
          <w:p>
            <w:pPr>
              <w:ind w:firstLine="0"/>
              <w:rPr>
                <w:sz w:val="24"/>
                <w:szCs w:val="24"/>
                <w:lang w:val="ro-RO"/>
              </w:rPr>
            </w:pPr>
            <w:r>
              <w:rPr>
                <w:sz w:val="24"/>
                <w:szCs w:val="24"/>
                <w:lang w:val="ro-RO"/>
              </w:rPr>
              <w:t xml:space="preserve">Este de notat, că în cazul lipsei intervenției </w:t>
            </w:r>
            <w:r>
              <w:rPr>
                <w:sz w:val="24"/>
                <w:szCs w:val="24"/>
              </w:rPr>
              <w:t>statului</w:t>
            </w:r>
            <w:r>
              <w:rPr>
                <w:sz w:val="24"/>
                <w:szCs w:val="24"/>
                <w:lang w:val="ro-RO"/>
              </w:rPr>
              <w:t>, se vor majora nejustificat facturile pentru consumatorii rămași conectați la sistemul centralizat de încălzire, care de regulă, sunt persoane social vulnerabile, iar povara plăților o vor suporta anume această categorie de consumatori.</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b) Expuneți</w:t>
            </w:r>
            <w:r>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stabilirea unui nou mecanism de calcul și repartizare a consumurilor de energie în interiorul unui bloc locativ, având în vedere raționamentele Curții Constituționale, și luând în considerație aspectele particulare, v-a asigura o echitate economică între toţi locatarii blocului;</w:t>
            </w:r>
          </w:p>
          <w:p>
            <w:pPr>
              <w:ind w:firstLine="0"/>
              <w:rPr>
                <w:sz w:val="24"/>
                <w:szCs w:val="24"/>
                <w:lang w:val="ro-RO"/>
              </w:rPr>
            </w:pPr>
            <w:r>
              <w:rPr>
                <w:sz w:val="24"/>
                <w:szCs w:val="24"/>
                <w:lang w:val="ro-RO"/>
              </w:rPr>
              <w:t>- interzicerea debranșărilor/demontărilor coloanelor de la SCAET și izolarea acestora, v-a permite evitarea modificării distribuţiei uniforme a agentului termic și neadmiterea supraîncălzirii unor apartamente şi încălzirea insuficientă a altora. Astfel, trasarea de noi măsuri are ca scop minimizarea impactului debranșărilor atât asupra regimului hidraulic din interiorul clădirii (SCAET), cât şi asupra sistemului hidraulic al SACET;</w:t>
            </w:r>
          </w:p>
          <w:p>
            <w:pPr>
              <w:ind w:firstLine="0"/>
              <w:rPr>
                <w:color w:val="000000"/>
                <w:sz w:val="24"/>
                <w:szCs w:val="24"/>
                <w:lang w:val="ro-RO"/>
              </w:rPr>
            </w:pPr>
            <w:r>
              <w:rPr>
                <w:sz w:val="24"/>
                <w:szCs w:val="24"/>
                <w:lang w:val="ro-RO"/>
              </w:rPr>
              <w:t xml:space="preserve">- acordarea dreptului furnizorilor să efectueze schimb de informație cu privire la tipul și volumul de resurse energetice utilizate de către consumatori, în vederea constatării cazurilor când </w:t>
            </w:r>
            <w:r>
              <w:rPr>
                <w:color w:val="000000"/>
                <w:sz w:val="24"/>
                <w:szCs w:val="24"/>
                <w:lang w:val="ro-RO"/>
              </w:rPr>
              <w:t>consumatorul debranșat nu respectă obligația prescrisă privind menținerea temperaturii aerului de cel puţin +18</w:t>
            </w:r>
            <w:r>
              <w:rPr>
                <w:color w:val="000000"/>
                <w:sz w:val="24"/>
                <w:szCs w:val="24"/>
                <w:vertAlign w:val="superscript"/>
                <w:lang w:val="ro-RO"/>
              </w:rPr>
              <w:t>0</w:t>
            </w:r>
            <w:r>
              <w:rPr>
                <w:color w:val="000000"/>
                <w:sz w:val="24"/>
                <w:szCs w:val="24"/>
                <w:lang w:val="ro-RO"/>
              </w:rPr>
              <w:t>C în perioada sezonului de încălzire;</w:t>
            </w:r>
          </w:p>
          <w:p>
            <w:pPr>
              <w:ind w:firstLine="0"/>
              <w:rPr>
                <w:sz w:val="24"/>
                <w:szCs w:val="24"/>
                <w:lang w:val="ro-RO"/>
              </w:rPr>
            </w:pPr>
            <w:r>
              <w:rPr>
                <w:color w:val="000000"/>
                <w:sz w:val="24"/>
                <w:szCs w:val="24"/>
                <w:lang w:val="ro-RO"/>
              </w:rPr>
              <w:t>- determinarea cantității de energie necesară pentru a menţine temperatura de +180C conform Metodologiei, cu efectuarea recalculului pentru ceilalți consumatori din cadrul blocului locativ, pentru perioada anterioară de facturare</w:t>
            </w:r>
            <w:r>
              <w:rPr>
                <w:sz w:val="24"/>
                <w:szCs w:val="24"/>
                <w:lang w:val="ro-RO"/>
              </w:rPr>
              <w:t>;</w:t>
            </w:r>
          </w:p>
          <w:p>
            <w:pPr>
              <w:ind w:firstLine="0"/>
              <w:rPr>
                <w:sz w:val="24"/>
                <w:szCs w:val="24"/>
                <w:lang w:val="ro-RO"/>
              </w:rPr>
            </w:pPr>
            <w:r>
              <w:rPr>
                <w:sz w:val="24"/>
                <w:szCs w:val="24"/>
                <w:lang w:val="ro-RO"/>
              </w:rPr>
              <w:t xml:space="preserve">- reglementarea modului de repartizare a consumului de energie termică atât în cazul sistemului de alimentare cu energie termică pe verticală, cât și pe orizontală.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 Expuneți opțiunile alternative analizate sau explicați motivul de ce acestea nu au fost luate în considerare</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rPr>
              <w:t>Î</w:t>
            </w:r>
            <w:r>
              <w:rPr>
                <w:sz w:val="24"/>
                <w:szCs w:val="24"/>
                <w:lang w:val="ro-RO"/>
              </w:rPr>
              <w:t>nlocuirea sistem</w:t>
            </w:r>
            <w:r>
              <w:rPr>
                <w:sz w:val="24"/>
                <w:szCs w:val="24"/>
              </w:rPr>
              <w:t>ului</w:t>
            </w:r>
            <w:r>
              <w:rPr>
                <w:sz w:val="24"/>
                <w:szCs w:val="24"/>
                <w:lang w:val="ro-RO"/>
              </w:rPr>
              <w:t xml:space="preserve"> de distribuție </w:t>
            </w:r>
            <w:r>
              <w:rPr>
                <w:sz w:val="24"/>
                <w:szCs w:val="24"/>
              </w:rPr>
              <w:t xml:space="preserve">de </w:t>
            </w:r>
            <w:r>
              <w:rPr>
                <w:sz w:val="24"/>
                <w:szCs w:val="24"/>
                <w:lang w:val="ro-RO"/>
              </w:rPr>
              <w:t xml:space="preserve">pe verticală </w:t>
            </w:r>
            <w:r>
              <w:rPr>
                <w:sz w:val="24"/>
                <w:szCs w:val="24"/>
              </w:rPr>
              <w:t xml:space="preserve">pe </w:t>
            </w:r>
            <w:r>
              <w:rPr>
                <w:sz w:val="24"/>
                <w:szCs w:val="24"/>
                <w:lang w:val="ro-RO"/>
              </w:rPr>
              <w:t xml:space="preserve">orizontală, </w:t>
            </w:r>
            <w:r>
              <w:rPr>
                <w:sz w:val="24"/>
                <w:szCs w:val="24"/>
              </w:rPr>
              <w:t xml:space="preserve">se identifică ca o opțiune alternativă, însă </w:t>
            </w:r>
            <w:r>
              <w:rPr>
                <w:sz w:val="24"/>
                <w:szCs w:val="24"/>
                <w:lang w:val="ro-RO"/>
              </w:rPr>
              <w:t xml:space="preserve">având </w:t>
            </w:r>
            <w:r>
              <w:rPr>
                <w:sz w:val="24"/>
                <w:szCs w:val="24"/>
              </w:rPr>
              <w:t>în vedere im</w:t>
            </w:r>
            <w:r>
              <w:rPr>
                <w:sz w:val="24"/>
                <w:szCs w:val="24"/>
                <w:lang w:val="ro-RO"/>
              </w:rPr>
              <w:t>posibilitatea implementării</w:t>
            </w:r>
            <w:r>
              <w:rPr>
                <w:sz w:val="24"/>
                <w:szCs w:val="24"/>
              </w:rPr>
              <w:t xml:space="preserve"> acesteia într-un </w:t>
            </w:r>
            <w:r>
              <w:rPr>
                <w:sz w:val="24"/>
                <w:szCs w:val="24"/>
                <w:lang w:val="ro-RO"/>
              </w:rPr>
              <w:t>termen sc</w:t>
            </w:r>
            <w:r>
              <w:rPr>
                <w:sz w:val="24"/>
                <w:szCs w:val="24"/>
              </w:rPr>
              <w:t>u</w:t>
            </w:r>
            <w:r>
              <w:rPr>
                <w:sz w:val="24"/>
                <w:szCs w:val="24"/>
                <w:lang w:val="ro-RO"/>
              </w:rPr>
              <w:t>rt</w:t>
            </w:r>
            <w:r>
              <w:rPr>
                <w:sz w:val="24"/>
                <w:szCs w:val="24"/>
              </w:rPr>
              <w:t xml:space="preserve">, opțiunea examinată </w:t>
            </w:r>
            <w:r>
              <w:rPr>
                <w:sz w:val="24"/>
                <w:szCs w:val="24"/>
                <w:lang w:val="ro-RO"/>
              </w:rPr>
              <w:t>nu poate fi luată în considerație.</w:t>
            </w:r>
          </w:p>
          <w:p>
            <w:pPr>
              <w:ind w:firstLine="0"/>
              <w:rPr>
                <w:sz w:val="24"/>
                <w:szCs w:val="24"/>
                <w:lang w:val="ro-RO"/>
              </w:rPr>
            </w:pPr>
            <w:r>
              <w:rPr>
                <w:sz w:val="24"/>
                <w:szCs w:val="24"/>
                <w:lang w:val="ro-RO"/>
              </w:rPr>
              <w:t xml:space="preserve">De notat, că punctul de delimitare la reţelele de încălzire centralizată îl constituie ultimele flanşe de la a treia şi a patra vană după nodul de elevator, respectiv, energia termică furnizată în interiorul blocului se distribuie spaţiului încălzit, etajului tehnic, casei scării sau coridorului comun pentru cămine și subsolului. </w:t>
            </w:r>
          </w:p>
          <w:p>
            <w:pPr>
              <w:ind w:firstLine="0"/>
              <w:rPr>
                <w:sz w:val="24"/>
                <w:szCs w:val="24"/>
                <w:lang w:val="ro-RO"/>
              </w:rPr>
            </w:pPr>
            <w:r>
              <w:rPr>
                <w:sz w:val="24"/>
                <w:szCs w:val="24"/>
              </w:rPr>
              <w:t>Deoarece</w:t>
            </w:r>
            <w:r>
              <w:rPr>
                <w:sz w:val="24"/>
                <w:szCs w:val="24"/>
                <w:lang w:val="ro-RO"/>
              </w:rPr>
              <w:t xml:space="preserve">, </w:t>
            </w:r>
            <w:r>
              <w:rPr>
                <w:sz w:val="24"/>
                <w:szCs w:val="24"/>
              </w:rPr>
              <w:t xml:space="preserve">sistemul de distribuție a energiei termice pe verticală în interiorul blocului nu permite </w:t>
            </w:r>
            <w:r>
              <w:rPr>
                <w:sz w:val="24"/>
                <w:szCs w:val="24"/>
                <w:lang w:val="ro-RO"/>
              </w:rPr>
              <w:t>contorizarea și determinarea separată a energiei termice pentru locurile de uz comun unde echipamentul de măsurare a energiei termice este instalat la nivel de bloc locativ</w:t>
            </w:r>
            <w:r>
              <w:rPr>
                <w:sz w:val="24"/>
                <w:szCs w:val="24"/>
              </w:rPr>
              <w:t xml:space="preserve">, în scopul </w:t>
            </w:r>
            <w:r>
              <w:rPr>
                <w:sz w:val="24"/>
                <w:szCs w:val="24"/>
                <w:lang w:val="ro-RO"/>
              </w:rPr>
              <w:t>asigur</w:t>
            </w:r>
            <w:r>
              <w:rPr>
                <w:sz w:val="24"/>
                <w:szCs w:val="24"/>
              </w:rPr>
              <w:t xml:space="preserve">ării </w:t>
            </w:r>
            <w:r>
              <w:rPr>
                <w:sz w:val="24"/>
                <w:szCs w:val="24"/>
                <w:lang w:val="ro-RO"/>
              </w:rPr>
              <w:t>echității economice între toți locatarii</w:t>
            </w:r>
            <w:r>
              <w:rPr>
                <w:sz w:val="24"/>
                <w:szCs w:val="24"/>
              </w:rPr>
              <w:t xml:space="preserve">, este necesar ca </w:t>
            </w:r>
            <w:r>
              <w:rPr>
                <w:sz w:val="24"/>
                <w:szCs w:val="24"/>
                <w:lang w:val="ro-RO"/>
              </w:rPr>
              <w:t xml:space="preserve">energia termică care revine locurilor de uz comun (etaj tehnic, casa scării, subsol) să fie acoperită proporţional de </w:t>
            </w:r>
            <w:r>
              <w:rPr>
                <w:sz w:val="24"/>
                <w:szCs w:val="24"/>
              </w:rPr>
              <w:t xml:space="preserve">cei care locuiesc în cadrul blocului locativ. </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4. Analiza impacturilor opţiunilor</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 Expuneți efectele negative şi pozitive ale stării actuale și evoluția acestora în viitor, care vor sta la baza calculării impacturilor opțiunii recomandate</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i/>
                <w:iCs/>
                <w:sz w:val="24"/>
                <w:szCs w:val="24"/>
                <w:lang w:val="ro-RO"/>
              </w:rPr>
            </w:pPr>
            <w:r>
              <w:rPr>
                <w:b/>
                <w:bCs/>
                <w:i/>
                <w:iCs/>
                <w:sz w:val="24"/>
                <w:szCs w:val="24"/>
                <w:lang w:val="ro-RO"/>
              </w:rPr>
              <w:t>Efectele negative:</w:t>
            </w:r>
            <w:r>
              <w:rPr>
                <w:i/>
                <w:iCs/>
                <w:sz w:val="24"/>
                <w:szCs w:val="24"/>
                <w:lang w:val="ro-RO"/>
              </w:rPr>
              <w:t xml:space="preserve"> </w:t>
            </w:r>
          </w:p>
          <w:p>
            <w:pPr>
              <w:ind w:firstLine="0"/>
              <w:rPr>
                <w:sz w:val="24"/>
                <w:szCs w:val="24"/>
                <w:lang w:val="ro-RO"/>
              </w:rPr>
            </w:pPr>
            <w:r>
              <w:rPr>
                <w:sz w:val="24"/>
                <w:szCs w:val="24"/>
                <w:lang w:val="ro-RO"/>
              </w:rPr>
              <w:t xml:space="preserve">- creșterea semnificativă și nejustificată a cheltuielilor pentru consumatorii rămaşi conectați la SCAET, care preponderent reprezintă categoria persoanelor cu capacitate de plată mai redusă; </w:t>
            </w:r>
          </w:p>
          <w:p>
            <w:pPr>
              <w:ind w:firstLine="0"/>
              <w:rPr>
                <w:sz w:val="24"/>
                <w:szCs w:val="24"/>
                <w:lang w:val="ro-RO"/>
              </w:rPr>
            </w:pPr>
            <w:r>
              <w:rPr>
                <w:sz w:val="24"/>
                <w:szCs w:val="24"/>
                <w:lang w:val="ro-RO"/>
              </w:rPr>
              <w:t>- dereglarea distribuţiei uniforme a agentului termic;</w:t>
            </w:r>
          </w:p>
          <w:p>
            <w:pPr>
              <w:ind w:firstLine="0"/>
              <w:rPr>
                <w:sz w:val="24"/>
                <w:szCs w:val="24"/>
                <w:lang w:val="ro-RO"/>
              </w:rPr>
            </w:pPr>
            <w:r>
              <w:rPr>
                <w:sz w:val="24"/>
                <w:szCs w:val="24"/>
                <w:lang w:val="ro-RO"/>
              </w:rPr>
              <w:t xml:space="preserve">- supraîncălzirea unor apartamente şi încălzirea insuficientă a altora; </w:t>
            </w:r>
          </w:p>
          <w:p>
            <w:pPr>
              <w:ind w:firstLine="0"/>
              <w:rPr>
                <w:sz w:val="24"/>
                <w:szCs w:val="24"/>
                <w:lang w:val="ro-RO"/>
              </w:rPr>
            </w:pPr>
            <w:r>
              <w:rPr>
                <w:sz w:val="24"/>
                <w:szCs w:val="24"/>
                <w:lang w:val="ro-RO"/>
              </w:rPr>
              <w:t xml:space="preserve">- impact </w:t>
            </w:r>
            <w:r>
              <w:rPr>
                <w:sz w:val="24"/>
                <w:szCs w:val="24"/>
              </w:rPr>
              <w:t xml:space="preserve">semnificativ </w:t>
            </w:r>
            <w:r>
              <w:rPr>
                <w:sz w:val="24"/>
                <w:szCs w:val="24"/>
                <w:lang w:val="ro-RO"/>
              </w:rPr>
              <w:t>asupra regimului hidraulic atât din interiorul clădirii (SCAET), cât şi asupra sistemului hidraulic al SACET.</w:t>
            </w:r>
          </w:p>
          <w:p>
            <w:pPr>
              <w:ind w:firstLine="0"/>
              <w:jc w:val="left"/>
              <w:rPr>
                <w:sz w:val="24"/>
                <w:szCs w:val="24"/>
                <w:lang w:val="ro-RO"/>
              </w:rPr>
            </w:pPr>
            <w:r>
              <w:rPr>
                <w:sz w:val="24"/>
                <w:szCs w:val="24"/>
                <w:lang w:val="ro-RO"/>
              </w:rPr>
              <w:t xml:space="preserve">Având în vedere datele Studiului, nu pot fi identificate careva </w:t>
            </w:r>
            <w:r>
              <w:rPr>
                <w:i/>
                <w:iCs/>
                <w:sz w:val="24"/>
                <w:szCs w:val="24"/>
                <w:lang w:val="ro-RO"/>
              </w:rPr>
              <w:t>efecte pozitive.</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b</w:t>
            </w:r>
            <w:r>
              <w:rPr>
                <w:bCs/>
                <w:sz w:val="24"/>
                <w:szCs w:val="24"/>
                <w:vertAlign w:val="superscript"/>
                <w:lang w:val="ro-RO"/>
              </w:rPr>
              <w:t>1</w:t>
            </w:r>
            <w:r>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xml:space="preserve">Prin modificarea Hotărârii Guvernului nr. 191 din 19 februarie 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 și aprobarea unei noi Metodologii de repartizare a consumurilor de energie termică și a costurilor, se urmărește scopul principal de a asigura o echitate economică între toți locatarii unui bloc locativ prin excluderea a orice realocări nejustificate de căldură dintre consumatorii unei clădiri rezidenţiale. </w:t>
            </w:r>
          </w:p>
          <w:p>
            <w:pPr>
              <w:ind w:firstLine="0"/>
              <w:rPr>
                <w:sz w:val="24"/>
                <w:szCs w:val="24"/>
                <w:lang w:val="ro-RO"/>
              </w:rPr>
            </w:pPr>
            <w:r>
              <w:rPr>
                <w:sz w:val="24"/>
                <w:szCs w:val="24"/>
                <w:lang w:val="ro-RO"/>
              </w:rPr>
              <w:t xml:space="preserve">Odată cu modificarea modalității de distribuție și calcul a consumului de energie termică, toţi locatarii vor participa proporţional la acoperirea consumurilor de energie directe şi indirecte, întrucât o clădire rezidenţială multietajată reprezintă un obiect, în care există mai multe fluxuri de căldură cu temperaturi diferite.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b</w:t>
            </w:r>
            <w:r>
              <w:rPr>
                <w:bCs/>
                <w:sz w:val="24"/>
                <w:szCs w:val="24"/>
                <w:vertAlign w:val="superscript"/>
                <w:lang w:val="ro-RO"/>
              </w:rPr>
              <w:t>2</w:t>
            </w:r>
            <w:r>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xml:space="preserve">- </w:t>
            </w:r>
          </w:p>
          <w:p>
            <w:pPr>
              <w:ind w:firstLine="0"/>
              <w:jc w:val="left"/>
              <w:rPr>
                <w:sz w:val="24"/>
                <w:szCs w:val="24"/>
                <w:lang w:val="ro-RO"/>
              </w:rPr>
            </w:pPr>
          </w:p>
          <w:p>
            <w:pPr>
              <w:ind w:firstLine="0"/>
              <w:jc w:val="left"/>
              <w:rPr>
                <w:sz w:val="24"/>
                <w:szCs w:val="24"/>
                <w:lang w:val="ro-RO"/>
              </w:rPr>
            </w:pP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xml:space="preserve">- </w:t>
            </w:r>
          </w:p>
          <w:p>
            <w:pPr>
              <w:ind w:firstLine="0"/>
              <w:jc w:val="left"/>
              <w:rPr>
                <w:sz w:val="24"/>
                <w:szCs w:val="24"/>
                <w:lang w:val="ro-RO"/>
              </w:rPr>
            </w:pPr>
          </w:p>
          <w:p>
            <w:pPr>
              <w:ind w:firstLine="0"/>
              <w:jc w:val="left"/>
              <w:rPr>
                <w:sz w:val="24"/>
                <w:szCs w:val="24"/>
                <w:lang w:val="ro-RO"/>
              </w:rPr>
            </w:pP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 xml:space="preserve">-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bCs/>
                <w:sz w:val="24"/>
                <w:szCs w:val="24"/>
                <w:u w:val="single"/>
                <w:lang w:val="ro-RO"/>
              </w:rPr>
            </w:pPr>
            <w:r>
              <w:rPr>
                <w:b/>
                <w:bCs/>
                <w:sz w:val="24"/>
                <w:szCs w:val="24"/>
                <w:u w:val="single"/>
                <w:lang w:val="ro-RO"/>
              </w:rPr>
              <w:t>Concluzie</w:t>
            </w:r>
          </w:p>
          <w:p>
            <w:pPr>
              <w:ind w:firstLine="0"/>
              <w:jc w:val="left"/>
              <w:rPr>
                <w:bCs/>
                <w:sz w:val="24"/>
                <w:szCs w:val="24"/>
                <w:lang w:val="ro-RO"/>
              </w:rPr>
            </w:pPr>
            <w:r>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În scopul asigurării echității economice între toţi locatarii blocului, unica soluție este repartizarea echitabilă a consumurilor de energie termică și a costurilor conform Metodologiei elaborate (</w:t>
            </w:r>
            <w:r>
              <w:rPr>
                <w:i/>
                <w:iCs/>
                <w:sz w:val="24"/>
                <w:szCs w:val="24"/>
                <w:lang w:val="ro-RO"/>
              </w:rPr>
              <w:t>Anexa nr. 3 la Regulamentul cu privire la modul de prestare şi achitare a serviciilor locative, comunale şi necomunale pentru fondul locativ, contorizarea apartamentelor şi condiţiile deconectării acestora de la/reconectării la sistemele de încălzire şi alimentare cu apă</w:t>
            </w:r>
            <w:r>
              <w:rPr>
                <w:sz w:val="24"/>
                <w:szCs w:val="24"/>
                <w:lang w:val="ro-RO"/>
              </w:rPr>
              <w:t>) cu respectarea măsurilor de eficientizare a funcţionării sistemelor de alimentare centralizată cu energie termică:</w:t>
            </w:r>
          </w:p>
          <w:p>
            <w:pPr>
              <w:ind w:firstLine="0"/>
              <w:rPr>
                <w:sz w:val="24"/>
                <w:szCs w:val="24"/>
                <w:lang w:val="ro-RO"/>
              </w:rPr>
            </w:pPr>
            <w:r>
              <w:rPr>
                <w:sz w:val="24"/>
                <w:szCs w:val="24"/>
                <w:lang w:val="ro-RO"/>
              </w:rPr>
              <w:t>- interzicerea debranșărilor /demontării coloanelor de la sistemul colectiv de alimentare cu energie termică și izolarea acestora;</w:t>
            </w:r>
          </w:p>
          <w:p>
            <w:pPr>
              <w:ind w:firstLine="0"/>
              <w:rPr>
                <w:sz w:val="24"/>
                <w:szCs w:val="24"/>
                <w:lang w:val="ro-RO"/>
              </w:rPr>
            </w:pPr>
            <w:r>
              <w:rPr>
                <w:sz w:val="24"/>
                <w:szCs w:val="24"/>
                <w:lang w:val="ro-RO"/>
              </w:rPr>
              <w:t xml:space="preserve"> - acordarea dreptului furnizorului/gestionarului sau altor persoanelor juridice (fizice) autorizate să determine la consumatorii debranșați cantitatea de energie necesară pentru menţinerea temperaturii de +18</w:t>
            </w:r>
            <w:r>
              <w:rPr>
                <w:sz w:val="24"/>
                <w:szCs w:val="24"/>
                <w:vertAlign w:val="superscript"/>
                <w:lang w:val="ro-RO"/>
              </w:rPr>
              <w:t>0</w:t>
            </w:r>
            <w:r>
              <w:rPr>
                <w:sz w:val="24"/>
                <w:szCs w:val="24"/>
                <w:lang w:val="ro-RO"/>
              </w:rPr>
              <w:t>C conform Metodologiei elaborate;</w:t>
            </w:r>
          </w:p>
          <w:p>
            <w:pPr>
              <w:ind w:firstLine="0"/>
              <w:rPr>
                <w:sz w:val="24"/>
                <w:szCs w:val="24"/>
                <w:lang w:val="ro-RO"/>
              </w:rPr>
            </w:pPr>
            <w:r>
              <w:rPr>
                <w:sz w:val="24"/>
                <w:szCs w:val="24"/>
                <w:lang w:val="ro-RO"/>
              </w:rPr>
              <w:t xml:space="preserve">- recalcularea consumului pentru ceilalți consumatori din cadrul blocului locativ, în cazul când consumatorul debranșat nu asigură </w:t>
            </w:r>
            <w:r>
              <w:rPr>
                <w:color w:val="000000"/>
                <w:sz w:val="24"/>
                <w:szCs w:val="24"/>
                <w:lang w:val="ro-RO"/>
              </w:rPr>
              <w:t>menținerea temperaturii aerului de cel puţin +18</w:t>
            </w:r>
            <w:r>
              <w:rPr>
                <w:color w:val="000000"/>
                <w:sz w:val="24"/>
                <w:szCs w:val="24"/>
                <w:vertAlign w:val="superscript"/>
                <w:lang w:val="ro-RO"/>
              </w:rPr>
              <w:t>0</w:t>
            </w:r>
            <w:r>
              <w:rPr>
                <w:color w:val="000000"/>
                <w:sz w:val="24"/>
                <w:szCs w:val="24"/>
                <w:lang w:val="ro-RO"/>
              </w:rPr>
              <w:t xml:space="preserve">C în perioada sezonului de încălzire. </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5. Implementarea şi monitorizarea</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xml:space="preserve">În vederea aplicării corecte a modului de repartizare a consumului de energie termică în clădirile rezidenţiale în care există apartamente debranşate, furnizorii de energie termică vor acorda asistență tehnică gestionarilor fondului locativ, la solicitarea acestora, după caz. </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b) Indicați clar indicatorii de performanță în baza cărora se va efectua monitorizarea</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tabs>
                <w:tab w:val="left" w:pos="1134"/>
              </w:tabs>
              <w:ind w:firstLine="0"/>
              <w:rPr>
                <w:sz w:val="24"/>
                <w:szCs w:val="24"/>
                <w:lang w:val="ro-RO"/>
              </w:rPr>
            </w:pPr>
            <w:r>
              <w:rPr>
                <w:bCs/>
                <w:sz w:val="24"/>
                <w:szCs w:val="24"/>
                <w:lang w:val="ro-RO"/>
              </w:rPr>
              <w:t xml:space="preserve"> - aprobarea </w:t>
            </w:r>
            <w:r>
              <w:rPr>
                <w:sz w:val="24"/>
                <w:szCs w:val="24"/>
                <w:lang w:val="ro-RO"/>
              </w:rPr>
              <w:t>Hotărârii de Guvern pentru modificarea Hotărîrii Guvernului nr. 191 din 19 februarie 2002 despre aprobarea Regulamentului cu privire la modul de prestare şi achitare a serviciilor locative, comunale şi necomunale pentru fondul locativ, contorizarea apartamentelor şi condiţiile deconectării acestora de la/reconectării la sistemele de încălzire şi alimentare cu apă;</w:t>
            </w:r>
          </w:p>
          <w:p>
            <w:pPr>
              <w:tabs>
                <w:tab w:val="left" w:pos="1134"/>
              </w:tabs>
              <w:ind w:firstLine="0"/>
              <w:rPr>
                <w:sz w:val="24"/>
                <w:szCs w:val="24"/>
                <w:lang w:val="ro-RO"/>
              </w:rPr>
            </w:pPr>
            <w:r>
              <w:rPr>
                <w:sz w:val="24"/>
                <w:szCs w:val="24"/>
                <w:lang w:val="ro-RO"/>
              </w:rPr>
              <w:t>- calcularea de către gestionar/furnizor sau de alte persoane juridice (fizice) autorizate a consumurilor directe și indirecte de energie termică conform Metodologiei privind repartizarea consumului de energie termică și costului aferent acestui consum între consumatorii unui bloc locativ conectați la sistemul colectiv de alimentare cu energie termică.</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sz w:val="24"/>
                <w:szCs w:val="24"/>
                <w:lang w:val="ro-RO"/>
              </w:rPr>
            </w:pPr>
            <w:r>
              <w:rPr>
                <w:sz w:val="24"/>
                <w:szCs w:val="24"/>
                <w:lang w:val="ro-RO"/>
              </w:rPr>
              <w:t xml:space="preserve">Prevederile actului normativ se vor aplica imediat de către gestionari/furnizori sau de alte persoane juridice (fizice) autorizate. </w:t>
            </w:r>
          </w:p>
          <w:p>
            <w:pPr>
              <w:ind w:firstLine="0"/>
              <w:rPr>
                <w:sz w:val="24"/>
                <w:szCs w:val="24"/>
                <w:lang w:val="ro-RO"/>
              </w:rPr>
            </w:pPr>
            <w:r>
              <w:rPr>
                <w:sz w:val="24"/>
                <w:szCs w:val="24"/>
              </w:rPr>
              <w:t>La necesitate, e</w:t>
            </w:r>
            <w:r>
              <w:rPr>
                <w:sz w:val="24"/>
                <w:szCs w:val="24"/>
                <w:lang w:val="ro-RO"/>
              </w:rPr>
              <w:t>valuarea performanței actului normativ propus</w:t>
            </w:r>
            <w:r>
              <w:rPr>
                <w:sz w:val="24"/>
                <w:szCs w:val="24"/>
              </w:rPr>
              <w:t xml:space="preserve">, poate fi efectuată numai </w:t>
            </w:r>
            <w:r>
              <w:rPr>
                <w:sz w:val="24"/>
                <w:szCs w:val="24"/>
                <w:lang w:val="ro-RO"/>
              </w:rPr>
              <w:t xml:space="preserve">la sfârșitul sezonului de încălzire 2022-2023. </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
                <w:bCs/>
                <w:sz w:val="24"/>
                <w:szCs w:val="24"/>
                <w:lang w:val="ro-RO"/>
              </w:rPr>
              <w:t>6. Consultarea</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sz w:val="24"/>
                <w:szCs w:val="24"/>
                <w:lang w:val="ro-RO"/>
              </w:rPr>
              <w:t>a) Identificați principalele părţi (grupuri) interesate în intervenţia propusă</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Cancelaria de Stat;</w:t>
            </w:r>
          </w:p>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xml:space="preserve">- Agenția Națională de Reglementare în Energetică; </w:t>
            </w:r>
          </w:p>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Centrul Național Anticorupție;</w:t>
            </w:r>
          </w:p>
          <w:p>
            <w:pPr>
              <w:ind w:firstLine="0"/>
              <w:rPr>
                <w:color w:val="000000" w:themeColor="text1"/>
                <w:sz w:val="24"/>
                <w:szCs w:val="24"/>
                <w:lang w:val="ro-RO"/>
                <w14:textFill>
                  <w14:solidFill>
                    <w14:schemeClr w14:val="tx1"/>
                  </w14:solidFill>
                </w14:textFill>
              </w:rPr>
            </w:pPr>
            <w:r>
              <w:rPr>
                <w:color w:val="000000" w:themeColor="text1"/>
                <w:sz w:val="24"/>
                <w:szCs w:val="24"/>
                <w:lang w:val="ro-RO" w:bidi="th-TH"/>
                <w14:textFill>
                  <w14:solidFill>
                    <w14:schemeClr w14:val="tx1"/>
                  </w14:solidFill>
                </w14:textFill>
              </w:rPr>
              <w:t xml:space="preserve">- </w:t>
            </w:r>
            <w:r>
              <w:rPr>
                <w:color w:val="000000" w:themeColor="text1"/>
                <w:sz w:val="24"/>
                <w:szCs w:val="24"/>
                <w:lang w:val="ro-RO"/>
                <w14:textFill>
                  <w14:solidFill>
                    <w14:schemeClr w14:val="tx1"/>
                  </w14:solidFill>
                </w14:textFill>
              </w:rPr>
              <w:t>Ministerul Justiției;</w:t>
            </w:r>
          </w:p>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Agenția pentru Eficiență Energetică;</w:t>
            </w:r>
          </w:p>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xml:space="preserve">- Agenția Proprietății Publice; </w:t>
            </w:r>
          </w:p>
          <w:p>
            <w:pPr>
              <w:ind w:firstLine="0"/>
              <w:jc w:val="left"/>
              <w:rPr>
                <w:color w:val="000000" w:themeColor="text1"/>
                <w:sz w:val="24"/>
                <w:szCs w:val="24"/>
                <w:lang w:val="ro-RO" w:bidi="th-TH"/>
                <w14:textFill>
                  <w14:solidFill>
                    <w14:schemeClr w14:val="tx1"/>
                  </w14:solidFill>
                </w14:textFill>
              </w:rPr>
            </w:pPr>
            <w:r>
              <w:rPr>
                <w:color w:val="000000" w:themeColor="text1"/>
                <w:sz w:val="24"/>
                <w:szCs w:val="24"/>
                <w:lang w:val="ro-RO" w:bidi="th-TH"/>
                <w14:textFill>
                  <w14:solidFill>
                    <w14:schemeClr w14:val="tx1"/>
                  </w14:solidFill>
                </w14:textFill>
              </w:rPr>
              <w:t>- Furnizorii de energie termică;</w:t>
            </w:r>
          </w:p>
          <w:p>
            <w:pPr>
              <w:ind w:firstLine="0"/>
              <w:jc w:val="left"/>
              <w:rPr>
                <w:sz w:val="24"/>
                <w:szCs w:val="24"/>
                <w:lang w:val="ro-RO"/>
              </w:rPr>
            </w:pPr>
            <w:r>
              <w:rPr>
                <w:color w:val="000000" w:themeColor="text1"/>
                <w:sz w:val="24"/>
                <w:szCs w:val="24"/>
                <w:lang w:val="ro-RO" w:bidi="th-TH"/>
                <w14:textFill>
                  <w14:solidFill>
                    <w14:schemeClr w14:val="tx1"/>
                  </w14:solidFill>
                </w14:textFill>
              </w:rPr>
              <w:t xml:space="preserve">- </w:t>
            </w:r>
            <w:r>
              <w:rPr>
                <w:color w:val="000000" w:themeColor="text1"/>
                <w:sz w:val="24"/>
                <w:szCs w:val="24"/>
                <w:lang w:val="ro-RO"/>
                <w14:textFill>
                  <w14:solidFill>
                    <w14:schemeClr w14:val="tx1"/>
                  </w14:solidFill>
                </w14:textFill>
              </w:rPr>
              <w:t>Unitatea Consolidată pentru Implementarea și Monitorizarea Proiectelor în Domeniul Energeticii.</w:t>
            </w: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b) Explicați succint cum (prin ce metode) s-a asigurat consultarea adecvată a părţilor</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Proiectul de hotărâre va fi expediat pentru avizare autorităților sus-indicate.</w:t>
            </w:r>
          </w:p>
          <w:p>
            <w:pPr>
              <w:ind w:firstLine="0"/>
              <w:rPr>
                <w:color w:val="000000" w:themeColor="text1"/>
                <w:sz w:val="24"/>
                <w:szCs w:val="24"/>
                <w:lang w:val="ro-RO"/>
                <w14:textFill>
                  <w14:solidFill>
                    <w14:schemeClr w14:val="tx1"/>
                  </w14:solidFill>
                </w14:textFill>
              </w:rPr>
            </w:pPr>
            <w:r>
              <w:rPr>
                <w:color w:val="000000" w:themeColor="text1"/>
                <w:sz w:val="24"/>
                <w:szCs w:val="24"/>
                <w:lang w:val="ro-RO"/>
                <w14:textFill>
                  <w14:solidFill>
                    <w14:schemeClr w14:val="tx1"/>
                  </w14:solidFill>
                </w14:textFill>
              </w:rPr>
              <w:t xml:space="preserve">Totodată, în vederea respectării Legii nr. 239/2008 privind transparența în procesul decizional, anunțul referitor la inițierea elaborării proiectului actului normativ </w:t>
            </w:r>
            <w:r>
              <w:rPr>
                <w:color w:val="000000" w:themeColor="text1"/>
                <w:sz w:val="24"/>
                <w:szCs w:val="24"/>
                <w14:textFill>
                  <w14:solidFill>
                    <w14:schemeClr w14:val="tx1"/>
                  </w14:solidFill>
                </w14:textFill>
              </w:rPr>
              <w:t xml:space="preserve">se v-a </w:t>
            </w:r>
            <w:r>
              <w:rPr>
                <w:color w:val="000000" w:themeColor="text1"/>
                <w:sz w:val="24"/>
                <w:szCs w:val="24"/>
                <w:lang w:val="ro-RO"/>
                <w14:textFill>
                  <w14:solidFill>
                    <w14:schemeClr w14:val="tx1"/>
                  </w14:solidFill>
                </w14:textFill>
              </w:rPr>
              <w:t xml:space="preserve">plasa pe pagina web oficială a </w:t>
            </w:r>
            <w:r>
              <w:rPr>
                <w:sz w:val="24"/>
                <w:szCs w:val="24"/>
                <w:lang w:val="ro-RO"/>
              </w:rPr>
              <w:t>Ministerului Infrastructurii și Dezvoltării Regionale, l</w:t>
            </w:r>
            <w:r>
              <w:rPr>
                <w:color w:val="000000" w:themeColor="text1"/>
                <w:sz w:val="24"/>
                <w:szCs w:val="24"/>
                <w:lang w:val="ro-RO"/>
                <w14:textFill>
                  <w14:solidFill>
                    <w14:schemeClr w14:val="tx1"/>
                  </w14:solidFill>
                </w14:textFill>
              </w:rPr>
              <w:t>a rubrica ,,Transparență decizională”.</w:t>
            </w:r>
          </w:p>
          <w:p>
            <w:pPr>
              <w:ind w:firstLine="0"/>
              <w:rPr>
                <w:sz w:val="24"/>
                <w:szCs w:val="24"/>
                <w:lang w:val="ro-RO"/>
              </w:rPr>
            </w:pPr>
            <w:r>
              <w:rPr>
                <w:color w:val="000000" w:themeColor="text1"/>
                <w:sz w:val="24"/>
                <w:szCs w:val="24"/>
                <w:lang w:val="ro-RO"/>
                <w14:textFill>
                  <w14:solidFill>
                    <w14:schemeClr w14:val="tx1"/>
                  </w14:solidFill>
                </w14:textFill>
              </w:rPr>
              <w:t xml:space="preserve">Corespunzător, după înregistrarea proiectului de către Cancelaria de Stat, proiectul actului normativ și nota informativă vor fi publicate pe pagina web oficială a Ministerului Infrastructurii și Dezvoltării Regionale și pe platforma guvernamentală </w:t>
            </w:r>
            <w:r>
              <w:fldChar w:fldCharType="begin"/>
            </w:r>
            <w:r>
              <w:instrText xml:space="preserve"> HYPERLINK "http://www.particip.gov.md" </w:instrText>
            </w:r>
            <w:r>
              <w:fldChar w:fldCharType="separate"/>
            </w:r>
            <w:r>
              <w:rPr>
                <w:rStyle w:val="5"/>
                <w:sz w:val="24"/>
                <w:szCs w:val="24"/>
                <w:lang w:val="ro-RO"/>
              </w:rPr>
              <w:t>www.particip.gov.md</w:t>
            </w:r>
            <w:r>
              <w:rPr>
                <w:rStyle w:val="5"/>
                <w:sz w:val="24"/>
                <w:szCs w:val="24"/>
                <w:lang w:val="ro-RO"/>
              </w:rPr>
              <w:fldChar w:fldCharType="end"/>
            </w:r>
            <w:r>
              <w:rPr>
                <w:color w:val="000000" w:themeColor="text1"/>
                <w:sz w:val="24"/>
                <w:szCs w:val="24"/>
                <w:lang w:val="ro-RO"/>
                <w14:textFill>
                  <w14:solidFill>
                    <w14:schemeClr w14:val="tx1"/>
                  </w14:solidFill>
                </w14:textFill>
              </w:rPr>
              <w:t>, pentru consultări și dezbateri publice.</w:t>
            </w:r>
          </w:p>
          <w:p>
            <w:pPr>
              <w:ind w:firstLine="0"/>
              <w:jc w:val="left"/>
              <w:rPr>
                <w:sz w:val="24"/>
                <w:szCs w:val="24"/>
                <w:lang w:val="ro-RO"/>
              </w:rPr>
            </w:pPr>
          </w:p>
        </w:tc>
      </w:tr>
      <w:tr>
        <w:tblPrEx>
          <w:tblCellMar>
            <w:top w:w="0" w:type="dxa"/>
            <w:left w:w="108" w:type="dxa"/>
            <w:bottom w:w="0" w:type="dxa"/>
            <w:right w:w="108" w:type="dxa"/>
          </w:tblCellMar>
        </w:tblPrEx>
        <w:trPr>
          <w:jc w:val="center"/>
        </w:trPr>
        <w:tc>
          <w:tcPr>
            <w:tcW w:w="2799" w:type="pct"/>
            <w:gridSpan w:val="2"/>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2201" w:type="pct"/>
            <w:gridSpan w:val="4"/>
            <w:tcBorders>
              <w:top w:val="single" w:color="000000" w:sz="6" w:space="0"/>
              <w:left w:val="single" w:color="000000" w:sz="6" w:space="0"/>
              <w:bottom w:val="nil"/>
              <w:right w:val="single" w:color="000000" w:sz="6" w:space="0"/>
            </w:tcBorders>
            <w:tcMar>
              <w:top w:w="15" w:type="dxa"/>
              <w:left w:w="45" w:type="dxa"/>
              <w:bottom w:w="15" w:type="dxa"/>
              <w:right w:w="45" w:type="dxa"/>
            </w:tcMar>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sz w:val="24"/>
                <w:szCs w:val="24"/>
                <w:lang w:val="ro-RO" w:eastAsia="ro-RO"/>
              </w:rPr>
              <w:t>Tabelul de sinteză va fi prezentat la o etapă ulterioară.</w:t>
            </w:r>
          </w:p>
          <w:p>
            <w:pPr>
              <w:ind w:firstLine="0"/>
              <w:jc w:val="left"/>
              <w:rPr>
                <w:sz w:val="24"/>
                <w:szCs w:val="24"/>
                <w:lang w:val="ro-RO"/>
              </w:rPr>
            </w:pPr>
          </w:p>
        </w:tc>
      </w:tr>
      <w:tr>
        <w:tblPrEx>
          <w:tblCellMar>
            <w:top w:w="0" w:type="dxa"/>
            <w:left w:w="108" w:type="dxa"/>
            <w:bottom w:w="0" w:type="dxa"/>
            <w:right w:w="108" w:type="dxa"/>
          </w:tblCellMar>
        </w:tblPrEx>
        <w:trPr>
          <w:trHeight w:val="245" w:hRule="atLeast"/>
          <w:jc w:val="center"/>
        </w:trPr>
        <w:tc>
          <w:tcPr>
            <w:tcW w:w="5000" w:type="pct"/>
            <w:gridSpan w:val="6"/>
            <w:tcBorders>
              <w:top w:val="single" w:color="auto" w:sz="4"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right"/>
              <w:rPr>
                <w:b/>
                <w:bCs/>
                <w:sz w:val="24"/>
                <w:szCs w:val="24"/>
                <w:lang w:val="ro-RO"/>
              </w:rPr>
            </w:pPr>
            <w:r>
              <w:rPr>
                <w:b/>
                <w:bCs/>
                <w:sz w:val="24"/>
                <w:szCs w:val="24"/>
                <w:lang w:val="ro-RO"/>
              </w:rPr>
              <w:t xml:space="preserve">Anexă </w:t>
            </w:r>
          </w:p>
          <w:p>
            <w:pPr>
              <w:ind w:firstLine="0"/>
              <w:jc w:val="center"/>
              <w:rPr>
                <w:b/>
                <w:bCs/>
                <w:sz w:val="24"/>
                <w:szCs w:val="24"/>
                <w:lang w:val="ro-RO"/>
              </w:rPr>
            </w:pPr>
            <w:r>
              <w:rPr>
                <w:b/>
                <w:bCs/>
                <w:sz w:val="24"/>
                <w:szCs w:val="24"/>
                <w:lang w:val="ro-RO"/>
              </w:rPr>
              <w:t>Tabel pentru identificarea impacturilor</w:t>
            </w:r>
          </w:p>
        </w:tc>
      </w:tr>
      <w:tr>
        <w:tblPrEx>
          <w:tblCellMar>
            <w:top w:w="0" w:type="dxa"/>
            <w:left w:w="108" w:type="dxa"/>
            <w:bottom w:w="0" w:type="dxa"/>
            <w:right w:w="108" w:type="dxa"/>
          </w:tblCellMar>
        </w:tblPrEx>
        <w:trPr>
          <w:trHeight w:val="263" w:hRule="atLeast"/>
          <w:jc w:val="center"/>
        </w:trPr>
        <w:tc>
          <w:tcPr>
            <w:tcW w:w="2632" w:type="pct"/>
            <w:tcBorders>
              <w:top w:val="single" w:color="auto" w:sz="4"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center"/>
              <w:rPr>
                <w:b/>
                <w:bCs/>
                <w:sz w:val="24"/>
                <w:szCs w:val="24"/>
                <w:lang w:val="ro-RO"/>
              </w:rPr>
            </w:pPr>
            <w:r>
              <w:rPr>
                <w:b/>
                <w:bCs/>
                <w:sz w:val="24"/>
                <w:szCs w:val="24"/>
                <w:lang w:val="ro-RO"/>
              </w:rPr>
              <w:t>Categorii de impact</w:t>
            </w:r>
          </w:p>
        </w:tc>
        <w:tc>
          <w:tcPr>
            <w:tcW w:w="2368" w:type="pct"/>
            <w:gridSpan w:val="5"/>
            <w:tcBorders>
              <w:top w:val="single" w:color="auto" w:sz="4" w:space="0"/>
              <w:left w:val="single" w:color="000000" w:sz="6" w:space="0"/>
              <w:bottom w:val="single" w:color="000000" w:sz="6" w:space="0"/>
              <w:right w:val="single" w:color="000000" w:sz="6" w:space="0"/>
            </w:tcBorders>
          </w:tcPr>
          <w:p>
            <w:pPr>
              <w:ind w:firstLine="0"/>
              <w:jc w:val="center"/>
              <w:rPr>
                <w:b/>
                <w:sz w:val="24"/>
                <w:szCs w:val="24"/>
                <w:lang w:val="ro-RO"/>
              </w:rPr>
            </w:pPr>
            <w:r>
              <w:rPr>
                <w:b/>
                <w:sz w:val="24"/>
                <w:szCs w:val="24"/>
                <w:lang w:val="ro-RO"/>
              </w:rPr>
              <w:t>Punctaj atribuit</w:t>
            </w:r>
          </w:p>
        </w:tc>
      </w:tr>
      <w:tr>
        <w:tblPrEx>
          <w:tblCellMar>
            <w:top w:w="0" w:type="dxa"/>
            <w:left w:w="108" w:type="dxa"/>
            <w:bottom w:w="0" w:type="dxa"/>
            <w:right w:w="108" w:type="dxa"/>
          </w:tblCellMar>
        </w:tblPrEx>
        <w:trPr>
          <w:trHeight w:val="44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i/>
                <w:sz w:val="24"/>
                <w:szCs w:val="24"/>
                <w:lang w:val="ro-RO"/>
              </w:rPr>
            </w:pPr>
          </w:p>
        </w:tc>
        <w:tc>
          <w:tcPr>
            <w:tcW w:w="812" w:type="pct"/>
            <w:gridSpan w:val="2"/>
            <w:tcBorders>
              <w:top w:val="nil"/>
              <w:left w:val="single" w:color="000000" w:sz="6" w:space="0"/>
              <w:bottom w:val="single" w:color="000000" w:sz="6" w:space="0"/>
              <w:right w:val="single" w:color="000000" w:sz="6" w:space="0"/>
            </w:tcBorders>
          </w:tcPr>
          <w:p>
            <w:pPr>
              <w:ind w:firstLine="0"/>
              <w:jc w:val="left"/>
              <w:rPr>
                <w:i/>
                <w:sz w:val="24"/>
                <w:szCs w:val="24"/>
                <w:lang w:val="ro-RO"/>
              </w:rPr>
            </w:pPr>
            <w:r>
              <w:rPr>
                <w:i/>
                <w:sz w:val="24"/>
                <w:szCs w:val="24"/>
                <w:lang w:val="ro-RO"/>
              </w:rPr>
              <w:t xml:space="preserve">Opțiunea </w:t>
            </w:r>
          </w:p>
          <w:p>
            <w:pPr>
              <w:ind w:firstLine="0"/>
              <w:jc w:val="left"/>
              <w:rPr>
                <w:i/>
                <w:sz w:val="24"/>
                <w:szCs w:val="24"/>
                <w:lang w:val="ro-RO"/>
              </w:rPr>
            </w:pPr>
            <w:r>
              <w:rPr>
                <w:i/>
                <w:sz w:val="24"/>
                <w:szCs w:val="24"/>
                <w:lang w:val="ro-RO"/>
              </w:rPr>
              <w:t>Propusă</w:t>
            </w:r>
          </w:p>
        </w:tc>
        <w:tc>
          <w:tcPr>
            <w:tcW w:w="835" w:type="pct"/>
            <w:tcBorders>
              <w:top w:val="nil"/>
              <w:left w:val="single" w:color="000000" w:sz="6" w:space="0"/>
              <w:bottom w:val="single" w:color="000000" w:sz="6" w:space="0"/>
              <w:right w:val="single" w:color="000000" w:sz="6" w:space="0"/>
            </w:tcBorders>
          </w:tcPr>
          <w:p>
            <w:pPr>
              <w:ind w:firstLine="0"/>
              <w:jc w:val="left"/>
              <w:rPr>
                <w:bCs/>
                <w:i/>
                <w:sz w:val="24"/>
                <w:szCs w:val="24"/>
                <w:lang w:val="ro-RO"/>
              </w:rPr>
            </w:pPr>
            <w:r>
              <w:rPr>
                <w:bCs/>
                <w:i/>
                <w:sz w:val="24"/>
                <w:szCs w:val="24"/>
                <w:lang w:val="ro-RO"/>
              </w:rPr>
              <w:t>Opțiunea alterativă 1</w:t>
            </w:r>
          </w:p>
        </w:tc>
        <w:tc>
          <w:tcPr>
            <w:tcW w:w="721" w:type="pct"/>
            <w:gridSpan w:val="2"/>
            <w:tcBorders>
              <w:top w:val="nil"/>
              <w:left w:val="single" w:color="000000" w:sz="6" w:space="0"/>
              <w:bottom w:val="single" w:color="000000" w:sz="6" w:space="0"/>
              <w:right w:val="single" w:color="000000" w:sz="6" w:space="0"/>
            </w:tcBorders>
          </w:tcPr>
          <w:p>
            <w:pPr>
              <w:ind w:firstLine="0"/>
              <w:jc w:val="left"/>
              <w:rPr>
                <w:bCs/>
                <w:i/>
                <w:sz w:val="24"/>
                <w:szCs w:val="24"/>
                <w:lang w:val="ro-RO"/>
              </w:rPr>
            </w:pPr>
            <w:r>
              <w:rPr>
                <w:bCs/>
                <w:i/>
                <w:sz w:val="24"/>
                <w:szCs w:val="24"/>
                <w:lang w:val="ro-RO"/>
              </w:rPr>
              <w:t>Opțiunea alterativă 2</w:t>
            </w:r>
          </w:p>
        </w:tc>
      </w:tr>
      <w:tr>
        <w:tblPrEx>
          <w:tblCellMar>
            <w:top w:w="0" w:type="dxa"/>
            <w:left w:w="108" w:type="dxa"/>
            <w:bottom w:w="0" w:type="dxa"/>
            <w:right w:w="108" w:type="dxa"/>
          </w:tblCellMar>
        </w:tblPrEx>
        <w:trPr>
          <w:trHeight w:val="237" w:hRule="atLeast"/>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sz w:val="24"/>
                <w:szCs w:val="24"/>
                <w:lang w:val="ro-RO"/>
              </w:rPr>
            </w:pPr>
            <w:r>
              <w:rPr>
                <w:b/>
                <w:bCs/>
                <w:sz w:val="24"/>
                <w:szCs w:val="24"/>
                <w:lang w:val="ro-RO"/>
              </w:rPr>
              <w:t>Economic</w:t>
            </w:r>
          </w:p>
        </w:tc>
      </w:tr>
      <w:tr>
        <w:tblPrEx>
          <w:tblCellMar>
            <w:top w:w="0" w:type="dxa"/>
            <w:left w:w="108" w:type="dxa"/>
            <w:bottom w:w="0" w:type="dxa"/>
            <w:right w:w="108" w:type="dxa"/>
          </w:tblCellMar>
        </w:tblPrEx>
        <w:trPr>
          <w:trHeight w:val="219"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costurile desfășurării afacerilor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28"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povara administrativă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4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fluxurile comerciale și investiționale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37"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competitivitatea afacerilor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38"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activitatea diferitor categorii de întreprinderi mici și mijlocii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6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concurența pe piață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75"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activitatea de inovare și cercetare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veniturile și cheltuielile publice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10" w:hRule="atLeast"/>
          <w:jc w:val="center"/>
        </w:trPr>
        <w:tc>
          <w:tcPr>
            <w:tcW w:w="2632" w:type="pct"/>
            <w:tcBorders>
              <w:top w:val="nil"/>
              <w:left w:val="single" w:color="000000" w:sz="6" w:space="0"/>
              <w:bottom w:val="single" w:color="auto" w:sz="4"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cadrul instituțional al autorităților publice</w:t>
            </w:r>
          </w:p>
        </w:tc>
        <w:tc>
          <w:tcPr>
            <w:tcW w:w="812" w:type="pct"/>
            <w:gridSpan w:val="2"/>
            <w:tcBorders>
              <w:top w:val="nil"/>
              <w:left w:val="single" w:color="000000" w:sz="6" w:space="0"/>
              <w:bottom w:val="single" w:color="auto" w:sz="4"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auto" w:sz="4"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auto" w:sz="4"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47" w:hRule="atLeast"/>
          <w:jc w:val="center"/>
        </w:trPr>
        <w:tc>
          <w:tcPr>
            <w:tcW w:w="2632" w:type="pct"/>
            <w:tcBorders>
              <w:top w:val="single" w:color="auto" w:sz="4" w:space="0"/>
              <w:left w:val="single" w:color="auto" w:sz="4" w:space="0"/>
              <w:bottom w:val="single" w:color="auto" w:sz="4" w:space="0"/>
              <w:right w:val="single" w:color="auto" w:sz="4" w:space="0"/>
            </w:tcBorders>
            <w:tcMar>
              <w:top w:w="15" w:type="dxa"/>
              <w:left w:w="45" w:type="dxa"/>
              <w:bottom w:w="15" w:type="dxa"/>
              <w:right w:w="45" w:type="dxa"/>
            </w:tcMar>
          </w:tcPr>
          <w:p>
            <w:pPr>
              <w:ind w:firstLine="0"/>
              <w:rPr>
                <w:bCs/>
                <w:sz w:val="24"/>
                <w:szCs w:val="24"/>
                <w:lang w:val="ro-RO"/>
              </w:rPr>
            </w:pPr>
            <w:r>
              <w:rPr>
                <w:bCs/>
                <w:sz w:val="24"/>
                <w:szCs w:val="24"/>
                <w:lang w:val="ro-RO"/>
              </w:rPr>
              <w:t>alegerea, calitatea și prețurile pentru consumatori</w:t>
            </w:r>
          </w:p>
        </w:tc>
        <w:tc>
          <w:tcPr>
            <w:tcW w:w="812" w:type="pct"/>
            <w:gridSpan w:val="2"/>
            <w:tcBorders>
              <w:top w:val="single" w:color="auto" w:sz="4" w:space="0"/>
              <w:left w:val="single" w:color="auto" w:sz="4" w:space="0"/>
              <w:bottom w:val="single" w:color="auto" w:sz="4" w:space="0"/>
              <w:right w:val="single" w:color="auto" w:sz="4" w:space="0"/>
            </w:tcBorders>
          </w:tcPr>
          <w:p>
            <w:pPr>
              <w:ind w:firstLine="0"/>
              <w:rPr>
                <w:sz w:val="24"/>
                <w:szCs w:val="24"/>
                <w:lang w:val="ro-RO"/>
              </w:rPr>
            </w:pPr>
            <w:r>
              <w:rPr>
                <w:sz w:val="24"/>
                <w:szCs w:val="24"/>
                <w:lang w:val="ro-RO"/>
              </w:rPr>
              <w:t>+3</w:t>
            </w:r>
          </w:p>
        </w:tc>
        <w:tc>
          <w:tcPr>
            <w:tcW w:w="835" w:type="pct"/>
            <w:tcBorders>
              <w:top w:val="single" w:color="auto" w:sz="4" w:space="0"/>
              <w:left w:val="single" w:color="auto" w:sz="4" w:space="0"/>
              <w:bottom w:val="single" w:color="auto" w:sz="4" w:space="0"/>
              <w:right w:val="single" w:color="auto" w:sz="4" w:space="0"/>
            </w:tcBorders>
          </w:tcPr>
          <w:p>
            <w:pPr>
              <w:ind w:firstLine="0"/>
              <w:rPr>
                <w:bCs/>
                <w:sz w:val="24"/>
                <w:szCs w:val="24"/>
                <w:lang w:val="ro-RO"/>
              </w:rPr>
            </w:pPr>
          </w:p>
        </w:tc>
        <w:tc>
          <w:tcPr>
            <w:tcW w:w="721" w:type="pct"/>
            <w:gridSpan w:val="2"/>
            <w:tcBorders>
              <w:top w:val="single" w:color="auto" w:sz="4" w:space="0"/>
              <w:left w:val="single" w:color="auto" w:sz="4" w:space="0"/>
              <w:bottom w:val="single" w:color="auto" w:sz="4" w:space="0"/>
              <w:right w:val="single" w:color="auto" w:sz="4" w:space="0"/>
            </w:tcBorders>
          </w:tcPr>
          <w:p>
            <w:pPr>
              <w:ind w:firstLine="0"/>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single" w:color="auto" w:sz="4"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bunăstarea gospodăriilor casnice și a cetățenilor</w:t>
            </w:r>
          </w:p>
        </w:tc>
        <w:tc>
          <w:tcPr>
            <w:tcW w:w="812" w:type="pct"/>
            <w:gridSpan w:val="2"/>
            <w:tcBorders>
              <w:top w:val="single" w:color="auto" w:sz="4" w:space="0"/>
              <w:left w:val="single" w:color="000000" w:sz="6" w:space="0"/>
              <w:bottom w:val="single" w:color="000000" w:sz="6" w:space="0"/>
              <w:right w:val="single" w:color="000000" w:sz="6" w:space="0"/>
            </w:tcBorders>
          </w:tcPr>
          <w:p>
            <w:pPr>
              <w:ind w:firstLine="0"/>
              <w:jc w:val="left"/>
              <w:rPr>
                <w:sz w:val="24"/>
                <w:szCs w:val="24"/>
                <w:lang w:val="ro-RO"/>
              </w:rPr>
            </w:pPr>
            <w:r>
              <w:rPr>
                <w:sz w:val="24"/>
                <w:szCs w:val="24"/>
                <w:lang w:val="ro-RO"/>
              </w:rPr>
              <w:t>+2</w:t>
            </w:r>
          </w:p>
        </w:tc>
        <w:tc>
          <w:tcPr>
            <w:tcW w:w="835" w:type="pct"/>
            <w:tcBorders>
              <w:top w:val="single" w:color="auto" w:sz="4" w:space="0"/>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single" w:color="auto" w:sz="4" w:space="0"/>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4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situația social-economică în anumite regiuni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4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situația macroeconomică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37"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alte aspecte economice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sz w:val="24"/>
                <w:szCs w:val="24"/>
                <w:lang w:val="ro-RO"/>
              </w:rPr>
            </w:pPr>
            <w:r>
              <w:rPr>
                <w:b/>
                <w:bCs/>
                <w:sz w:val="24"/>
                <w:szCs w:val="24"/>
                <w:lang w:val="ro-RO"/>
              </w:rPr>
              <w:t>Social</w:t>
            </w:r>
          </w:p>
        </w:tc>
      </w:tr>
      <w:tr>
        <w:tblPrEx>
          <w:tblCellMar>
            <w:top w:w="0" w:type="dxa"/>
            <w:left w:w="108" w:type="dxa"/>
            <w:bottom w:w="0" w:type="dxa"/>
            <w:right w:w="108" w:type="dxa"/>
          </w:tblCellMar>
        </w:tblPrEx>
        <w:trPr>
          <w:trHeight w:val="15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gradul de ocupare a forței de muncă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nivelul de salarizare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condițiile și organizarea muncii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sănătatea și securitatea muncii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02"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formarea profesională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10"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inegalitatea și distribuția veniturilor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10"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nivelul veniturilor populației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29"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nivelul sărăciei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44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la bunuri și servicii de bază, în special pentru persoanele social-vulnerabile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r>
              <w:rPr>
                <w:sz w:val="24"/>
                <w:szCs w:val="24"/>
                <w:lang w:val="ro-RO"/>
              </w:rPr>
              <w:t>+3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diversitatea culturală și lingvistică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partidele politice și organizațiile civice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20"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sănătatea publică, inclusiv mortalitatea și morbiditatea</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modul sănătos de viață al populației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28"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nivelul criminalității și securității publice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7"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și calitatea serviciilor de protecție socială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65"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și calitatea serviciilor educaționale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și calitatea serviciilor medicale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rPr>
          <w:trHeight w:val="8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și calitatea serviciilor publice administrative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nivelul și calitatea educației populației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11"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conservarea patrimoniului cultural</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44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populației la resurse culturale și participarea în manifestații culturale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7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accesul și participarea populației în activități sportive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7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Discriminarea</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4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alte aspecte sociale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37" w:hRule="atLeast"/>
          <w:jc w:val="center"/>
        </w:trPr>
        <w:tc>
          <w:tcPr>
            <w:tcW w:w="5000" w:type="pct"/>
            <w:gridSpan w:val="6"/>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sz w:val="24"/>
                <w:szCs w:val="24"/>
                <w:lang w:val="ro-RO"/>
              </w:rPr>
            </w:pPr>
            <w:r>
              <w:rPr>
                <w:b/>
                <w:sz w:val="24"/>
                <w:szCs w:val="24"/>
                <w:lang w:val="ro-RO"/>
              </w:rPr>
              <w:t>De mediu</w:t>
            </w:r>
          </w:p>
        </w:tc>
      </w:tr>
      <w:tr>
        <w:tblPrEx>
          <w:tblCellMar>
            <w:top w:w="0" w:type="dxa"/>
            <w:left w:w="108" w:type="dxa"/>
            <w:bottom w:w="0" w:type="dxa"/>
            <w:right w:w="108" w:type="dxa"/>
          </w:tblCellMar>
        </w:tblPrEx>
        <w:trPr>
          <w:trHeight w:val="44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clima, inclusiv emisiile gazelor cu efect de seră și celor care afectează stratul de ozon</w:t>
            </w:r>
          </w:p>
        </w:tc>
        <w:tc>
          <w:tcPr>
            <w:tcW w:w="812" w:type="pct"/>
            <w:gridSpan w:val="2"/>
            <w:tcBorders>
              <w:top w:val="nil"/>
              <w:left w:val="single" w:color="000000" w:sz="6" w:space="0"/>
              <w:bottom w:val="single" w:color="000000" w:sz="6" w:space="0"/>
              <w:right w:val="single" w:color="000000" w:sz="6" w:space="0"/>
            </w:tcBorders>
          </w:tcPr>
          <w:p>
            <w:pPr>
              <w:ind w:firstLine="0"/>
              <w:rPr>
                <w:sz w:val="24"/>
                <w:szCs w:val="24"/>
                <w:lang w:val="ro-RO"/>
              </w:rPr>
            </w:pPr>
            <w:r>
              <w:rPr>
                <w:sz w:val="24"/>
                <w:szCs w:val="24"/>
                <w:lang w:val="ro-RO"/>
              </w:rPr>
              <w:t>+ 3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calitatea aerului</w:t>
            </w:r>
          </w:p>
        </w:tc>
        <w:tc>
          <w:tcPr>
            <w:tcW w:w="812" w:type="pct"/>
            <w:gridSpan w:val="2"/>
            <w:tcBorders>
              <w:top w:val="nil"/>
              <w:left w:val="single" w:color="000000" w:sz="6" w:space="0"/>
              <w:bottom w:val="single" w:color="000000" w:sz="6" w:space="0"/>
              <w:right w:val="single" w:color="000000" w:sz="6" w:space="0"/>
            </w:tcBorders>
          </w:tcPr>
          <w:p>
            <w:pPr>
              <w:ind w:firstLine="0"/>
              <w:rPr>
                <w:sz w:val="24"/>
                <w:szCs w:val="24"/>
                <w:lang w:val="ro-RO"/>
              </w:rPr>
            </w:pPr>
            <w:r>
              <w:rPr>
                <w:sz w:val="24"/>
                <w:szCs w:val="24"/>
                <w:lang w:val="ro-RO"/>
              </w:rPr>
              <w:t>+3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444"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sz w:val="24"/>
                <w:szCs w:val="24"/>
                <w:lang w:val="ro-RO"/>
              </w:rPr>
            </w:pPr>
            <w:r>
              <w:rPr>
                <w:bCs/>
                <w:sz w:val="24"/>
                <w:szCs w:val="24"/>
                <w:lang w:val="ro-RO"/>
              </w:rPr>
              <w:t>calitatea și cantitatea apei și resurselor acvatice, inclusiv a apei potabile și de alt gen</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29"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Biodiversitate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228"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Flora</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Fauna</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66"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peisajele naturale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65"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starea și resursele solului</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producerea și reciclarea deșeurilor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02"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utilizarea eficientă a resurselor regenerabile și neregenerabile</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r>
              <w:rPr>
                <w:sz w:val="24"/>
                <w:szCs w:val="24"/>
                <w:lang w:val="ro-RO"/>
              </w:rPr>
              <w:t>+3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53"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consumul și producția durabilă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r>
              <w:rPr>
                <w:sz w:val="24"/>
                <w:szCs w:val="24"/>
                <w:lang w:val="ro-RO"/>
              </w:rPr>
              <w:t>+3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11"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intensitatea energetică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29"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eficiența și performanța energetică</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r>
              <w:rPr>
                <w:sz w:val="24"/>
                <w:szCs w:val="24"/>
                <w:lang w:val="ro-RO"/>
              </w:rPr>
              <w:t>+ 3</w:t>
            </w: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trHeight w:val="192" w:hRule="atLeast"/>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bunăstarea animalelor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riscuri majore pentru mediu (incendii, explozii, accidente etc.)</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2632" w:type="pct"/>
            <w:tcBorders>
              <w:top w:val="nil"/>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utilizarea terenurilor</w:t>
            </w:r>
          </w:p>
        </w:tc>
        <w:tc>
          <w:tcPr>
            <w:tcW w:w="812"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c>
          <w:tcPr>
            <w:tcW w:w="835" w:type="pct"/>
            <w:tcBorders>
              <w:top w:val="nil"/>
              <w:left w:val="single" w:color="000000" w:sz="6" w:space="0"/>
              <w:bottom w:val="single" w:color="000000" w:sz="6"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000000" w:sz="6"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2632" w:type="pct"/>
            <w:tcBorders>
              <w:top w:val="nil"/>
              <w:left w:val="single" w:color="000000" w:sz="6" w:space="0"/>
              <w:bottom w:val="single" w:color="auto" w:sz="4" w:space="0"/>
              <w:right w:val="single" w:color="000000" w:sz="6" w:space="0"/>
            </w:tcBorders>
            <w:tcMar>
              <w:top w:w="15" w:type="dxa"/>
              <w:left w:w="45" w:type="dxa"/>
              <w:bottom w:w="15" w:type="dxa"/>
              <w:right w:w="45" w:type="dxa"/>
            </w:tcMar>
          </w:tcPr>
          <w:p>
            <w:pPr>
              <w:ind w:firstLine="0"/>
              <w:jc w:val="left"/>
              <w:rPr>
                <w:bCs/>
                <w:sz w:val="24"/>
                <w:szCs w:val="24"/>
                <w:lang w:val="ro-RO"/>
              </w:rPr>
            </w:pPr>
            <w:r>
              <w:rPr>
                <w:bCs/>
                <w:sz w:val="24"/>
                <w:szCs w:val="24"/>
                <w:lang w:val="ro-RO"/>
              </w:rPr>
              <w:t>alte aspecte de mediu</w:t>
            </w:r>
          </w:p>
        </w:tc>
        <w:tc>
          <w:tcPr>
            <w:tcW w:w="812" w:type="pct"/>
            <w:gridSpan w:val="2"/>
            <w:tcBorders>
              <w:top w:val="nil"/>
              <w:left w:val="single" w:color="000000" w:sz="6" w:space="0"/>
              <w:bottom w:val="single" w:color="auto" w:sz="4" w:space="0"/>
              <w:right w:val="single" w:color="000000" w:sz="6" w:space="0"/>
            </w:tcBorders>
          </w:tcPr>
          <w:p>
            <w:pPr>
              <w:ind w:firstLine="0"/>
              <w:jc w:val="left"/>
              <w:rPr>
                <w:sz w:val="24"/>
                <w:szCs w:val="24"/>
                <w:lang w:val="ro-RO"/>
              </w:rPr>
            </w:pPr>
            <w:r>
              <w:rPr>
                <w:sz w:val="24"/>
                <w:szCs w:val="24"/>
                <w:lang w:val="ro-RO"/>
              </w:rPr>
              <w:t>+1</w:t>
            </w:r>
          </w:p>
        </w:tc>
        <w:tc>
          <w:tcPr>
            <w:tcW w:w="835" w:type="pct"/>
            <w:tcBorders>
              <w:top w:val="nil"/>
              <w:left w:val="single" w:color="000000" w:sz="6" w:space="0"/>
              <w:bottom w:val="single" w:color="auto" w:sz="4" w:space="0"/>
              <w:right w:val="single" w:color="000000" w:sz="6" w:space="0"/>
            </w:tcBorders>
          </w:tcPr>
          <w:p>
            <w:pPr>
              <w:ind w:firstLine="0"/>
              <w:jc w:val="left"/>
              <w:rPr>
                <w:bCs/>
                <w:sz w:val="24"/>
                <w:szCs w:val="24"/>
                <w:lang w:val="ro-RO"/>
              </w:rPr>
            </w:pPr>
          </w:p>
        </w:tc>
        <w:tc>
          <w:tcPr>
            <w:tcW w:w="721" w:type="pct"/>
            <w:gridSpan w:val="2"/>
            <w:tcBorders>
              <w:top w:val="nil"/>
              <w:left w:val="single" w:color="000000" w:sz="6" w:space="0"/>
              <w:bottom w:val="single" w:color="auto" w:sz="4" w:space="0"/>
              <w:right w:val="single" w:color="000000" w:sz="6" w:space="0"/>
            </w:tcBorders>
          </w:tcPr>
          <w:p>
            <w:pPr>
              <w:ind w:firstLine="0"/>
              <w:jc w:val="left"/>
              <w:rPr>
                <w:sz w:val="24"/>
                <w:szCs w:val="24"/>
                <w:lang w:val="ro-RO"/>
              </w:rPr>
            </w:pP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000000" w:sz="6" w:space="0"/>
              <w:bottom w:val="single" w:color="auto" w:sz="4" w:space="0"/>
              <w:right w:val="single" w:color="000000" w:sz="6" w:space="0"/>
            </w:tcBorders>
            <w:tcMar>
              <w:top w:w="15" w:type="dxa"/>
              <w:left w:w="45" w:type="dxa"/>
              <w:bottom w:w="15" w:type="dxa"/>
              <w:right w:w="45" w:type="dxa"/>
            </w:tcMar>
          </w:tcPr>
          <w:p>
            <w:pPr>
              <w:ind w:firstLine="0"/>
              <w:rPr>
                <w:sz w:val="24"/>
                <w:szCs w:val="24"/>
                <w:lang w:val="ro-RO"/>
              </w:rPr>
            </w:pPr>
            <w:r>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Pr>
                <w:bCs/>
                <w:i/>
                <w:iCs/>
                <w:sz w:val="24"/>
                <w:szCs w:val="24"/>
                <w:vertAlign w:val="superscript"/>
                <w:lang w:val="ro-RO"/>
              </w:rPr>
              <w:t>1</w:t>
            </w:r>
            <w:r>
              <w:rPr>
                <w:bCs/>
                <w:i/>
                <w:iCs/>
                <w:sz w:val="24"/>
                <w:szCs w:val="24"/>
                <w:lang w:val="ro-RO"/>
              </w:rPr>
              <w:t>) și, după caz,  b</w:t>
            </w:r>
            <w:r>
              <w:rPr>
                <w:bCs/>
                <w:i/>
                <w:iCs/>
                <w:sz w:val="24"/>
                <w:szCs w:val="24"/>
                <w:vertAlign w:val="superscript"/>
                <w:lang w:val="ro-RO"/>
              </w:rPr>
              <w:t>2</w:t>
            </w:r>
            <w:r>
              <w:rPr>
                <w:bCs/>
                <w:i/>
                <w:iCs/>
                <w:sz w:val="24"/>
                <w:szCs w:val="24"/>
                <w:lang w:val="ro-RO"/>
              </w:rPr>
              <w:t>), privind analiza impacturilor opțiunilor.</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ind w:firstLine="0"/>
              <w:jc w:val="left"/>
              <w:rPr>
                <w:b/>
                <w:bCs/>
                <w:sz w:val="24"/>
                <w:szCs w:val="24"/>
                <w:lang w:val="ro-RO"/>
              </w:rPr>
            </w:pPr>
            <w:r>
              <w:rPr>
                <w:b/>
                <w:bCs/>
                <w:sz w:val="24"/>
                <w:szCs w:val="24"/>
                <w:lang w:val="ro-RO"/>
              </w:rPr>
              <w:t>Anexe</w:t>
            </w:r>
          </w:p>
        </w:tc>
      </w:tr>
      <w:tr>
        <w:tblPrEx>
          <w:tblCellMar>
            <w:top w:w="0" w:type="dxa"/>
            <w:left w:w="108" w:type="dxa"/>
            <w:bottom w:w="0" w:type="dxa"/>
            <w:right w:w="108" w:type="dxa"/>
          </w:tblCellMar>
        </w:tblPrEx>
        <w:trPr>
          <w:jc w:val="center"/>
        </w:trPr>
        <w:tc>
          <w:tcPr>
            <w:tcW w:w="5000" w:type="pct"/>
            <w:gridSpan w:val="6"/>
            <w:tcBorders>
              <w:top w:val="single" w:color="000000" w:sz="6" w:space="0"/>
              <w:left w:val="single" w:color="000000" w:sz="6" w:space="0"/>
              <w:bottom w:val="single" w:color="000000" w:sz="6" w:space="0"/>
              <w:right w:val="single" w:color="000000" w:sz="6" w:space="0"/>
            </w:tcBorders>
            <w:tcMar>
              <w:top w:w="15" w:type="dxa"/>
              <w:left w:w="45" w:type="dxa"/>
              <w:bottom w:w="15" w:type="dxa"/>
              <w:right w:w="45" w:type="dxa"/>
            </w:tcMar>
          </w:tcPr>
          <w:p>
            <w:pPr>
              <w:pStyle w:val="13"/>
              <w:rPr>
                <w:lang w:val="ro-RO"/>
              </w:rPr>
            </w:pPr>
            <w:r>
              <w:rPr>
                <w:lang w:val="ro-RO"/>
              </w:rPr>
              <w:t>Proiectul de act normativ</w:t>
            </w:r>
          </w:p>
          <w:p>
            <w:pPr>
              <w:ind w:firstLine="0"/>
              <w:rPr>
                <w:sz w:val="24"/>
                <w:szCs w:val="24"/>
                <w:lang w:val="ro-RO"/>
              </w:rPr>
            </w:pPr>
            <w:r>
              <w:rPr>
                <w:sz w:val="24"/>
                <w:szCs w:val="24"/>
                <w:lang w:val="ro-RO"/>
              </w:rPr>
              <w:t>Studiu privind distribuţia consumului de energie termică în clădirile rezidenţiale în care există apartamente debranşate de la sistemul centralizat de căldură, Chișinău, 2022</w:t>
            </w:r>
          </w:p>
          <w:p>
            <w:pPr>
              <w:ind w:firstLine="0"/>
              <w:rPr>
                <w:b/>
                <w:bCs/>
                <w:i/>
                <w:iCs/>
                <w:sz w:val="24"/>
                <w:szCs w:val="24"/>
                <w:lang w:val="ro-RO"/>
              </w:rPr>
            </w:pPr>
            <w:r>
              <w:rPr>
                <w:sz w:val="24"/>
                <w:szCs w:val="24"/>
                <w:lang w:val="ro-RO"/>
              </w:rPr>
              <w:t>Metodologi</w:t>
            </w:r>
            <w:r>
              <w:rPr>
                <w:rFonts w:hint="default"/>
                <w:sz w:val="24"/>
                <w:szCs w:val="24"/>
                <w:lang/>
              </w:rPr>
              <w:t xml:space="preserve">a </w:t>
            </w:r>
            <w:r>
              <w:rPr>
                <w:sz w:val="24"/>
                <w:szCs w:val="24"/>
                <w:lang w:val="ro-RO"/>
              </w:rPr>
              <w:t>privind repartizarea consumului de energie termică și costului aferent acestui consum între consumatorii unui bloc locativ conectați la sistemul colectiv de alimentare cu energie termică</w:t>
            </w:r>
            <w:r>
              <w:rPr>
                <w:rFonts w:hint="default"/>
                <w:sz w:val="24"/>
                <w:szCs w:val="24"/>
                <w:lang/>
              </w:rPr>
              <w:t xml:space="preserve">, </w:t>
            </w:r>
            <w:bookmarkStart w:id="1" w:name="_GoBack"/>
            <w:bookmarkEnd w:id="1"/>
            <w:r>
              <w:rPr>
                <w:sz w:val="24"/>
                <w:szCs w:val="24"/>
                <w:lang w:val="ro-RO"/>
              </w:rPr>
              <w:t>Chișinău, 2022</w:t>
            </w:r>
          </w:p>
        </w:tc>
      </w:tr>
    </w:tbl>
    <w:p>
      <w:pPr>
        <w:rPr>
          <w:sz w:val="24"/>
          <w:szCs w:val="24"/>
          <w:lang w:val="ro-RO"/>
        </w:rPr>
      </w:pPr>
    </w:p>
    <w:sectPr>
      <w:pgSz w:w="11906" w:h="16838"/>
      <w:pgMar w:top="426" w:right="1133" w:bottom="284" w:left="1134" w:header="720" w:footer="720" w:gutter="0"/>
      <w:cols w:space="708"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596B9"/>
    <w:multiLevelType w:val="singleLevel"/>
    <w:tmpl w:val="241596B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00"/>
  <w:drawingGridVerticalSpacing w:val="136"/>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419A"/>
    <w:rsid w:val="00035534"/>
    <w:rsid w:val="000425D7"/>
    <w:rsid w:val="00042C35"/>
    <w:rsid w:val="00051ED4"/>
    <w:rsid w:val="00076818"/>
    <w:rsid w:val="000A116A"/>
    <w:rsid w:val="000D323F"/>
    <w:rsid w:val="0018425F"/>
    <w:rsid w:val="001A114F"/>
    <w:rsid w:val="001A7926"/>
    <w:rsid w:val="00212E64"/>
    <w:rsid w:val="00214224"/>
    <w:rsid w:val="002400AF"/>
    <w:rsid w:val="002D634D"/>
    <w:rsid w:val="00345C89"/>
    <w:rsid w:val="00392934"/>
    <w:rsid w:val="003964FF"/>
    <w:rsid w:val="003F08A2"/>
    <w:rsid w:val="004127EB"/>
    <w:rsid w:val="004255B9"/>
    <w:rsid w:val="0044327B"/>
    <w:rsid w:val="00457881"/>
    <w:rsid w:val="00457A8E"/>
    <w:rsid w:val="00527754"/>
    <w:rsid w:val="005339F1"/>
    <w:rsid w:val="00541F26"/>
    <w:rsid w:val="005A3AE3"/>
    <w:rsid w:val="005A6F48"/>
    <w:rsid w:val="00656AFF"/>
    <w:rsid w:val="0069107C"/>
    <w:rsid w:val="006F393C"/>
    <w:rsid w:val="007169F9"/>
    <w:rsid w:val="00767F26"/>
    <w:rsid w:val="008B20DE"/>
    <w:rsid w:val="008C4249"/>
    <w:rsid w:val="008F79F1"/>
    <w:rsid w:val="0099217F"/>
    <w:rsid w:val="009A30AC"/>
    <w:rsid w:val="009D795F"/>
    <w:rsid w:val="00A22C32"/>
    <w:rsid w:val="00A9785F"/>
    <w:rsid w:val="00C33223"/>
    <w:rsid w:val="00C5513D"/>
    <w:rsid w:val="00C96DB6"/>
    <w:rsid w:val="00CA458B"/>
    <w:rsid w:val="00CC1717"/>
    <w:rsid w:val="00CC4CB5"/>
    <w:rsid w:val="00D349ED"/>
    <w:rsid w:val="00D37561"/>
    <w:rsid w:val="00E3223F"/>
    <w:rsid w:val="00EA27E7"/>
    <w:rsid w:val="00ED4DEB"/>
    <w:rsid w:val="00F10C71"/>
    <w:rsid w:val="00F167A4"/>
    <w:rsid w:val="00FB3009"/>
    <w:rsid w:val="375F45BB"/>
    <w:rsid w:val="532207DD"/>
    <w:rsid w:val="5B827ED9"/>
    <w:rsid w:val="79EC3926"/>
    <w:rsid w:val="7B117F2C"/>
    <w:rsid w:val="7DCD1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ind w:firstLine="720"/>
      <w:jc w:val="both"/>
    </w:pPr>
    <w:rPr>
      <w:rFonts w:ascii="Times New Roman" w:hAnsi="Times New Roman" w:eastAsia="Times New Roman" w:cs="Times New Roman"/>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uiPriority w:val="99"/>
    <w:rPr>
      <w:color w:val="0000FF"/>
      <w:u w:val="single"/>
    </w:rPr>
  </w:style>
  <w:style w:type="character" w:styleId="6">
    <w:name w:val="Strong"/>
    <w:basedOn w:val="2"/>
    <w:qFormat/>
    <w:uiPriority w:val="22"/>
    <w:rPr>
      <w:b/>
      <w:bCs/>
    </w:rPr>
  </w:style>
  <w:style w:type="paragraph" w:styleId="7">
    <w:name w:val="Balloon Text"/>
    <w:basedOn w:val="1"/>
    <w:link w:val="15"/>
    <w:semiHidden/>
    <w:unhideWhenUsed/>
    <w:qFormat/>
    <w:uiPriority w:val="99"/>
    <w:rPr>
      <w:rFonts w:ascii="Tahoma" w:hAnsi="Tahoma" w:cs="Tahoma"/>
      <w:sz w:val="16"/>
      <w:szCs w:val="16"/>
    </w:rPr>
  </w:style>
  <w:style w:type="paragraph" w:styleId="8">
    <w:name w:val="caption"/>
    <w:basedOn w:val="1"/>
    <w:next w:val="1"/>
    <w:unhideWhenUsed/>
    <w:qFormat/>
    <w:uiPriority w:val="35"/>
    <w:rPr>
      <w:b/>
      <w:bCs/>
      <w:color w:val="4F81BD" w:themeColor="accent1"/>
      <w:sz w:val="18"/>
      <w:szCs w:val="18"/>
      <w14:textFill>
        <w14:solidFill>
          <w14:schemeClr w14:val="accent1"/>
        </w14:solidFill>
      </w14:textFill>
    </w:rPr>
  </w:style>
  <w:style w:type="paragraph" w:styleId="9">
    <w:name w:val="Normal (Web)"/>
    <w:basedOn w:val="1"/>
    <w:unhideWhenUsed/>
    <w:qFormat/>
    <w:uiPriority w:val="99"/>
    <w:pPr>
      <w:ind w:firstLine="567"/>
    </w:pPr>
    <w:rPr>
      <w:sz w:val="24"/>
      <w:szCs w:val="24"/>
      <w:lang w:val="ru-RU" w:eastAsia="ru-RU"/>
    </w:rPr>
  </w:style>
  <w:style w:type="table" w:styleId="10">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b"/>
    <w:basedOn w:val="1"/>
    <w:semiHidden/>
    <w:qFormat/>
    <w:uiPriority w:val="99"/>
    <w:pPr>
      <w:ind w:firstLine="0"/>
      <w:jc w:val="center"/>
    </w:pPr>
    <w:rPr>
      <w:b/>
      <w:bCs/>
      <w:sz w:val="24"/>
      <w:szCs w:val="24"/>
      <w:lang w:val="ru-RU" w:eastAsia="ru-RU"/>
    </w:rPr>
  </w:style>
  <w:style w:type="paragraph" w:customStyle="1" w:styleId="12">
    <w:name w:val="rg"/>
    <w:basedOn w:val="1"/>
    <w:semiHidden/>
    <w:uiPriority w:val="99"/>
    <w:pPr>
      <w:ind w:firstLine="0"/>
      <w:jc w:val="right"/>
    </w:pPr>
    <w:rPr>
      <w:rFonts w:eastAsiaTheme="minorEastAsia"/>
      <w:sz w:val="24"/>
      <w:szCs w:val="24"/>
      <w:lang w:val="en-GB" w:eastAsia="en-GB"/>
    </w:rPr>
  </w:style>
  <w:style w:type="paragraph" w:customStyle="1" w:styleId="13">
    <w:name w:val="lf"/>
    <w:basedOn w:val="1"/>
    <w:semiHidden/>
    <w:qFormat/>
    <w:uiPriority w:val="99"/>
    <w:pPr>
      <w:ind w:firstLine="0"/>
      <w:jc w:val="left"/>
    </w:pPr>
    <w:rPr>
      <w:rFonts w:eastAsiaTheme="minorEastAsia"/>
      <w:sz w:val="24"/>
      <w:szCs w:val="24"/>
      <w:lang w:val="en-GB" w:eastAsia="en-GB"/>
    </w:rPr>
  </w:style>
  <w:style w:type="paragraph" w:styleId="14">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sz w:val="22"/>
      <w:szCs w:val="22"/>
    </w:rPr>
  </w:style>
  <w:style w:type="character" w:customStyle="1" w:styleId="15">
    <w:name w:val="Текст выноски Знак"/>
    <w:basedOn w:val="2"/>
    <w:link w:val="7"/>
    <w:semiHidden/>
    <w:qFormat/>
    <w:uiPriority w:val="99"/>
    <w:rPr>
      <w:rFonts w:ascii="Tahoma" w:hAnsi="Tahoma" w:eastAsia="Times New Roman" w:cs="Tahoma"/>
      <w:sz w:val="16"/>
      <w:szCs w:val="16"/>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Documente\NIR2022\UNDP\Concurs%20elaborare%20metodologie\Elaborare%20studiu%20si%20metodologie\Hlusov\Structurare%20info%20CET-N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'Date prelucrate'!$N$16:$N$25</c:f>
              <c:numCache>
                <c:formatCode>General</c:formatCode>
                <c:ptCount val="10"/>
                <c:pt idx="0">
                  <c:v>1</c:v>
                </c:pt>
                <c:pt idx="1">
                  <c:v>2</c:v>
                </c:pt>
                <c:pt idx="2">
                  <c:v>3</c:v>
                </c:pt>
                <c:pt idx="3">
                  <c:v>4</c:v>
                </c:pt>
                <c:pt idx="4">
                  <c:v>5</c:v>
                </c:pt>
                <c:pt idx="5">
                  <c:v>6</c:v>
                </c:pt>
                <c:pt idx="6">
                  <c:v>9</c:v>
                </c:pt>
                <c:pt idx="7">
                  <c:v>10</c:v>
                </c:pt>
                <c:pt idx="8">
                  <c:v>14</c:v>
                </c:pt>
                <c:pt idx="9">
                  <c:v>16</c:v>
                </c:pt>
              </c:numCache>
            </c:numRef>
          </c:cat>
          <c:val>
            <c:numRef>
              <c:f>'Date prelucrate'!$O$16:$O$25</c:f>
              <c:numCache>
                <c:formatCode>General</c:formatCode>
                <c:ptCount val="10"/>
                <c:pt idx="0">
                  <c:v>64</c:v>
                </c:pt>
                <c:pt idx="1">
                  <c:v>178</c:v>
                </c:pt>
                <c:pt idx="2">
                  <c:v>79</c:v>
                </c:pt>
                <c:pt idx="3">
                  <c:v>428</c:v>
                </c:pt>
                <c:pt idx="4">
                  <c:v>3775</c:v>
                </c:pt>
                <c:pt idx="5">
                  <c:v>8</c:v>
                </c:pt>
                <c:pt idx="6">
                  <c:v>2974</c:v>
                </c:pt>
                <c:pt idx="7">
                  <c:v>578</c:v>
                </c:pt>
                <c:pt idx="8">
                  <c:v>77</c:v>
                </c:pt>
                <c:pt idx="9">
                  <c:v>14</c:v>
                </c:pt>
              </c:numCache>
            </c:numRef>
          </c:val>
        </c:ser>
        <c:dLbls>
          <c:showLegendKey val="0"/>
          <c:showVal val="1"/>
          <c:showCatName val="0"/>
          <c:showSerName val="0"/>
          <c:showPercent val="0"/>
          <c:showBubbleSize val="0"/>
        </c:dLbls>
        <c:gapWidth val="150"/>
        <c:axId val="322775296"/>
        <c:axId val="322777088"/>
      </c:barChart>
      <c:catAx>
        <c:axId val="32277529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322777088"/>
        <c:crosses val="autoZero"/>
        <c:auto val="1"/>
        <c:lblAlgn val="ctr"/>
        <c:lblOffset val="100"/>
        <c:noMultiLvlLbl val="0"/>
      </c:catAx>
      <c:valAx>
        <c:axId val="322777088"/>
        <c:scaling>
          <c:orientation val="minMax"/>
        </c:scaling>
        <c:delete val="0"/>
        <c:axPos val="l"/>
        <c:majorGridlines/>
        <c:title>
          <c:tx>
            <c:rich>
              <a:bodyPr rot="-5400000" spcFirstLastPara="0" vertOverflow="ellipsis" vert="horz" wrap="square" anchor="ctr" anchorCtr="1"/>
              <a:lstStyle/>
              <a:p>
                <a:pPr>
                  <a:defRPr lang="ru-RU" sz="1000" b="1" i="0" u="none" strike="noStrike" kern="1200" baseline="0">
                    <a:solidFill>
                      <a:schemeClr val="tx1"/>
                    </a:solidFill>
                    <a:latin typeface="+mn-lt"/>
                    <a:ea typeface="+mn-ea"/>
                    <a:cs typeface="+mn-cs"/>
                  </a:defRPr>
                </a:pPr>
                <a:r>
                  <a:rPr lang="vi-VN"/>
                  <a:t>Număr apartamente debranşate</a:t>
                </a:r>
                <a:endParaRPr lang="vi-VN"/>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322775296"/>
        <c:crosses val="autoZero"/>
        <c:crossBetween val="between"/>
      </c:valAx>
    </c:plotArea>
    <c:plotVisOnly val="1"/>
    <c:dispBlanksAs val="gap"/>
    <c:showDLblsOverMax val="0"/>
  </c:chart>
  <c:txPr>
    <a:bodyPr/>
    <a:lstStyle/>
    <a:p>
      <a:pPr>
        <a:defRPr lang="ru-RU"/>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6015</Words>
  <Characters>34889</Characters>
  <Lines>290</Lines>
  <Paragraphs>81</Paragraphs>
  <TotalTime>1</TotalTime>
  <ScaleCrop>false</ScaleCrop>
  <LinksUpToDate>false</LinksUpToDate>
  <CharactersWithSpaces>40823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2022-10-25T08:55:00Z</dcterms:created>
  <dc:creator>Tatiana TB. Bucur</dc:creator>
  <cp:lastModifiedBy>A_Crasnobaev</cp:lastModifiedBy>
  <dcterms:modified xsi:type="dcterms:W3CDTF">2022-11-21T18:45:49Z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D2BF5F490F99483ABC0ED42456A2D7FA</vt:lpwstr>
  </property>
</Properties>
</file>