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D36A4" w14:textId="77777777" w:rsidR="002179FF" w:rsidRDefault="002179FF" w:rsidP="002179FF">
      <w:pPr>
        <w:tabs>
          <w:tab w:val="left" w:pos="1080"/>
        </w:tabs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Notă informativă</w:t>
      </w:r>
    </w:p>
    <w:p w14:paraId="4185EBF3" w14:textId="13E954FF" w:rsidR="002179FF" w:rsidRPr="00405F86" w:rsidRDefault="002179FF" w:rsidP="002179FF">
      <w:pPr>
        <w:spacing w:line="276" w:lineRule="auto"/>
        <w:jc w:val="center"/>
        <w:rPr>
          <w:bCs/>
          <w:sz w:val="28"/>
          <w:lang w:val="ro-MD"/>
        </w:rPr>
      </w:pPr>
      <w:r w:rsidRPr="00405F86">
        <w:rPr>
          <w:bCs/>
          <w:sz w:val="28"/>
          <w:szCs w:val="28"/>
          <w:lang w:val="ro-MD"/>
        </w:rPr>
        <w:t xml:space="preserve">la proiectul </w:t>
      </w:r>
      <w:r w:rsidR="00B179FA">
        <w:rPr>
          <w:bCs/>
          <w:sz w:val="28"/>
          <w:szCs w:val="28"/>
          <w:lang w:val="ro-MD"/>
        </w:rPr>
        <w:t>hotărârii</w:t>
      </w:r>
      <w:r w:rsidR="00D52C66" w:rsidRPr="00405F86">
        <w:rPr>
          <w:bCs/>
          <w:sz w:val="28"/>
          <w:szCs w:val="28"/>
          <w:lang w:val="ro-MD"/>
        </w:rPr>
        <w:t xml:space="preserve"> Guvernului </w:t>
      </w:r>
      <w:r w:rsidR="00B179FA">
        <w:rPr>
          <w:bCs/>
          <w:sz w:val="28"/>
          <w:lang w:val="ro-MD"/>
        </w:rPr>
        <w:t>cu privire la</w:t>
      </w:r>
      <w:r w:rsidRPr="00405F86">
        <w:rPr>
          <w:bCs/>
          <w:sz w:val="28"/>
          <w:lang w:val="ro-MD"/>
        </w:rPr>
        <w:t xml:space="preserve"> modificarea Regulamentului privind modul de ținere a registrelor de stat formate de Sistemul informațional </w:t>
      </w:r>
      <w:r w:rsidR="008279A8">
        <w:rPr>
          <w:bCs/>
          <w:sz w:val="28"/>
          <w:lang w:val="ro-MD"/>
        </w:rPr>
        <w:br/>
      </w:r>
      <w:r w:rsidRPr="00405F86">
        <w:rPr>
          <w:bCs/>
          <w:sz w:val="28"/>
          <w:lang w:val="ro-MD"/>
        </w:rPr>
        <w:t xml:space="preserve">„e-Autorizație transport”, aprobat prin Hotărârea Guvernului nr. 127/2020  </w:t>
      </w:r>
    </w:p>
    <w:p w14:paraId="49B98FDC" w14:textId="77777777" w:rsidR="002179FF" w:rsidRDefault="002179FF" w:rsidP="002179FF">
      <w:pPr>
        <w:tabs>
          <w:tab w:val="left" w:pos="1080"/>
        </w:tabs>
        <w:spacing w:line="276" w:lineRule="auto"/>
        <w:jc w:val="center"/>
        <w:rPr>
          <w:sz w:val="28"/>
          <w:szCs w:val="28"/>
          <w:lang w:val="ro-MD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2179FF" w14:paraId="5C6C43BD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445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1. Denumirea autorului și, după caz, a participanților la elaborarea proiectului</w:t>
            </w:r>
          </w:p>
        </w:tc>
      </w:tr>
      <w:tr w:rsidR="002179FF" w14:paraId="156A2541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A06C" w14:textId="5E648C6E" w:rsidR="002179FF" w:rsidRDefault="002179FF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Proiectul </w:t>
            </w:r>
            <w:r w:rsidR="00B179FA">
              <w:rPr>
                <w:sz w:val="28"/>
                <w:szCs w:val="28"/>
                <w:lang w:val="ro-MD"/>
              </w:rPr>
              <w:t>h</w:t>
            </w:r>
            <w:r>
              <w:rPr>
                <w:sz w:val="28"/>
                <w:szCs w:val="28"/>
                <w:lang w:val="ro-MD"/>
              </w:rPr>
              <w:t xml:space="preserve">otărârii Guvernului cu privire la modificarea Regulamentului privind modul de ținere a registrelor de stat formate de Sistemul informațional „e-Autorizație transport”, aprobat prin Hotărârea Guvernului nr. 127/2020, este elaborat de către Ministerul Infrastructurii și Dezvoltării Regionale </w:t>
            </w:r>
            <w:r>
              <w:rPr>
                <w:i/>
                <w:sz w:val="28"/>
                <w:szCs w:val="28"/>
                <w:lang w:val="ro-MD"/>
              </w:rPr>
              <w:t>(în continuare MIDR)</w:t>
            </w:r>
            <w:r>
              <w:rPr>
                <w:sz w:val="28"/>
                <w:szCs w:val="28"/>
                <w:lang w:val="ro-MD"/>
              </w:rPr>
              <w:t xml:space="preserve"> în comun cu Agenția Națională Transport Auto </w:t>
            </w:r>
            <w:r>
              <w:rPr>
                <w:i/>
                <w:sz w:val="28"/>
                <w:szCs w:val="28"/>
                <w:lang w:val="ro-MD"/>
              </w:rPr>
              <w:t>(în continuare Agenție)</w:t>
            </w:r>
            <w:r>
              <w:rPr>
                <w:sz w:val="28"/>
                <w:szCs w:val="28"/>
                <w:lang w:val="ro-MD"/>
              </w:rPr>
              <w:t>.</w:t>
            </w:r>
          </w:p>
        </w:tc>
      </w:tr>
      <w:tr w:rsidR="002179FF" w14:paraId="12A7BB5F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F62C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2. Condițiile ce au impus elaborarea proiectului de act normativ și finalitățile urmărite</w:t>
            </w:r>
            <w:bookmarkStart w:id="0" w:name="_GoBack"/>
            <w:bookmarkEnd w:id="0"/>
          </w:p>
        </w:tc>
      </w:tr>
      <w:tr w:rsidR="002179FF" w14:paraId="0B6EE2A7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334C" w14:textId="526C3E3D" w:rsidR="002179FF" w:rsidRDefault="002179FF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În conformitate cu art. 8 alin. (1) din Codul transporturilor rutiere, aprobat prin Legea nr. 150/2014, Agenția este autoritatea care asigură implementarea documentelor de</w:t>
            </w:r>
            <w:r w:rsidR="00D44D24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politici publice în domeniul transporturilor rutiere, controlează și supraveghează respectarea legislației naționale și internaționale</w:t>
            </w:r>
            <w:r w:rsidR="00D44D24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 xml:space="preserve">în domeniu de către operatorii de transport rutier și de către întreprinderile ce desfășoară activități conexe transportului rutier. </w:t>
            </w:r>
          </w:p>
          <w:p w14:paraId="7EB5D5D4" w14:textId="7EA945FA" w:rsidR="002179FF" w:rsidRDefault="002179FF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În conformitate cu prevederile art. 7 din Codul prenotat una din funcțiile de bază ale MIDR este controlul implementări principiilor de formare și modificare a programelor de transport rutier locale, municipale și raionale, precum și elaborarea </w:t>
            </w:r>
            <w:r w:rsidR="00C57D78">
              <w:rPr>
                <w:sz w:val="28"/>
                <w:szCs w:val="28"/>
                <w:lang w:val="ro-MD"/>
              </w:rPr>
              <w:t>și</w:t>
            </w:r>
            <w:r>
              <w:rPr>
                <w:sz w:val="28"/>
                <w:szCs w:val="28"/>
                <w:lang w:val="ro-MD"/>
              </w:rPr>
              <w:t xml:space="preserve"> aprobarea programului de transport rutier interraional și internațional.</w:t>
            </w:r>
          </w:p>
          <w:p w14:paraId="20D92386" w14:textId="77777777" w:rsidR="002179FF" w:rsidRDefault="002179FF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Totodată, Codul prevede că pentru a beneficia de serviciile oferite de către Agenție, operatorii de transport rutier trebuie să fie înregistrați în Registru Operatorilor de Transport Rutiere în baza sistemului informațional „e-Autorizație transport”, sistem informațional care permite solicitarea și procesarea datelor, repartizarea și eliberarea autorizațiilor pentru efectuarea transporturilor rutiere.</w:t>
            </w:r>
          </w:p>
          <w:p w14:paraId="453488BF" w14:textId="77777777" w:rsidR="002179FF" w:rsidRDefault="002179FF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Sistemului informațional „e-Autorizație transport” este parte componentă a Sistemului de Management Integrat, prin intermediul căruia se efectuează toate activitățile regulatorii și de supraveghere efectuate de Agenție.</w:t>
            </w:r>
          </w:p>
        </w:tc>
      </w:tr>
      <w:tr w:rsidR="002179FF" w14:paraId="07AB1157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DD49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2179FF" w14:paraId="44A8810F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E596" w14:textId="12879CD1" w:rsidR="002179FF" w:rsidRDefault="00D44D24" w:rsidP="00F932CD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D44D24">
              <w:rPr>
                <w:sz w:val="28"/>
                <w:szCs w:val="28"/>
                <w:lang w:val="ro-MD"/>
              </w:rPr>
              <w:lastRenderedPageBreak/>
              <w:t xml:space="preserve">Proiectul de </w:t>
            </w:r>
            <w:r w:rsidR="00DB5107" w:rsidRPr="00D44D24">
              <w:rPr>
                <w:sz w:val="28"/>
                <w:szCs w:val="28"/>
                <w:lang w:val="ro-MD"/>
              </w:rPr>
              <w:t>hotărâre</w:t>
            </w:r>
            <w:r w:rsidRPr="00D44D24">
              <w:rPr>
                <w:sz w:val="28"/>
                <w:szCs w:val="28"/>
                <w:lang w:val="ro-MD"/>
              </w:rPr>
              <w:t xml:space="preserve"> de Guvern nu conține norme privind armonizarea </w:t>
            </w:r>
            <w:r w:rsidR="006F07AE" w:rsidRPr="00D44D24">
              <w:rPr>
                <w:sz w:val="28"/>
                <w:szCs w:val="28"/>
                <w:lang w:val="ro-MD"/>
              </w:rPr>
              <w:t>legislației</w:t>
            </w:r>
            <w:r w:rsidRPr="00D44D24">
              <w:rPr>
                <w:sz w:val="28"/>
                <w:szCs w:val="28"/>
                <w:lang w:val="ro-MD"/>
              </w:rPr>
              <w:t xml:space="preserve"> </w:t>
            </w:r>
            <w:r w:rsidR="006F07AE" w:rsidRPr="00D44D24">
              <w:rPr>
                <w:sz w:val="28"/>
                <w:szCs w:val="28"/>
                <w:lang w:val="ro-MD"/>
              </w:rPr>
              <w:t>naționale</w:t>
            </w:r>
            <w:r w:rsidRPr="00D44D24">
              <w:rPr>
                <w:sz w:val="28"/>
                <w:szCs w:val="28"/>
                <w:lang w:val="ro-MD"/>
              </w:rPr>
              <w:t xml:space="preserve"> cu acquis-ul comunitar.</w:t>
            </w:r>
          </w:p>
        </w:tc>
      </w:tr>
      <w:tr w:rsidR="002179FF" w14:paraId="3E5269D8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06ED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4. Principalele prevederi ale proiectului și evidențierea elementelor noi</w:t>
            </w:r>
          </w:p>
        </w:tc>
      </w:tr>
      <w:tr w:rsidR="002179FF" w14:paraId="4EDE680F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9B29" w14:textId="0C703171" w:rsidR="00853C67" w:rsidRDefault="00853C67" w:rsidP="00D44D24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Proiectul</w:t>
            </w:r>
            <w:r w:rsidR="00B179FA">
              <w:rPr>
                <w:sz w:val="28"/>
                <w:szCs w:val="28"/>
                <w:lang w:val="ro-MD"/>
              </w:rPr>
              <w:t xml:space="preserve"> de hotărâre</w:t>
            </w:r>
            <w:r>
              <w:rPr>
                <w:sz w:val="28"/>
                <w:szCs w:val="28"/>
                <w:lang w:val="ro-MD"/>
              </w:rPr>
              <w:t xml:space="preserve"> prevede completarea Regulamentului privind modul de ținere a registrelor de stat formate de Sistemul informațional „e-Autorizație transport” cu prevederi privind modul de formare și conținutul </w:t>
            </w:r>
            <w:r w:rsidR="006E01F1">
              <w:rPr>
                <w:sz w:val="28"/>
                <w:szCs w:val="28"/>
                <w:lang w:val="ro-MD"/>
              </w:rPr>
              <w:t xml:space="preserve">Registrului </w:t>
            </w:r>
            <w:r w:rsidR="003D389A">
              <w:rPr>
                <w:sz w:val="28"/>
                <w:szCs w:val="28"/>
                <w:lang w:val="ro-MD"/>
              </w:rPr>
              <w:t>R</w:t>
            </w:r>
            <w:r w:rsidR="006E01F1">
              <w:rPr>
                <w:sz w:val="28"/>
                <w:szCs w:val="28"/>
                <w:lang w:val="ro-MD"/>
              </w:rPr>
              <w:t xml:space="preserve">utelor, </w:t>
            </w:r>
            <w:r w:rsidR="006E01F1" w:rsidRPr="006E01F1">
              <w:rPr>
                <w:sz w:val="28"/>
                <w:szCs w:val="28"/>
                <w:lang w:val="ro-MD"/>
              </w:rPr>
              <w:t xml:space="preserve">respectiv se propun următoarele modificări normative:   </w:t>
            </w:r>
          </w:p>
          <w:p w14:paraId="46B0ED83" w14:textId="0DFB8D04" w:rsidR="006E01F1" w:rsidRDefault="006E01F1" w:rsidP="00D44D24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</w:rPr>
              <w:t xml:space="preserve">-includerea Registrului </w:t>
            </w:r>
            <w:r w:rsidR="003D389A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utelor în sistemul informațional </w:t>
            </w:r>
            <w:r>
              <w:rPr>
                <w:sz w:val="28"/>
                <w:szCs w:val="28"/>
                <w:lang w:val="ro-MD"/>
              </w:rPr>
              <w:t>„e-Autorizație transport”;</w:t>
            </w:r>
          </w:p>
          <w:p w14:paraId="0AE60C7D" w14:textId="07761978" w:rsidR="006E01F1" w:rsidRDefault="006E01F1" w:rsidP="00D44D24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-reglementarea modului de înregistrare a datelor- acestea urmează a fi acumulate ca urmare a aprobării programelor de transport rutier, precum și ca urmare a examinării cererilor depuse de solicitanți;</w:t>
            </w:r>
          </w:p>
          <w:p w14:paraId="5A28E1D1" w14:textId="0B4D3FC2" w:rsidR="002179FF" w:rsidRDefault="006E01F1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- se aprobă structura </w:t>
            </w:r>
            <w:r w:rsidR="008279A8">
              <w:rPr>
                <w:sz w:val="28"/>
                <w:szCs w:val="28"/>
                <w:lang w:val="ro-MD"/>
              </w:rPr>
              <w:t xml:space="preserve">registrului </w:t>
            </w:r>
            <w:r>
              <w:rPr>
                <w:sz w:val="28"/>
                <w:szCs w:val="28"/>
                <w:lang w:val="ro-MD"/>
              </w:rPr>
              <w:t xml:space="preserve">– registrul va include principalele </w:t>
            </w:r>
            <w:r w:rsidR="00E42D70">
              <w:rPr>
                <w:sz w:val="28"/>
                <w:szCs w:val="28"/>
                <w:lang w:val="ro-MD"/>
              </w:rPr>
              <w:t>compartimente obligatorii, și anume informația despre rută, graficul de circulație, regimul de deservire, datele despre stațiile publice</w:t>
            </w:r>
            <w:r>
              <w:rPr>
                <w:sz w:val="28"/>
                <w:szCs w:val="28"/>
                <w:lang w:val="ro-MD"/>
              </w:rPr>
              <w:t>;</w:t>
            </w:r>
          </w:p>
          <w:p w14:paraId="7AB362B3" w14:textId="243925A4" w:rsidR="00A36D19" w:rsidRDefault="00A36D19" w:rsidP="006B1A00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- </w:t>
            </w:r>
            <w:r w:rsidR="006B1A00">
              <w:rPr>
                <w:sz w:val="28"/>
                <w:szCs w:val="28"/>
                <w:lang w:val="ro-MD"/>
              </w:rPr>
              <w:t xml:space="preserve">stabilirea unui </w:t>
            </w:r>
            <w:r w:rsidR="00FC3C11">
              <w:rPr>
                <w:sz w:val="28"/>
                <w:szCs w:val="28"/>
                <w:lang w:val="ro-MD"/>
              </w:rPr>
              <w:t xml:space="preserve">termen </w:t>
            </w:r>
            <w:r w:rsidR="0056354C">
              <w:rPr>
                <w:sz w:val="28"/>
                <w:szCs w:val="28"/>
                <w:lang w:val="ro-MD"/>
              </w:rPr>
              <w:t>de 6 luni</w:t>
            </w:r>
            <w:r w:rsidR="006B1A00">
              <w:rPr>
                <w:sz w:val="28"/>
                <w:szCs w:val="28"/>
                <w:lang w:val="ro-MD"/>
              </w:rPr>
              <w:t xml:space="preserve"> pentru</w:t>
            </w:r>
            <w:r w:rsidR="00C87A20">
              <w:rPr>
                <w:sz w:val="28"/>
                <w:szCs w:val="28"/>
                <w:lang w:val="ro-MD"/>
              </w:rPr>
              <w:t xml:space="preserve"> </w:t>
            </w:r>
            <w:r w:rsidR="0056354C">
              <w:rPr>
                <w:sz w:val="28"/>
                <w:szCs w:val="28"/>
                <w:lang w:val="ro-MD"/>
              </w:rPr>
              <w:t xml:space="preserve">autoritățile </w:t>
            </w:r>
            <w:r w:rsidR="006B1A00">
              <w:rPr>
                <w:sz w:val="28"/>
                <w:szCs w:val="28"/>
                <w:lang w:val="ro-MD"/>
              </w:rPr>
              <w:t xml:space="preserve">publice locale, întru </w:t>
            </w:r>
            <w:r w:rsidR="0056354C">
              <w:rPr>
                <w:sz w:val="28"/>
                <w:szCs w:val="28"/>
                <w:lang w:val="ro-MD"/>
              </w:rPr>
              <w:t>asigura</w:t>
            </w:r>
            <w:r w:rsidR="006B1A00">
              <w:rPr>
                <w:sz w:val="28"/>
                <w:szCs w:val="28"/>
                <w:lang w:val="ro-MD"/>
              </w:rPr>
              <w:t>rea</w:t>
            </w:r>
            <w:r w:rsidR="0056354C">
              <w:rPr>
                <w:sz w:val="28"/>
                <w:szCs w:val="28"/>
                <w:lang w:val="ro-MD"/>
              </w:rPr>
              <w:t xml:space="preserve"> </w:t>
            </w:r>
            <w:r w:rsidR="006B1A00">
              <w:rPr>
                <w:sz w:val="28"/>
                <w:szCs w:val="28"/>
                <w:lang w:val="ro-MD"/>
              </w:rPr>
              <w:t>,,</w:t>
            </w:r>
            <w:r w:rsidR="0056354C">
              <w:rPr>
                <w:sz w:val="28"/>
                <w:szCs w:val="28"/>
                <w:lang w:val="ro-MD"/>
              </w:rPr>
              <w:t>migr</w:t>
            </w:r>
            <w:r w:rsidR="006B1A00">
              <w:rPr>
                <w:sz w:val="28"/>
                <w:szCs w:val="28"/>
                <w:lang w:val="ro-MD"/>
              </w:rPr>
              <w:t>ă</w:t>
            </w:r>
            <w:r w:rsidR="0056354C">
              <w:rPr>
                <w:sz w:val="28"/>
                <w:szCs w:val="28"/>
                <w:lang w:val="ro-MD"/>
              </w:rPr>
              <w:t>r</w:t>
            </w:r>
            <w:r w:rsidR="006B1A00">
              <w:rPr>
                <w:sz w:val="28"/>
                <w:szCs w:val="28"/>
                <w:lang w:val="ro-MD"/>
              </w:rPr>
              <w:t>ii”</w:t>
            </w:r>
            <w:r w:rsidR="0056354C">
              <w:rPr>
                <w:sz w:val="28"/>
                <w:szCs w:val="28"/>
                <w:lang w:val="ro-MD"/>
              </w:rPr>
              <w:t xml:space="preserve"> datelor în sistemul informațional și instruirea </w:t>
            </w:r>
            <w:r w:rsidR="00781C83">
              <w:rPr>
                <w:sz w:val="28"/>
                <w:szCs w:val="28"/>
                <w:lang w:val="ro-MD"/>
              </w:rPr>
              <w:t xml:space="preserve">personalului din cadrul </w:t>
            </w:r>
            <w:r w:rsidR="006B1A00">
              <w:rPr>
                <w:sz w:val="28"/>
                <w:szCs w:val="28"/>
                <w:lang w:val="ro-MD"/>
              </w:rPr>
              <w:t xml:space="preserve">acestor </w:t>
            </w:r>
            <w:r w:rsidR="00781C83">
              <w:rPr>
                <w:sz w:val="28"/>
                <w:szCs w:val="28"/>
                <w:lang w:val="ro-MD"/>
              </w:rPr>
              <w:t>autorități</w:t>
            </w:r>
            <w:r w:rsidR="006B1A00">
              <w:rPr>
                <w:sz w:val="28"/>
                <w:szCs w:val="28"/>
                <w:lang w:val="ro-MD"/>
              </w:rPr>
              <w:t>, în contextul cerințelor stabilite prin proiect</w:t>
            </w:r>
            <w:r w:rsidR="00781C83">
              <w:rPr>
                <w:sz w:val="28"/>
                <w:szCs w:val="28"/>
                <w:lang w:val="ro-MD"/>
              </w:rPr>
              <w:t>.</w:t>
            </w:r>
          </w:p>
        </w:tc>
      </w:tr>
      <w:tr w:rsidR="002179FF" w14:paraId="662D147B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B2E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5. Fundamentarea economico-financiară</w:t>
            </w:r>
          </w:p>
        </w:tc>
      </w:tr>
      <w:tr w:rsidR="002179FF" w14:paraId="0BFCCCD0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B94" w14:textId="77777777" w:rsidR="00AE6603" w:rsidRPr="00AE6603" w:rsidRDefault="00AE6603" w:rsidP="00AE6603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AE6603">
              <w:rPr>
                <w:sz w:val="28"/>
                <w:szCs w:val="28"/>
                <w:lang w:val="ro-MD"/>
              </w:rPr>
              <w:t xml:space="preserve">Costurile pentru dezvoltarea Registrului rutelor în cadrul Sistemului Informațional „e-Autorizație transport” sunt acoperite de către USAID, în baza Acordului de colaborare cu Agenția Națională Transport Auto (semnat în 2018). </w:t>
            </w:r>
          </w:p>
          <w:p w14:paraId="6A77AB8A" w14:textId="6ECFB6CB" w:rsidR="002179FF" w:rsidRDefault="00AE6603" w:rsidP="00AE6603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AE6603">
              <w:rPr>
                <w:sz w:val="28"/>
                <w:szCs w:val="28"/>
                <w:lang w:val="ro-MD"/>
              </w:rPr>
              <w:t>Pentru întreținerea sistemului au fost înaintate propuneri în Cadru Bugetar pe Termen Mediu pentru anii 2023-2025. Registrul Rutelor este un subsistem al platformei „e-Autorizație”, iar cheltuielile planificate sunt de 1.200.000 lei pe an.</w:t>
            </w:r>
          </w:p>
        </w:tc>
      </w:tr>
      <w:tr w:rsidR="002179FF" w14:paraId="40275E2A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0ED1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6. Modul de încorporare a actului în cadrul normativ în vigoare</w:t>
            </w:r>
          </w:p>
        </w:tc>
      </w:tr>
      <w:tr w:rsidR="002179FF" w14:paraId="57B56811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3D03" w14:textId="450711B5" w:rsidR="002179FF" w:rsidRDefault="002179FF" w:rsidP="0097541D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Proiectul</w:t>
            </w:r>
            <w:r w:rsidR="009D165B">
              <w:rPr>
                <w:sz w:val="28"/>
                <w:szCs w:val="28"/>
                <w:lang w:val="ro-MD"/>
              </w:rPr>
              <w:t xml:space="preserve"> de hotărâre</w:t>
            </w:r>
            <w:r>
              <w:rPr>
                <w:sz w:val="28"/>
                <w:szCs w:val="28"/>
                <w:lang w:val="ro-MD"/>
              </w:rPr>
              <w:t xml:space="preserve"> se încadrează în sistemul actelor normative</w:t>
            </w:r>
            <w:r w:rsidR="009D165B">
              <w:rPr>
                <w:sz w:val="28"/>
                <w:szCs w:val="28"/>
                <w:lang w:val="ro-MD"/>
              </w:rPr>
              <w:t>, fără a fi necesar a fi modificate alte acte normative.</w:t>
            </w:r>
          </w:p>
        </w:tc>
      </w:tr>
      <w:tr w:rsidR="002179FF" w14:paraId="1D0E54F9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350E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7. Avizarea și consultarea publică a proiectului</w:t>
            </w:r>
          </w:p>
        </w:tc>
      </w:tr>
      <w:tr w:rsidR="002179FF" w14:paraId="27040FFD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D1D7" w14:textId="77777777" w:rsidR="008279A8" w:rsidRDefault="00E42D70" w:rsidP="003D389A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E42D70">
              <w:rPr>
                <w:sz w:val="28"/>
                <w:szCs w:val="28"/>
                <w:lang w:val="ro-MD"/>
              </w:rPr>
              <w:t xml:space="preserve">În scopul respectării prevederilor art. 11 al Legii nr.239/2008 privind transparența în procesul decizional, anunțul privind consultarea publică a proiectului poate fi accesat pe pagina web oficială a Ministerului Infrastructurii și Dezvoltării Regionale (compartimentul „Transparența”, directoriul Transparență decizională/anunțuri-de-inițiere-a-politicilor”) și pe portalul guvernamental </w:t>
            </w:r>
            <w:hyperlink r:id="rId5" w:history="1">
              <w:r w:rsidR="003D389A" w:rsidRPr="00891AF9">
                <w:rPr>
                  <w:rStyle w:val="Hyperlink"/>
                  <w:sz w:val="28"/>
                  <w:szCs w:val="28"/>
                  <w:lang w:val="ro-MD"/>
                </w:rPr>
                <w:t>www.particip.gov.md</w:t>
              </w:r>
            </w:hyperlink>
            <w:r w:rsidR="003D389A">
              <w:rPr>
                <w:sz w:val="28"/>
                <w:szCs w:val="28"/>
                <w:lang w:val="ro-MD"/>
              </w:rPr>
              <w:t xml:space="preserve">. </w:t>
            </w:r>
          </w:p>
          <w:p w14:paraId="16D290A7" w14:textId="417187C9" w:rsidR="002179FF" w:rsidRDefault="003D389A" w:rsidP="006B1A00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Proiectul</w:t>
            </w:r>
            <w:r w:rsidR="00E42D70" w:rsidRPr="00E42D70">
              <w:rPr>
                <w:sz w:val="28"/>
                <w:szCs w:val="28"/>
                <w:lang w:val="ro-MD"/>
              </w:rPr>
              <w:t xml:space="preserve"> </w:t>
            </w:r>
            <w:r w:rsidR="002179FF">
              <w:rPr>
                <w:sz w:val="28"/>
                <w:szCs w:val="28"/>
                <w:lang w:val="ro-MD"/>
              </w:rPr>
              <w:t xml:space="preserve">urmează a fi </w:t>
            </w:r>
            <w:r w:rsidR="00D14E88">
              <w:rPr>
                <w:sz w:val="28"/>
                <w:szCs w:val="28"/>
                <w:lang w:val="ro-MD"/>
              </w:rPr>
              <w:t>plasat pentru consultări publice pe paginile web nominalizate supra, precum și va fi avizat de către:</w:t>
            </w:r>
            <w:r w:rsidR="002179FF">
              <w:rPr>
                <w:sz w:val="28"/>
                <w:szCs w:val="28"/>
                <w:lang w:val="ro-MD"/>
              </w:rPr>
              <w:t xml:space="preserve"> Ministerul Economiei, Ministerul Finanțelor, Agenția </w:t>
            </w:r>
            <w:r w:rsidR="006B1A00">
              <w:rPr>
                <w:sz w:val="28"/>
                <w:szCs w:val="28"/>
                <w:lang w:val="ro-MD"/>
              </w:rPr>
              <w:t>de</w:t>
            </w:r>
            <w:r w:rsidR="002179FF">
              <w:rPr>
                <w:sz w:val="28"/>
                <w:szCs w:val="28"/>
                <w:lang w:val="ro-MD"/>
              </w:rPr>
              <w:t xml:space="preserve"> Guvernare Electronică, Ministerul Justiției, Centrul National Anticorupție.</w:t>
            </w:r>
          </w:p>
        </w:tc>
      </w:tr>
      <w:tr w:rsidR="002179FF" w14:paraId="578D1865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3506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lastRenderedPageBreak/>
              <w:t>8. Constatările expertizei anticorupție</w:t>
            </w:r>
          </w:p>
        </w:tc>
      </w:tr>
      <w:tr w:rsidR="002179FF" w14:paraId="6ED718AF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A764" w14:textId="77777777" w:rsidR="00E42D70" w:rsidRPr="00E42D70" w:rsidRDefault="00E42D70" w:rsidP="00E42D70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E42D70">
              <w:rPr>
                <w:sz w:val="28"/>
                <w:szCs w:val="28"/>
                <w:lang w:val="ro-MD"/>
              </w:rPr>
              <w:t xml:space="preserve">Proiectul de hotărâre va fi supus expertizei anticorupție în conformitate cu prevederile art. 35 din Legea nr.100/2017 cu privire la actele normative, fiind solicitată efectuarea expertizei de către Centrul Național Anticorupție. </w:t>
            </w:r>
          </w:p>
          <w:p w14:paraId="5AEDC623" w14:textId="4B9DA7C1" w:rsidR="002179FF" w:rsidRDefault="00E42D70" w:rsidP="00F932CD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E42D70">
              <w:rPr>
                <w:sz w:val="28"/>
                <w:szCs w:val="28"/>
                <w:lang w:val="ro-MD"/>
              </w:rPr>
              <w:t>Informația privind rezultatele expertizei anticorupție va fi inclusă în Tabelul de sinteză.</w:t>
            </w:r>
          </w:p>
        </w:tc>
      </w:tr>
      <w:tr w:rsidR="002179FF" w14:paraId="0501A1E9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E7F6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9. Constatările expertizei de compatibilitate</w:t>
            </w:r>
          </w:p>
        </w:tc>
      </w:tr>
      <w:tr w:rsidR="002179FF" w14:paraId="4E4F61ED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1D72" w14:textId="38D35E2F" w:rsidR="002179FF" w:rsidRPr="00D14E88" w:rsidRDefault="00D14E88">
            <w:pPr>
              <w:tabs>
                <w:tab w:val="left" w:pos="1080"/>
              </w:tabs>
              <w:spacing w:line="276" w:lineRule="auto"/>
              <w:rPr>
                <w:bCs/>
                <w:sz w:val="28"/>
                <w:szCs w:val="28"/>
                <w:lang w:val="ro-MD"/>
              </w:rPr>
            </w:pPr>
            <w:r>
              <w:rPr>
                <w:bCs/>
                <w:sz w:val="28"/>
                <w:szCs w:val="28"/>
                <w:lang w:val="ro-MD"/>
              </w:rPr>
              <w:t>Efectuarea expertizei de compatibilitate nu este necesară, proiectul hotărârii nu are ca scop armonizarea legislației naționale cu legislația Uniunii Europene.</w:t>
            </w:r>
          </w:p>
        </w:tc>
      </w:tr>
      <w:tr w:rsidR="002179FF" w14:paraId="1D89B17E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8DD3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10. Constatările expertizei juridice</w:t>
            </w:r>
          </w:p>
        </w:tc>
      </w:tr>
      <w:tr w:rsidR="002179FF" w14:paraId="11FCEECF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0072" w14:textId="1A0383F0" w:rsidR="002179FF" w:rsidRDefault="00D14E88" w:rsidP="00F932CD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Proiectul de hotărâre va fi supus exper</w:t>
            </w:r>
            <w:r w:rsidR="00C06DCB">
              <w:rPr>
                <w:sz w:val="28"/>
                <w:szCs w:val="28"/>
                <w:lang w:val="ro-MD"/>
              </w:rPr>
              <w:t xml:space="preserve">tizei juridice, conform art. 37 din Legea </w:t>
            </w:r>
            <w:r w:rsidR="008279A8">
              <w:rPr>
                <w:sz w:val="28"/>
                <w:szCs w:val="28"/>
                <w:lang w:val="ro-MD"/>
              </w:rPr>
              <w:br/>
            </w:r>
            <w:r w:rsidR="00C06DCB">
              <w:rPr>
                <w:sz w:val="28"/>
                <w:szCs w:val="28"/>
                <w:lang w:val="ro-MD"/>
              </w:rPr>
              <w:t xml:space="preserve">nr. 100/2017 cu privire la actele normative, iar rezultatele examinării acesteia vor fi </w:t>
            </w:r>
            <w:r w:rsidR="005B64FC">
              <w:rPr>
                <w:sz w:val="28"/>
                <w:szCs w:val="28"/>
                <w:lang w:val="ro-MD"/>
              </w:rPr>
              <w:t>incluse în Tabelul de sinteză</w:t>
            </w:r>
            <w:r w:rsidR="002179FF">
              <w:rPr>
                <w:sz w:val="28"/>
                <w:szCs w:val="28"/>
                <w:lang w:val="ro-MD"/>
              </w:rPr>
              <w:t xml:space="preserve">.  </w:t>
            </w:r>
          </w:p>
        </w:tc>
      </w:tr>
      <w:tr w:rsidR="002179FF" w14:paraId="62E7E890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2310" w14:textId="77777777" w:rsidR="002179FF" w:rsidRDefault="002179FF">
            <w:pPr>
              <w:tabs>
                <w:tab w:val="left" w:pos="1080"/>
              </w:tabs>
              <w:spacing w:line="276" w:lineRule="auto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11. Constatările altor expertize</w:t>
            </w:r>
          </w:p>
        </w:tc>
      </w:tr>
      <w:tr w:rsidR="002179FF" w14:paraId="0CF1BD8E" w14:textId="77777777" w:rsidTr="002179FF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CEA6" w14:textId="1A6A06C5" w:rsidR="002179FF" w:rsidRDefault="00CF1DC9" w:rsidP="00BF6CE9">
            <w:pPr>
              <w:tabs>
                <w:tab w:val="left" w:pos="1080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Proiectul a fost avizat în prealabil de către Agenția </w:t>
            </w:r>
            <w:r w:rsidR="006B1A00">
              <w:rPr>
                <w:sz w:val="28"/>
                <w:szCs w:val="28"/>
                <w:lang w:val="ro-MD"/>
              </w:rPr>
              <w:t xml:space="preserve">de </w:t>
            </w:r>
            <w:r>
              <w:rPr>
                <w:sz w:val="28"/>
                <w:szCs w:val="28"/>
                <w:lang w:val="ro-MD"/>
              </w:rPr>
              <w:t xml:space="preserve">Guvernare Electronică, propunerile au fost incluse în proiectul </w:t>
            </w:r>
            <w:r w:rsidR="005B64FC">
              <w:rPr>
                <w:sz w:val="28"/>
                <w:szCs w:val="28"/>
                <w:lang w:val="ro-MD"/>
              </w:rPr>
              <w:t>h</w:t>
            </w:r>
            <w:r>
              <w:rPr>
                <w:sz w:val="28"/>
                <w:szCs w:val="28"/>
                <w:lang w:val="ro-MD"/>
              </w:rPr>
              <w:t>otărârii de Guvern</w:t>
            </w:r>
            <w:r w:rsidR="003D389A">
              <w:rPr>
                <w:sz w:val="28"/>
                <w:szCs w:val="28"/>
                <w:lang w:val="ro-MD"/>
              </w:rPr>
              <w:t>,</w:t>
            </w:r>
            <w:r>
              <w:rPr>
                <w:sz w:val="28"/>
                <w:szCs w:val="28"/>
                <w:lang w:val="ro-MD"/>
              </w:rPr>
              <w:t xml:space="preserve"> iar avizul a fost anexat la dosar.</w:t>
            </w:r>
          </w:p>
        </w:tc>
      </w:tr>
    </w:tbl>
    <w:p w14:paraId="31019ED1" w14:textId="77777777" w:rsidR="002179FF" w:rsidRDefault="002179FF" w:rsidP="002179FF">
      <w:pPr>
        <w:tabs>
          <w:tab w:val="left" w:pos="1080"/>
        </w:tabs>
        <w:spacing w:line="276" w:lineRule="auto"/>
        <w:rPr>
          <w:sz w:val="28"/>
          <w:szCs w:val="28"/>
          <w:lang w:val="ro-MD"/>
        </w:rPr>
      </w:pPr>
    </w:p>
    <w:p w14:paraId="2636948A" w14:textId="77777777" w:rsidR="002179FF" w:rsidRDefault="002179FF" w:rsidP="002179FF">
      <w:pPr>
        <w:tabs>
          <w:tab w:val="left" w:pos="1080"/>
        </w:tabs>
        <w:spacing w:line="276" w:lineRule="auto"/>
        <w:rPr>
          <w:sz w:val="28"/>
          <w:szCs w:val="28"/>
          <w:lang w:val="ro-MD"/>
        </w:rPr>
      </w:pPr>
    </w:p>
    <w:p w14:paraId="16ED3918" w14:textId="7C2A54AA" w:rsidR="002179FF" w:rsidRDefault="002179FF" w:rsidP="002179FF">
      <w:pPr>
        <w:tabs>
          <w:tab w:val="left" w:pos="6324"/>
        </w:tabs>
        <w:spacing w:line="276" w:lineRule="auto"/>
        <w:rPr>
          <w:sz w:val="28"/>
          <w:szCs w:val="28"/>
          <w:lang w:val="ro-MD"/>
        </w:rPr>
      </w:pPr>
      <w:r>
        <w:rPr>
          <w:b/>
          <w:sz w:val="28"/>
          <w:lang w:val="ro-MD"/>
        </w:rPr>
        <w:t>Secretar General                                                                               Lilia DABIJA</w:t>
      </w:r>
    </w:p>
    <w:p w14:paraId="67E58A67" w14:textId="77777777" w:rsidR="009C4CDB" w:rsidRDefault="009C4CDB"/>
    <w:sectPr w:rsidR="009C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53"/>
    <w:rsid w:val="001B50AE"/>
    <w:rsid w:val="002179FF"/>
    <w:rsid w:val="00286718"/>
    <w:rsid w:val="003D389A"/>
    <w:rsid w:val="00405F86"/>
    <w:rsid w:val="0056354C"/>
    <w:rsid w:val="0056607E"/>
    <w:rsid w:val="005B64FC"/>
    <w:rsid w:val="00682D8E"/>
    <w:rsid w:val="006B1A00"/>
    <w:rsid w:val="006E01F1"/>
    <w:rsid w:val="006F07AE"/>
    <w:rsid w:val="00781C83"/>
    <w:rsid w:val="008279A8"/>
    <w:rsid w:val="00842248"/>
    <w:rsid w:val="00853C67"/>
    <w:rsid w:val="0097541D"/>
    <w:rsid w:val="00996B1A"/>
    <w:rsid w:val="009B257D"/>
    <w:rsid w:val="009B5730"/>
    <w:rsid w:val="009C4CDB"/>
    <w:rsid w:val="009D165B"/>
    <w:rsid w:val="00A36D19"/>
    <w:rsid w:val="00AE52A4"/>
    <w:rsid w:val="00AE6603"/>
    <w:rsid w:val="00B179FA"/>
    <w:rsid w:val="00BF6CE9"/>
    <w:rsid w:val="00C06DCB"/>
    <w:rsid w:val="00C57D78"/>
    <w:rsid w:val="00C87A20"/>
    <w:rsid w:val="00CF1DC9"/>
    <w:rsid w:val="00D14E88"/>
    <w:rsid w:val="00D44D24"/>
    <w:rsid w:val="00D52C66"/>
    <w:rsid w:val="00DB5107"/>
    <w:rsid w:val="00E035BC"/>
    <w:rsid w:val="00E16AF0"/>
    <w:rsid w:val="00E42D70"/>
    <w:rsid w:val="00F2430B"/>
    <w:rsid w:val="00F932CD"/>
    <w:rsid w:val="00FA2B53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9BAE"/>
  <w15:chartTrackingRefBased/>
  <w15:docId w15:val="{65C3C69F-F83D-4EDE-85A0-60DBAD67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9FF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D24"/>
    <w:rPr>
      <w:rFonts w:ascii="Times New Roman" w:eastAsia="Times New Roman" w:hAnsi="Times New Roman" w:cs="Times New Roman"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D24"/>
    <w:rPr>
      <w:rFonts w:ascii="Times New Roman" w:eastAsia="Times New Roman" w:hAnsi="Times New Roman" w:cs="Times New Roman"/>
      <w:b/>
      <w:bCs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24"/>
    <w:rPr>
      <w:rFonts w:ascii="Segoe UI" w:eastAsia="Times New Roman" w:hAnsi="Segoe UI" w:cs="Segoe UI"/>
      <w:sz w:val="18"/>
      <w:szCs w:val="18"/>
      <w:lang w:val="ro-RO" w:eastAsia="ro-RO" w:bidi="ro-RO"/>
    </w:rPr>
  </w:style>
  <w:style w:type="paragraph" w:styleId="Revision">
    <w:name w:val="Revision"/>
    <w:hidden/>
    <w:uiPriority w:val="99"/>
    <w:semiHidden/>
    <w:rsid w:val="00F932CD"/>
    <w:pPr>
      <w:spacing w:after="0" w:line="240" w:lineRule="auto"/>
    </w:pPr>
    <w:rPr>
      <w:rFonts w:ascii="Times New Roman" w:eastAsia="Times New Roman" w:hAnsi="Times New Roman" w:cs="Times New Roman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3D3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A4DB-4DF5-430C-86DE-14FD764E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sevciuc</dc:creator>
  <cp:keywords/>
  <dc:description/>
  <cp:lastModifiedBy>Andrei Slanina</cp:lastModifiedBy>
  <cp:revision>4</cp:revision>
  <dcterms:created xsi:type="dcterms:W3CDTF">2022-12-06T12:12:00Z</dcterms:created>
  <dcterms:modified xsi:type="dcterms:W3CDTF">2022-12-06T12:22:00Z</dcterms:modified>
</cp:coreProperties>
</file>